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Heading"/>
        <w:spacing w:before="240" w:after="80" w:line="240"/>
        <w:rPr>
          <w:rFonts w:ascii="Calibri" w:eastAsia="Calibri" w:hAnsi="Calibri" w:cs="Calibri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spacing w:before="120" w:after="40" w:line="24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Glossary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</w:t>
      </w:r>
      <w:r>
        <w:fldChar w:fldCharType="end"/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spacing w:before="0" w:after="80" w:line="240"/>
        <w:rPr>
          <w:rFonts w:ascii="Calibri" w:eastAsia="Calibri" w:hAnsi="Calibri" w:cs="Calibri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Glossary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430"/>
        <w:gridCol w:w="1620"/>
        <w:gridCol w:w="5685"/>
      </w:tblGrid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Term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Meaning</w:t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acta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viation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Activité d'apprentissage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430"/>
        <w:gridCol w:w="1620"/>
        <w:gridCol w:w="5685"/>
      </w:tblGrid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d'apprentissage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430"/>
        <w:gridCol w:w="1620"/>
        <w:gridCol w:w="5685"/>
      </w:tblGrid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Avis 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dagogique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Synonyme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Évaluation pédagogique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Calendrier de campagne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Campagn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valuation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Cellule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communication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universitaire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communication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facultaire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CoCoP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Acronyme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Conférence des commissions pédagogiques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dagogique facultaire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Conf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rence des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commissions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dagogiques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Acronyme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Commission Pédagogique Facultaire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DAF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viation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Directeur administratif facultaire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partement de support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aux activit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acad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miques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Dispositif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Moyens mis en place pour dispenser un enseignement.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Domaine applicatif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Doyen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DSAA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Acronyme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Département de support aux activités académiques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Enqu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ê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Processus regroupant la prise d'avis et le traitement des résultats des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questionnaires.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Enseignant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Dispense des cours dans le cadre d'une unité d'enseignement.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Entit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dagogique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Entité évaluée lors d'une campagne d'évaluation des enseignements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(UE ou couple UE/enseignant)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tudiant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EvalEns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viation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Évaluation des enseignements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valuation 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dagogique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Appréciation et commentaire émis par un membre de la commission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pédagogique facultaire ou la commission elle-même sur base des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résultats des questionnaires d'évaluation.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facult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Fonction programm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Une fonction programmée est une fonction implémentée par un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informaticien et intégrée dans l'application en tant que fonctionnalité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pouvant servir comme formule. Elle peut accepter un ensemble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paramètres, mais n'est modifiable que par le développeur.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Gestionnaire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campagne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Gestionnaire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Gestionnaire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dagogique facultaire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Mention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Indicateur spécifique à une question.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Participant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viation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Participant de l'enqu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ê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Utilisateurs de l'application répondant aux questionnaires.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riode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Intervalle de temps ayant une date et une heure de début et de fin.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Une période peut aussi être associée à une unité d'enseignement :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Pr>
                <w:ilvl w:val="0"/>
                <w:numId w:val="1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Période 1 : UE dispensée toute l'année.</w:t>
            </w:r>
          </w:p>
          <w:p>
            <w:pPr>
              <w:pStyle w:val="TableTextNormal"/>
              <w:numPr>
                <w:ilvl w:val="0"/>
                <w:numId w:val="1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Période 2 : UE dispensée au premier quadrimestre.</w:t>
            </w:r>
          </w:p>
          <w:p>
            <w:pPr>
              <w:pStyle w:val="TableTextNormal"/>
              <w:numPr>
                <w:ilvl w:val="0"/>
                <w:numId w:val="1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Période 3 : UE dispensée au second quadrimestre.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riode d'enseignement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Premier ou second quadrimestre attaché à une année académique, ou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toute l'année académique.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PIC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Acronyme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Programme individuel de cours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Population cible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Programme individuel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 cours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Programme individuel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 cours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valu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Toutes les unités d'enseignement composant le PIC, excluant les 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pour lesquelles l'étudiant bénéficie d'un report de note ou d'une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dispense.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qual-0001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Qualificatif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Dimension.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Les dimensions d'un questionnaire sont les différents groupes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questions le constituant.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Pour les questionnaires relatifs aux unités d'enseignement, la section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dispositif d'enseignement comporte trois groupes (dimensions)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suivant le règlement cadre (</w:t>
            </w:r>
            <w:customXml w:element="SSRunPr">
              <w:customxmlPr>
                <w:attr w:name="AuxId" w:val="20"/>
                <w:attr w:name="Aux1Id" w:val="0"/>
              </w:customxmlPr>
              <w:hyperlink w:history="1" w:anchor="BKM_69D0A959_7820_4E8C_97D5_086C80178E35"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u w:val="single"/>
                    <w:color w:val="0000ff"/>
                  </w:rPr>
                  <w:t xml:space="preserve">règlement cadre</w:t>
                </w:r>
              </w:hyperlink>
            </w:customXml>
            <w:r>
              <w:rPr>
                <w:rFonts w:ascii="Times New Roman" w:eastAsia="Times New Roman" w:hAnsi="Times New Roman" w:cs="Times New Roman"/>
                <w:sz w:val="18"/>
                <w:szCs w:val="18"/>
                <w:u w:val="none"/>
                <w:color w:val="000000"/>
              </w:rPr>
              <w:t xml:space="preserve">) :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Pr>
                <w:ilvl w:val="0"/>
                <w:numId w:val="2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Conception des enseignements : «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ensemble des activités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conception, planification, organisation, mise en place du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dispositif 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enseignement, ayant typiquement lieu avant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interaction avec les étudiants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».</w:t>
            </w:r>
          </w:p>
          <w:p>
            <w:pPr>
              <w:pStyle w:val="TableTextNormal"/>
              <w:numPr>
                <w:ilvl w:val="0"/>
                <w:numId w:val="2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Évaluation des apprentissages : «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activités du dispositif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enseignement spécifiquement liées à 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évaluation des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apprentissages des étudiants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».</w:t>
            </w:r>
          </w:p>
          <w:p>
            <w:pPr>
              <w:pStyle w:val="TableTextNormal"/>
              <w:numPr>
                <w:ilvl w:val="0"/>
                <w:numId w:val="2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Déroulement des enseignements : «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ensemble des activités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réalisées en interaction avec les étudiants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».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qual-0002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Qualificatif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Réponse au questionnaire d'évaluation.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Pr>
                <w:ilvl w:val="0"/>
                <w:numId w:val="3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--</w:t>
            </w:r>
          </w:p>
          <w:p>
            <w:pPr>
              <w:pStyle w:val="TableTextNormal"/>
              <w:numPr>
                <w:ilvl w:val="0"/>
                <w:numId w:val="3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-</w:t>
            </w:r>
          </w:p>
          <w:p>
            <w:pPr>
              <w:pStyle w:val="TableTextNormal"/>
              <w:numPr>
                <w:ilvl w:val="0"/>
                <w:numId w:val="3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+</w:t>
            </w:r>
          </w:p>
          <w:p>
            <w:pPr>
              <w:pStyle w:val="TableTextNormal"/>
              <w:numPr>
                <w:ilvl w:val="0"/>
                <w:numId w:val="3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++</w:t>
            </w:r>
          </w:p>
          <w:p>
            <w:pPr>
              <w:pStyle w:val="TableTextNormal"/>
              <w:numPr>
                <w:ilvl w:val="0"/>
                <w:numId w:val="3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sans objet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qual-0003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Qualificatif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Appréciation de la commission.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Appréciation d'une entité pédagogique émise par la commission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pédagogique.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Pr>
                <w:ilvl w:val="0"/>
                <w:numId w:val="4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Particulièrement positive</w:t>
            </w:r>
          </w:p>
          <w:p>
            <w:pPr>
              <w:pStyle w:val="TableTextNormal"/>
              <w:numPr>
                <w:ilvl w:val="0"/>
                <w:numId w:val="4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Positive</w:t>
            </w:r>
          </w:p>
          <w:p>
            <w:pPr>
              <w:pStyle w:val="TableTextNormal"/>
              <w:numPr>
                <w:ilvl w:val="0"/>
                <w:numId w:val="4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Positive avec points d'attention</w:t>
            </w:r>
          </w:p>
          <w:p>
            <w:pPr>
              <w:pStyle w:val="TableTextNormal"/>
              <w:numPr>
                <w:ilvl w:val="0"/>
                <w:numId w:val="4"/>
              </w:numPr>
              <w:spacing w:before="20" w:after="20" w:line="240"/>
              <w:ind w:left="630" w:right="270" w:hanging="36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Problématique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Questionnaire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valuation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Registre des activit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Registre des connexions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Registre des 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ponses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rule-0001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gle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Enseignant de la campagne d'évaluation : enseignant ayant pris part à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 moins une entité d'enseignement évaluée lors de la campagne.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rule-0002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gle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Gestionnaire de communication facultaire de la campagne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gestionnaire de communication facultaire étant responsable de la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communication de la campagne pour sa faculté.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rule-0003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gle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Étudiants éligibles à la prise d'avis.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Tous les étudiants ayant suivi (pas de report/dispense) au moins une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unité d'enseignement dans le(s) période(s) concernée(s) par la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campagne.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=</w:t>
              <w:t>&gt;</w:t>
              <w:t xml:space="preserve"> Que se passe-t-il s'il n'a que des dispenses/reports ?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(ajouter les détails)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Erasmus in OK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Étudiants libres : statut à clarifier.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Étudiants avec 100 % de dispenses =</w:t>
              <w:t>&gt;</w:t>
              <w:t xml:space="preserve"> avec ou sans ?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Clarifier « suivre un cours »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Clarifier « étudiant inscrit »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Qu'arrive-t-il aux étudiants ayant une inscription autre que standard ?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(libre, jury de la communauté française, Erasmus in)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rule-0004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gle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Commission pédagogique de l'évaluation : commission pédagogique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facultaire étant responsable d'au moins une unité d'enseignement étant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évaluée lors de la campagne.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rule-0005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gle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Statut validé (question ou groupe de questions)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 statut « validé » ne peut être attribué à une question ou un groupe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 questions qu'après l'aval de la CoCoPé.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rule-0006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gle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Règle sur l'association des périodes des composées.@TODO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Les périodes des contenus doivent être incluses dans la période du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contenant.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rule-0007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gle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Tout élément étant en relation avec d'autres éléments, ne peut être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modifié.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stat-0001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Appréciation par année d'étude.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Montre les appréciations pour les entités pédagogiques sélectionnées,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groupées par année d'étude.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Permet de constater l'évolution des appréciations.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stat-0002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Appréciation par nombre d'étudiants inscrits.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Montre les appréciations pour les entités pédagogiques sélectionnées,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triées par nombre d'étudiants inscrits.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Permet d'apprécier la corrélation entre le nombre d'étudiants inscrits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et l'appréciation de l'entité pédagogique.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stat-0003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Appréciation par programme.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Montre les appréciations pour les entités pédagogiques sélectionnées,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groupées par programme.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Permet d'avoir une vue globale des appréciations des entités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pédagogiques constituant un programme.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stat-0004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Appréciation par statut de l'enseignant.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Montre les appréciations des entités pédagogiques sélectionnées,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groupées par statut de l'enseignant (corps scientifique ou enseignant).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stat-0005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Appréciation par type d'activité d'apprentissage.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Montre les appréciations pour les entités pédagogiques sélectionnées,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groupées par type d'activité d'apprentissage.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Permet d'avoir une vue globale des appréciations des entités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pédagogiques proposant des activités d'apprentissage communes.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stat-0006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Appréciation par titulaires et par non-titulaires.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Montre les appréciations des entités pédagogiques sélectionnées,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groupées par enseignant titulaire ou non-titulaire.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Permet de voir rapidement les appréciations de tous les enseignants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titulaires ou non-titulaires.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stat-0007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Nombre de cours appréciés par la commission par campagne.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Affiche le nombre total d'unités d'enseignement pour lesquelles la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commission pédagogique a émis un avis périodique lors de la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campgne.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Permet d'apprécier la quantité de travail accompli par la commission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et de le comparer au nombre de cours évalués. (?)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stat-0008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Nombre de cours évalués.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Affiche le nombre total d'unités d'enseignement faisant partie de la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campagne, global et par faculté.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Sert de base à la comparaison avec le nombre d'unités d'enseignement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évaluées par la commission pédagogique. Permet aussi de déterminer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 proportion d'UE évaluées vis-à-vis du nombre total d'UE dans la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faculté ou l'université.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stat-0009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Nombre d'étudiants inscrits.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Montre le nombre d'étudiants pouvant prendre part à la campagne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d'évaluation, par campagne, par unité d'enseignement et enseignant ou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par faculté.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Permet d'apprécier le nombre d'étudiants ayant été invité à donner leur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avis lors de la campagne.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stat-0010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Nombre d'enseignements ayant le quorum.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Affiche chronologiquement le nombre d'enseignement ayant atteint 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quorum lors de la campagne, durant la période de prise d'avis. La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résolution peut être par jour, heure, minute, seconde ou microseconde.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Permet de déterminer les moments à « plus haute densité d'atteinte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quorum », et d'étudier la corrélation avec les différentes invitations et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rappels à la prise d'avis.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stat-0011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Nombre 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enseignements ayant le quorum par type 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activité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d'apprentissage.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Affiche le nombre d'unités d'enseignement ayant atteint le quorum,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groupé par type d'activité d'apprentissage.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Permet de déterminer rapidement le type d'activité d'apprentissage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ayant recueilli suffisamment de réponses.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stat-0012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Graphique des appréciations générales de la commission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pédagogique.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Graphique montrant les appréciations générales de la commission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pédagogique, par enseignant, unité d'enseignement, activité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d'apprentissage ou faculté.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 graphique peut être sous forme circulaire ou d'histogramme.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Il permet de visualiser la répartition des appréciations de la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commission.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stat-0013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Graphique des résultats généraux par dimension.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Graphique montrant les résultats généraux par dimension, groupé par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enseignant, unité d'enseignement, activité d'apprentissage ou faculté.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 graphique peut être sous forme circulaire ou d'histogramme.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Il permet de visualiser la répartition des appréciations pour chacune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 dimensions.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stat-0014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Graphique des résultats généraux des prestations individuelles des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titulaires et des non-titulaires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stat-0015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Graphique des résultats généraux par programme/module.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Graphique montrant les résultats généraux par programme/module,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par enseignant, unité d'enseignement, activité d'apprentissage ou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faculté. Le graphique peut être sous forme circulaire ou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d'histogramme.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Il permet de visualiser la répartition des résultats pour chaque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programme/module.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stat-0016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Graphique des résultats généraux par question.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Graphique montrant les résultats généraux par question, pour chaque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enseignant, unité d'enseignement, activité d'apprentissage ou faculté.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 graphique peut être sous forme circulaire ou d'histogramme.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Il permet de visualiser la répartition des résultats pour chacune des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questions.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stat-0017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Graphique des résultats généraux par statut.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Graphique montrant les résultats généraux par statut, pour chaque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enseignant, unité d'enseignement, activité d'apprentissage ou faculté.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 graphique peut être sous forme circulaire ou d'histogramme.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Il permet de visualiser les résultats des membres du corps scientifique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ou enseignant.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stat-0018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Graphique des résultats généraux par type d'activité d'apprentissage.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Graphique montrant les résultats généraux par type d'activité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d'apprentissage, pour chaque enseignant, unité d'enseignement,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activité d'apprentissage ou faculté. Cette statistique nécessite aussi 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nombre total d'unités d'enseignement par activité d'apprentissage afin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 pouvoir analyser l'évolution de la propotion d'UE évaluées au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cours des campagnes. Le graphique peut être sous forme circulaire ou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d'histogramme.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Il permet de visualiser les résultats des types d'activité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d'apprentissage.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stat-0019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Nombre et pourcentage de cours ayant atteint le quorum.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Montre le nombre et le pourcentage de cours ayant atteint le quorum,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par enseignant, unité d'enseignement, activité d'apprentissage ou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faculté. Cette statistique nécessite « Nombre de cours évalués »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(stat-0008).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Permet d'analyser l'évolution de l'atteinte du quorum au fil des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campagnes.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stat-0020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Nombre de titulaires et non-titulaires.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Montre le nombre de titulaires et non-titulaires pour une campagne.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Permet d'analyser l'évolution de leur nombre.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stat-0021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Nombre de titulaires et non-titulaires par cours.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Montre le nombre de titulaires et non-titulaires par unité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d'enseignement pour une campagne.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Permet d'analyser l'évolution de leur nombre.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stat-0022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Statistique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Taux de participation par NRE ou par programme ; chronologique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Affiche chronologiquement le taux de participation groupé par NRE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ou par programme lors de la campagne, durant la période de prise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d'avis. La résolution peut être par jour, heure, minute, seconde ou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microseconde.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Permet de déterminer les moments d'affluence de l'application, et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d'étudier la corrélation avec les différentes invitations et rappels à la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prise d'avis.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Sujet de questionnaire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 sujet d'un questionnaire est l'utilisateur répondant aux questions.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Superviseur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Titulaire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 enseignant est titulaire d'une unité d'enseignant s'il en est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l'enseignant principal. Ce statut lui donne accès aux évaluations des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enseignants non-titulaires pour les unités d'enseignement qu'ils ont en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commun.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 titulaire est réputé responsable de son dispositif d'enseignement.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Acronyme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Unité d'enseignement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d'enseignement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d'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valuation d'une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campagne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Représente l'ensemble des PIC évalués de la période d'enseignement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 la campagne, excluant toutes les UE dont les activités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d'apprentissage se résument à « mémoire » ou « stage ».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Valves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Espace réserver à la publication d'informations.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 valves peuvent être physique ou virtuelles.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4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Vice-recteur en charge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 l'enseignement</w:t>
            </w:r>
          </w:p>
        </w:tc>
        <w:tc>
          <w:tcPr>
            <w:tcW w:w="162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Vocabulary</w:t>
            </w:r>
          </w:p>
        </w:tc>
        <w:tc>
          <w:tcPr>
            <w:tcW w:w="5685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roman"/>
  </w:font>
  <w:font w:name="Calibri">
    <w:charset w:val="0"/>
    <w:family w:val="swiss"/>
  </w:font>
  <w:font w:name="Times New Roman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pBdr>
        <w:top w:val="single" w:space="1" w:color="auto"/>
      </w:pBdr>
      <w:spacing w:before="20" w:after="0" w:line="240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7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before="0" w:after="20" w:line="24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Glossary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7 August, 2015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6f731e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66f73aa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66f73c9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66f73e9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i/>
      <w:color w:val="3f3f3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60" w:after="40" w:line="240" w:lineRule="exact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2015-08-07T15:02:50</dcterms:created>
  <dcterms:modified xsi:type="dcterms:W3CDTF">2015-08-07T15:02:50</dcterms:modified>
</cp:coreProperties>
</file>