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1200"/>
      </w:pPr>
      <w:r>
        <w:rPr>
          <w:rFonts w:ascii="Calibri" w:cs="Calibri" w:eastAsia="Calibri" w:hAnsi="Calibri"/>
          <w:b/>
          <w:bCs/>
          <w:color w:val="14606B"/>
          <w:spacing w:val="40"/>
          <w:sz w:val="20"/>
          <w:szCs w:val="20"/>
        </w:rPr>
        <w:t xml:space="preserve">ARCHITECTURE PRINCIPLES</w:t>
      </w:r>
    </w:p>
    <w:p>
      <w:pPr>
        <w:spacing w:after="150"/>
      </w:pPr>
      <w:r>
        <w:rPr>
          <w:rFonts w:ascii="Cambria" w:cs="Cambria" w:eastAsia="Cambria" w:hAnsi="Cambria"/>
          <w:b/>
          <w:bCs/>
          <w:color w:val="1C1917"/>
          <w:sz w:val="46"/>
          <w:szCs w:val="46"/>
        </w:rPr>
        <w:t xml:space="preserve">Derivation workshop: how to extract a set that decides arguments</w:t>
      </w:r>
    </w:p>
    <w:p>
      <w:pPr>
        <w:spacing w:after="110"/>
      </w:pPr>
      <w:r>
        <w:rPr>
          <w:rFonts w:ascii="Calibri" w:cs="Calibri" w:eastAsia="Calibri" w:hAnsi="Calibri"/>
          <w:b w:val="false"/>
          <w:bCs w:val="false"/>
          <w:i w:val="false"/>
          <w:iCs w:val="false"/>
          <w:color w:val="57534E"/>
          <w:sz w:val="21"/>
          <w:szCs w:val="21"/>
        </w:rPr>
        <w:t xml:space="preserve">A working session pack for producing five to seven principles rooted in one organization rather than borrowed from a framework: the desk work that comes first, the source-mining questions, the candidate-testing script, the wording clinic, the socialization session, and the annual review that keeps the set honest.</w:t>
      </w:r>
    </w:p>
    <w:p>
      <w:pPr>
        <w:spacing w:after="110"/>
      </w:pPr>
      <w:r>
        <w:rPr>
          <w:rFonts w:ascii="Calibri" w:cs="Calibri" w:eastAsia="Calibri" w:hAnsi="Calibri"/>
          <w:b w:val="false"/>
          <w:bCs w:val="false"/>
          <w:i w:val="false"/>
          <w:iCs w:val="false"/>
          <w:color w:val="7D766E"/>
          <w:sz w:val="21"/>
          <w:szCs w:val="21"/>
        </w:rPr>
        <w:t xml:space="preserve">Companion to the principle register, and to the article at mehdibamou.com/publications/architecture-principles. Free to use and adapt.</w:t>
      </w:r>
    </w:p>
    <w:p>
      <w:r>
        <w:br w:type="page"/>
      </w:r>
    </w:p>
    <w:p>
      <w:pPr>
        <w:pStyle w:val="Heading1"/>
        <w:spacing w:after="110" w:before="340"/>
      </w:pPr>
      <w:r>
        <w:rPr>
          <w:rFonts w:ascii="Cambria" w:cs="Cambria" w:eastAsia="Cambria" w:hAnsi="Cambria"/>
          <w:b/>
          <w:bCs/>
          <w:color w:val="1C1917"/>
          <w:sz w:val="32"/>
          <w:szCs w:val="32"/>
        </w:rPr>
        <w:t xml:space="preserve">1. Before anyone books a room</w:t>
      </w:r>
    </w:p>
    <w:p>
      <w:pPr>
        <w:spacing w:after="150"/>
      </w:pPr>
      <w:r>
        <w:rPr>
          <w:rFonts w:ascii="Calibri" w:cs="Calibri" w:eastAsia="Calibri" w:hAnsi="Calibri"/>
          <w:i/>
          <w:iCs/>
          <w:color w:val="14606B"/>
          <w:sz w:val="19"/>
          <w:szCs w:val="19"/>
        </w:rPr>
        <w:t xml:space="preserve">Do not run a principles workshop yet. Two hours at a desk first, and the workshop takes forty minutes instead of a day.</w:t>
      </w:r>
    </w:p>
    <w:p>
      <w:pPr>
        <w:spacing w:after="110"/>
      </w:pPr>
      <w:r>
        <w:rPr>
          <w:rFonts w:ascii="Calibri" w:cs="Calibri" w:eastAsia="Calibri" w:hAnsi="Calibri"/>
          <w:b w:val="false"/>
          <w:bCs w:val="false"/>
          <w:i w:val="false"/>
          <w:iCs w:val="false"/>
          <w:color w:val="57534E"/>
          <w:sz w:val="21"/>
          <w:szCs w:val="21"/>
        </w:rPr>
        <w:t xml:space="preserve">A blank flipchart with the word "principles" at the top produces virtues. Everyone in the room agrees data matters, security is important, and reuse is good, and the output is a page nobody will ever cite. The material you need has already been produced by the organization; it just has not been read as a set.</w:t>
      </w:r>
    </w:p>
    <w:p>
      <w:pPr>
        <w:pStyle w:val="Heading2"/>
        <w:spacing w:after="70" w:before="220"/>
      </w:pPr>
      <w:r>
        <w:rPr>
          <w:rFonts w:ascii="Cambria" w:cs="Cambria" w:eastAsia="Cambria" w:hAnsi="Cambria"/>
          <w:b/>
          <w:bCs/>
          <w:color w:val="1C1917"/>
          <w:sz w:val="26"/>
          <w:szCs w:val="26"/>
        </w:rPr>
        <w:t xml:space="preserve">The desk pass - two hours</w:t>
      </w:r>
    </w:p>
    <w:p>
      <w:pPr>
        <w:pStyle w:val="ListParagraph"/>
        <w:numPr>
          <w:ilvl w:val="0"/>
          <w:numId w:val="2"/>
        </w:numPr>
        <w:spacing w:after="55"/>
      </w:pPr>
      <w:r>
        <w:rPr>
          <w:rFonts w:ascii="Calibri" w:cs="Calibri" w:eastAsia="Calibri" w:hAnsi="Calibri"/>
          <w:color w:val="57534E"/>
          <w:sz w:val="21"/>
          <w:szCs w:val="21"/>
        </w:rPr>
        <w:t xml:space="preserve">A year of decisions, if a log exists. Mark the ones that took disproportionate time or came back a second time.</w:t>
      </w:r>
    </w:p>
    <w:p>
      <w:pPr>
        <w:pStyle w:val="ListParagraph"/>
        <w:numPr>
          <w:ilvl w:val="0"/>
          <w:numId w:val="2"/>
        </w:numPr>
        <w:spacing w:after="55"/>
      </w:pPr>
      <w:r>
        <w:rPr>
          <w:rFonts w:ascii="Calibri" w:cs="Calibri" w:eastAsia="Calibri" w:hAnsi="Calibri"/>
          <w:color w:val="57534E"/>
          <w:sz w:val="21"/>
          <w:szCs w:val="21"/>
        </w:rPr>
        <w:t xml:space="preserve">The last four to six incidents and what the post-mortems said would have prevented them.</w:t>
      </w:r>
    </w:p>
    <w:p>
      <w:pPr>
        <w:pStyle w:val="ListParagraph"/>
        <w:numPr>
          <w:ilvl w:val="0"/>
          <w:numId w:val="2"/>
        </w:numPr>
        <w:spacing w:after="55"/>
      </w:pPr>
      <w:r>
        <w:rPr>
          <w:rFonts w:ascii="Calibri" w:cs="Calibri" w:eastAsia="Calibri" w:hAnsi="Calibri"/>
          <w:color w:val="57534E"/>
          <w:sz w:val="21"/>
          <w:szCs w:val="21"/>
        </w:rPr>
        <w:t xml:space="preserve">The strategy document, read for operational commitments rather than aspirations.</w:t>
      </w:r>
    </w:p>
    <w:p>
      <w:pPr>
        <w:pStyle w:val="ListParagraph"/>
        <w:numPr>
          <w:ilvl w:val="0"/>
          <w:numId w:val="2"/>
        </w:numPr>
        <w:spacing w:after="55"/>
      </w:pPr>
      <w:r>
        <w:rPr>
          <w:rFonts w:ascii="Calibri" w:cs="Calibri" w:eastAsia="Calibri" w:hAnsi="Calibri"/>
          <w:color w:val="57534E"/>
          <w:sz w:val="21"/>
          <w:szCs w:val="21"/>
        </w:rPr>
        <w:t xml:space="preserve">The constraints nobody writes down: what cannot be mandated, what cannot be funded, what a regulator requires.</w:t>
      </w:r>
    </w:p>
    <w:p>
      <w:pPr>
        <w:pStyle w:val="ListParagraph"/>
        <w:numPr>
          <w:ilvl w:val="0"/>
          <w:numId w:val="2"/>
        </w:numPr>
        <w:spacing w:after="55"/>
      </w:pPr>
      <w:r>
        <w:rPr>
          <w:rFonts w:ascii="Calibri" w:cs="Calibri" w:eastAsia="Calibri" w:hAnsi="Calibri"/>
          <w:color w:val="57534E"/>
          <w:sz w:val="21"/>
          <w:szCs w:val="21"/>
        </w:rPr>
        <w:t xml:space="preserve">An honest list of what this organization is chronically bad at. Write it privately; you will phrase it kindly later.</w:t>
      </w:r>
    </w:p>
    <w:p>
      <w:pPr>
        <w:spacing w:after="110"/>
      </w:pPr>
      <w:r>
        <w:rPr>
          <w:rFonts w:ascii="Calibri" w:cs="Calibri" w:eastAsia="Calibri" w:hAnsi="Calibri"/>
          <w:b w:val="false"/>
          <w:bCs w:val="false"/>
          <w:i/>
          <w:iCs/>
          <w:color w:val="57534E"/>
          <w:sz w:val="21"/>
          <w:szCs w:val="21"/>
        </w:rPr>
        <w:t xml:space="preserve">Output of the desk pass: four to eight candidate trade-offs, written badly, on one page. That is enough to start.</w:t>
      </w:r>
    </w:p>
    <w:p>
      <w:r>
        <w:br w:type="page"/>
      </w:r>
    </w:p>
    <w:p>
      <w:pPr>
        <w:pStyle w:val="Heading1"/>
        <w:spacing w:after="110" w:before="340"/>
      </w:pPr>
      <w:r>
        <w:rPr>
          <w:rFonts w:ascii="Cambria" w:cs="Cambria" w:eastAsia="Cambria" w:hAnsi="Cambria"/>
          <w:b/>
          <w:bCs/>
          <w:color w:val="1C1917"/>
          <w:sz w:val="32"/>
          <w:szCs w:val="32"/>
        </w:rPr>
        <w:t xml:space="preserve">2. Source-mining questions</w:t>
      </w:r>
    </w:p>
    <w:p>
      <w:pPr>
        <w:spacing w:after="150"/>
      </w:pPr>
      <w:r>
        <w:rPr>
          <w:rFonts w:ascii="Calibri" w:cs="Calibri" w:eastAsia="Calibri" w:hAnsi="Calibri"/>
          <w:i/>
          <w:iCs/>
          <w:color w:val="14606B"/>
          <w:sz w:val="19"/>
          <w:szCs w:val="19"/>
        </w:rPr>
        <w:t xml:space="preserve">Five sources. The second one has the highest yield and the fifth produces the most useful principles.</w:t>
      </w:r>
    </w:p>
    <w:p>
      <w:pPr>
        <w:pStyle w:val="Heading2"/>
        <w:spacing w:after="70" w:before="220"/>
      </w:pPr>
      <w:r>
        <w:rPr>
          <w:rFonts w:ascii="Cambria" w:cs="Cambria" w:eastAsia="Cambria" w:hAnsi="Cambria"/>
          <w:b/>
          <w:bCs/>
          <w:color w:val="1C1917"/>
          <w:sz w:val="26"/>
          <w:szCs w:val="26"/>
        </w:rPr>
        <w:t xml:space="preserve">Source 1 - the strategy, read literally</w:t>
      </w:r>
    </w:p>
    <w:p>
      <w:pPr>
        <w:pStyle w:val="ListParagraph"/>
        <w:numPr>
          <w:ilvl w:val="0"/>
          <w:numId w:val="2"/>
        </w:numPr>
        <w:spacing w:after="55"/>
      </w:pPr>
      <w:r>
        <w:rPr>
          <w:rFonts w:ascii="Calibri" w:cs="Calibri" w:eastAsia="Calibri" w:hAnsi="Calibri"/>
          <w:color w:val="57534E"/>
          <w:sz w:val="21"/>
          <w:szCs w:val="21"/>
        </w:rPr>
        <w:t xml:space="preserve">What has the company actually committed to doing, operationally, in the next three years?</w:t>
      </w:r>
    </w:p>
    <w:p>
      <w:pPr>
        <w:pStyle w:val="ListParagraph"/>
        <w:numPr>
          <w:ilvl w:val="0"/>
          <w:numId w:val="2"/>
        </w:numPr>
        <w:spacing w:after="55"/>
      </w:pPr>
      <w:r>
        <w:rPr>
          <w:rFonts w:ascii="Calibri" w:cs="Calibri" w:eastAsia="Calibri" w:hAnsi="Calibri"/>
          <w:color w:val="57534E"/>
          <w:sz w:val="21"/>
          <w:szCs w:val="21"/>
        </w:rPr>
        <w:t xml:space="preserve">If we succeed at that, what will architecture have had to make easy?</w:t>
      </w:r>
    </w:p>
    <w:p>
      <w:pPr>
        <w:pStyle w:val="ListParagraph"/>
        <w:numPr>
          <w:ilvl w:val="0"/>
          <w:numId w:val="2"/>
        </w:numPr>
        <w:spacing w:after="55"/>
      </w:pPr>
      <w:r>
        <w:rPr>
          <w:rFonts w:ascii="Calibri" w:cs="Calibri" w:eastAsia="Calibri" w:hAnsi="Calibri"/>
          <w:color w:val="57534E"/>
          <w:sz w:val="21"/>
          <w:szCs w:val="21"/>
        </w:rPr>
        <w:t xml:space="preserve">What does that commitment make expensive that used to be cheap?</w:t>
      </w:r>
    </w:p>
    <w:p>
      <w:pPr>
        <w:spacing w:after="110"/>
      </w:pPr>
      <w:r>
        <w:rPr>
          <w:rFonts w:ascii="Calibri" w:cs="Calibri" w:eastAsia="Calibri" w:hAnsi="Calibri"/>
          <w:b w:val="false"/>
          <w:bCs w:val="false"/>
          <w:i/>
          <w:iCs/>
          <w:color w:val="7D766E"/>
          <w:sz w:val="21"/>
          <w:szCs w:val="21"/>
        </w:rPr>
        <w:t xml:space="preserve">Worked: growth by acquisition produces "every capability is designed to absorb an acquired unit within two quarters" - which will decide dozens of arguments about coupling.</w:t>
      </w:r>
    </w:p>
    <w:p>
      <w:pPr>
        <w:pStyle w:val="Heading2"/>
        <w:spacing w:after="70" w:before="220"/>
      </w:pPr>
      <w:r>
        <w:rPr>
          <w:rFonts w:ascii="Cambria" w:cs="Cambria" w:eastAsia="Cambria" w:hAnsi="Cambria"/>
          <w:b/>
          <w:bCs/>
          <w:color w:val="1C1917"/>
          <w:sz w:val="26"/>
          <w:szCs w:val="26"/>
        </w:rPr>
        <w:t xml:space="preserve">Source 2 - the decision log, mined for repetition</w:t>
      </w:r>
    </w:p>
    <w:p>
      <w:pPr>
        <w:pStyle w:val="ListParagraph"/>
        <w:numPr>
          <w:ilvl w:val="0"/>
          <w:numId w:val="2"/>
        </w:numPr>
        <w:spacing w:after="55"/>
      </w:pPr>
      <w:r>
        <w:rPr>
          <w:rFonts w:ascii="Calibri" w:cs="Calibri" w:eastAsia="Calibri" w:hAnsi="Calibri"/>
          <w:color w:val="57534E"/>
          <w:sz w:val="21"/>
          <w:szCs w:val="21"/>
        </w:rPr>
        <w:t xml:space="preserve">Which argument have we had three times? Write the argument, not the decisions.</w:t>
      </w:r>
    </w:p>
    <w:p>
      <w:pPr>
        <w:pStyle w:val="ListParagraph"/>
        <w:numPr>
          <w:ilvl w:val="0"/>
          <w:numId w:val="2"/>
        </w:numPr>
        <w:spacing w:after="55"/>
      </w:pPr>
      <w:r>
        <w:rPr>
          <w:rFonts w:ascii="Calibri" w:cs="Calibri" w:eastAsia="Calibri" w:hAnsi="Calibri"/>
          <w:color w:val="57534E"/>
          <w:sz w:val="21"/>
          <w:szCs w:val="21"/>
        </w:rPr>
        <w:t xml:space="preserve">Which decisions took far longer than their size warranted, and what was actually being negotiated?</w:t>
      </w:r>
    </w:p>
    <w:p>
      <w:pPr>
        <w:pStyle w:val="ListParagraph"/>
        <w:numPr>
          <w:ilvl w:val="0"/>
          <w:numId w:val="2"/>
        </w:numPr>
        <w:spacing w:after="55"/>
      </w:pPr>
      <w:r>
        <w:rPr>
          <w:rFonts w:ascii="Calibri" w:cs="Calibri" w:eastAsia="Calibri" w:hAnsi="Calibri"/>
          <w:color w:val="57534E"/>
          <w:sz w:val="21"/>
          <w:szCs w:val="21"/>
        </w:rPr>
        <w:t xml:space="preserve">Where did we decide one way in March and the opposite way in September, and what changed - the facts or the room?</w:t>
      </w:r>
    </w:p>
    <w:p>
      <w:pPr>
        <w:spacing w:after="110"/>
      </w:pPr>
      <w:r>
        <w:rPr>
          <w:rFonts w:ascii="Calibri" w:cs="Calibri" w:eastAsia="Calibri" w:hAnsi="Calibri"/>
          <w:b w:val="false"/>
          <w:bCs w:val="false"/>
          <w:i/>
          <w:iCs/>
          <w:color w:val="7D766E"/>
          <w:sz w:val="21"/>
          <w:szCs w:val="21"/>
        </w:rPr>
        <w:t xml:space="preserve">Worked: three separate fights about copying data into a reporting store, each resolved differently, is a missing principle about system of record.</w:t>
      </w:r>
    </w:p>
    <w:p>
      <w:pPr>
        <w:pStyle w:val="Heading2"/>
        <w:spacing w:after="70" w:before="220"/>
      </w:pPr>
      <w:r>
        <w:rPr>
          <w:rFonts w:ascii="Cambria" w:cs="Cambria" w:eastAsia="Cambria" w:hAnsi="Cambria"/>
          <w:b/>
          <w:bCs/>
          <w:color w:val="1C1917"/>
          <w:sz w:val="26"/>
          <w:szCs w:val="26"/>
        </w:rPr>
        <w:t xml:space="preserve">Source 3 - the incidents</w:t>
      </w:r>
    </w:p>
    <w:p>
      <w:pPr>
        <w:pStyle w:val="ListParagraph"/>
        <w:numPr>
          <w:ilvl w:val="0"/>
          <w:numId w:val="2"/>
        </w:numPr>
        <w:spacing w:after="55"/>
      </w:pPr>
      <w:r>
        <w:rPr>
          <w:rFonts w:ascii="Calibri" w:cs="Calibri" w:eastAsia="Calibri" w:hAnsi="Calibri"/>
          <w:color w:val="57534E"/>
          <w:sz w:val="21"/>
          <w:szCs w:val="21"/>
        </w:rPr>
        <w:t xml:space="preserve">What broke in the last year, and what did the post-mortem say would have prevented it?</w:t>
      </w:r>
    </w:p>
    <w:p>
      <w:pPr>
        <w:pStyle w:val="ListParagraph"/>
        <w:numPr>
          <w:ilvl w:val="0"/>
          <w:numId w:val="2"/>
        </w:numPr>
        <w:spacing w:after="55"/>
      </w:pPr>
      <w:r>
        <w:rPr>
          <w:rFonts w:ascii="Calibri" w:cs="Calibri" w:eastAsia="Calibri" w:hAnsi="Calibri"/>
          <w:color w:val="57534E"/>
          <w:sz w:val="21"/>
          <w:szCs w:val="21"/>
        </w:rPr>
        <w:t xml:space="preserve">Which of those preventions was never turned into a standing rule?</w:t>
      </w:r>
    </w:p>
    <w:p>
      <w:pPr>
        <w:pStyle w:val="ListParagraph"/>
        <w:numPr>
          <w:ilvl w:val="0"/>
          <w:numId w:val="2"/>
        </w:numPr>
        <w:spacing w:after="55"/>
      </w:pPr>
      <w:r>
        <w:rPr>
          <w:rFonts w:ascii="Calibri" w:cs="Calibri" w:eastAsia="Calibri" w:hAnsi="Calibri"/>
          <w:color w:val="57534E"/>
          <w:sz w:val="21"/>
          <w:szCs w:val="21"/>
        </w:rPr>
        <w:t xml:space="preserve">Which incident could recur tomorrow with a different system and the same cause?</w:t>
      </w:r>
    </w:p>
    <w:p>
      <w:pPr>
        <w:pStyle w:val="Heading2"/>
        <w:spacing w:after="70" w:before="220"/>
      </w:pPr>
      <w:r>
        <w:rPr>
          <w:rFonts w:ascii="Cambria" w:cs="Cambria" w:eastAsia="Cambria" w:hAnsi="Cambria"/>
          <w:b/>
          <w:bCs/>
          <w:color w:val="1C1917"/>
          <w:sz w:val="26"/>
          <w:szCs w:val="26"/>
        </w:rPr>
        <w:t xml:space="preserve">Source 4 - the constraints</w:t>
      </w:r>
    </w:p>
    <w:p>
      <w:pPr>
        <w:pStyle w:val="ListParagraph"/>
        <w:numPr>
          <w:ilvl w:val="0"/>
          <w:numId w:val="2"/>
        </w:numPr>
        <w:spacing w:after="55"/>
      </w:pPr>
      <w:r>
        <w:rPr>
          <w:rFonts w:ascii="Calibri" w:cs="Calibri" w:eastAsia="Calibri" w:hAnsi="Calibri"/>
          <w:color w:val="57534E"/>
          <w:sz w:val="21"/>
          <w:szCs w:val="21"/>
        </w:rPr>
        <w:t xml:space="preserve">What can we genuinely not mandate here, and what follows from that?</w:t>
      </w:r>
    </w:p>
    <w:p>
      <w:pPr>
        <w:pStyle w:val="ListParagraph"/>
        <w:numPr>
          <w:ilvl w:val="0"/>
          <w:numId w:val="2"/>
        </w:numPr>
        <w:spacing w:after="55"/>
      </w:pPr>
      <w:r>
        <w:rPr>
          <w:rFonts w:ascii="Calibri" w:cs="Calibri" w:eastAsia="Calibri" w:hAnsi="Calibri"/>
          <w:color w:val="57534E"/>
          <w:sz w:val="21"/>
          <w:szCs w:val="21"/>
        </w:rPr>
        <w:t xml:space="preserve">What does the regulator require that we currently handle by heroics?</w:t>
      </w:r>
    </w:p>
    <w:p>
      <w:pPr>
        <w:pStyle w:val="ListParagraph"/>
        <w:numPr>
          <w:ilvl w:val="0"/>
          <w:numId w:val="2"/>
        </w:numPr>
        <w:spacing w:after="55"/>
      </w:pPr>
      <w:r>
        <w:rPr>
          <w:rFonts w:ascii="Calibri" w:cs="Calibri" w:eastAsia="Calibri" w:hAnsi="Calibri"/>
          <w:color w:val="57534E"/>
          <w:sz w:val="21"/>
          <w:szCs w:val="21"/>
        </w:rPr>
        <w:t xml:space="preserve">Where is the money structurally, and what does that make impossible?</w:t>
      </w:r>
    </w:p>
    <w:p>
      <w:pPr>
        <w:pStyle w:val="Heading2"/>
        <w:spacing w:after="70" w:before="220"/>
      </w:pPr>
      <w:r>
        <w:rPr>
          <w:rFonts w:ascii="Cambria" w:cs="Cambria" w:eastAsia="Cambria" w:hAnsi="Cambria"/>
          <w:b/>
          <w:bCs/>
          <w:color w:val="1C1917"/>
          <w:sz w:val="26"/>
          <w:szCs w:val="26"/>
        </w:rPr>
        <w:t xml:space="preserve">Source 5 - what we are honestly bad at</w:t>
      </w:r>
    </w:p>
    <w:p>
      <w:pPr>
        <w:pStyle w:val="ListParagraph"/>
        <w:numPr>
          <w:ilvl w:val="0"/>
          <w:numId w:val="2"/>
        </w:numPr>
        <w:spacing w:after="55"/>
      </w:pPr>
      <w:r>
        <w:rPr>
          <w:rFonts w:ascii="Calibri" w:cs="Calibri" w:eastAsia="Calibri" w:hAnsi="Calibri"/>
          <w:color w:val="57534E"/>
          <w:sz w:val="21"/>
          <w:szCs w:val="21"/>
        </w:rPr>
        <w:t xml:space="preserve">What do we consistently under-invest in until it hurts?</w:t>
      </w:r>
    </w:p>
    <w:p>
      <w:pPr>
        <w:pStyle w:val="ListParagraph"/>
        <w:numPr>
          <w:ilvl w:val="0"/>
          <w:numId w:val="2"/>
        </w:numPr>
        <w:spacing w:after="55"/>
      </w:pPr>
      <w:r>
        <w:rPr>
          <w:rFonts w:ascii="Calibri" w:cs="Calibri" w:eastAsia="Calibri" w:hAnsi="Calibri"/>
          <w:color w:val="57534E"/>
          <w:sz w:val="21"/>
          <w:szCs w:val="21"/>
        </w:rPr>
        <w:t xml:space="preserve">What do we always discover late?</w:t>
      </w:r>
    </w:p>
    <w:p>
      <w:pPr>
        <w:pStyle w:val="ListParagraph"/>
        <w:numPr>
          <w:ilvl w:val="0"/>
          <w:numId w:val="2"/>
        </w:numPr>
        <w:spacing w:after="55"/>
      </w:pPr>
      <w:r>
        <w:rPr>
          <w:rFonts w:ascii="Calibri" w:cs="Calibri" w:eastAsia="Calibri" w:hAnsi="Calibri"/>
          <w:color w:val="57534E"/>
          <w:sz w:val="21"/>
          <w:szCs w:val="21"/>
        </w:rPr>
        <w:t xml:space="preserve">What would a new joiner notice in their first month that we have stopped seeing?</w:t>
      </w:r>
    </w:p>
    <w:p>
      <w:pPr>
        <w:pBdr>
          <w:left w:val="single" w:color="E4E0D7" w:sz="12" w:space="12"/>
        </w:pBdr>
        <w:spacing w:after="110"/>
        <w:ind w:left="340"/>
      </w:pPr>
      <w:r>
        <w:rPr>
          <w:rFonts w:ascii="Calibri" w:cs="Calibri" w:eastAsia="Calibri" w:hAnsi="Calibri"/>
          <w:color w:val="57534E"/>
          <w:sz w:val="21"/>
          <w:szCs w:val="21"/>
        </w:rPr>
        <w:t xml:space="preserve">Principles are prosthetics for organizational weaknesses. That is exactly why copying another company's set is worse than useless - you inherit their prosthetics for your own limbs.</w:t>
      </w:r>
    </w:p>
    <w:p>
      <w:r>
        <w:br w:type="page"/>
      </w:r>
    </w:p>
    <w:p>
      <w:pPr>
        <w:pStyle w:val="Heading1"/>
        <w:spacing w:after="110" w:before="340"/>
      </w:pPr>
      <w:r>
        <w:rPr>
          <w:rFonts w:ascii="Cambria" w:cs="Cambria" w:eastAsia="Cambria" w:hAnsi="Cambria"/>
          <w:b/>
          <w:bCs/>
          <w:color w:val="1C1917"/>
          <w:sz w:val="32"/>
          <w:szCs w:val="32"/>
        </w:rPr>
        <w:t xml:space="preserve">3. The candidate-testing script</w:t>
      </w:r>
    </w:p>
    <w:p>
      <w:pPr>
        <w:spacing w:after="150"/>
      </w:pPr>
      <w:r>
        <w:rPr>
          <w:rFonts w:ascii="Calibri" w:cs="Calibri" w:eastAsia="Calibri" w:hAnsi="Calibri"/>
          <w:i/>
          <w:iCs/>
          <w:color w:val="14606B"/>
          <w:sz w:val="19"/>
          <w:szCs w:val="19"/>
        </w:rPr>
        <w:t xml:space="preserve">Run every candidate through all five. A candidate that fails the first test is deleted, not reworded.</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700"/>
        <w:gridCol w:w="4600"/>
        <w:gridCol w:w="3300"/>
      </w:tblGrid>
      <w:tr>
        <w:tc>
          <w:tcPr>
            <w:tcW w:type="dxa" w:w="1700"/>
            <w:shd w:fill="14606B" w:val="clear"/>
            <w:tcMar>
              <w:top w:type="dxa" w:w="70"/>
              <w:left w:type="dxa" w:w="110"/>
              <w:bottom w:type="dxa" w:w="70"/>
              <w:right w:type="dxa" w:w="110"/>
            </w:tcMar>
          </w:tcPr>
          <w:p>
            <w:r>
              <w:rPr>
                <w:rFonts w:ascii="Calibri" w:cs="Calibri" w:eastAsia="Calibri" w:hAnsi="Calibri"/>
                <w:b/>
                <w:bCs/>
                <w:color w:val="FFFFFF"/>
                <w:sz w:val="19"/>
                <w:szCs w:val="19"/>
              </w:rPr>
              <w:t xml:space="preserve">Test</w:t>
            </w:r>
          </w:p>
        </w:tc>
        <w:tc>
          <w:tcPr>
            <w:tcW w:type="dxa" w:w="4600"/>
            <w:shd w:fill="14606B" w:val="clear"/>
            <w:tcMar>
              <w:top w:type="dxa" w:w="70"/>
              <w:left w:type="dxa" w:w="110"/>
              <w:bottom w:type="dxa" w:w="70"/>
              <w:right w:type="dxa" w:w="110"/>
            </w:tcMar>
          </w:tcPr>
          <w:p>
            <w:r>
              <w:rPr>
                <w:rFonts w:ascii="Calibri" w:cs="Calibri" w:eastAsia="Calibri" w:hAnsi="Calibri"/>
                <w:b/>
                <w:bCs/>
                <w:color w:val="FFFFFF"/>
                <w:sz w:val="19"/>
                <w:szCs w:val="19"/>
              </w:rPr>
              <w:t xml:space="preserve">Question</w:t>
            </w:r>
          </w:p>
        </w:tc>
        <w:tc>
          <w:tcPr>
            <w:tcW w:type="dxa" w:w="3300"/>
            <w:shd w:fill="14606B" w:val="clear"/>
            <w:tcMar>
              <w:top w:type="dxa" w:w="70"/>
              <w:left w:type="dxa" w:w="110"/>
              <w:bottom w:type="dxa" w:w="70"/>
              <w:right w:type="dxa" w:w="110"/>
            </w:tcMar>
          </w:tcPr>
          <w:p>
            <w:r>
              <w:rPr>
                <w:rFonts w:ascii="Calibri" w:cs="Calibri" w:eastAsia="Calibri" w:hAnsi="Calibri"/>
                <w:b/>
                <w:bCs/>
                <w:color w:val="FFFFFF"/>
                <w:sz w:val="19"/>
                <w:szCs w:val="19"/>
              </w:rPr>
              <w:t xml:space="preserve">Fails when</w:t>
            </w:r>
          </w:p>
        </w:tc>
      </w:tr>
      <w:tr>
        <w:tc>
          <w:tcPr>
            <w:tcW w:type="dxa" w:w="1700"/>
            <w:shd w:fill="FFFFFF" w:val="clear"/>
            <w:tcMar>
              <w:top w:type="dxa" w:w="70"/>
              <w:left w:type="dxa" w:w="110"/>
              <w:bottom w:type="dxa" w:w="70"/>
              <w:right w:type="dxa" w:w="110"/>
            </w:tcMar>
          </w:tcPr>
          <w:p>
            <w:r>
              <w:rPr>
                <w:rFonts w:ascii="Calibri" w:cs="Calibri" w:eastAsia="Calibri" w:hAnsi="Calibri"/>
                <w:b/>
                <w:bCs/>
                <w:color w:val="1C1917"/>
                <w:sz w:val="19"/>
                <w:szCs w:val="19"/>
              </w:rPr>
              <w:t xml:space="preserve">Falsifiability</w:t>
            </w:r>
          </w:p>
        </w:tc>
        <w:tc>
          <w:tcPr>
            <w:tcW w:type="dxa" w:w="4600"/>
            <w:shd w:fill="FFFFFF" w:val="clear"/>
            <w:tcMar>
              <w:top w:type="dxa" w:w="70"/>
              <w:left w:type="dxa" w:w="110"/>
              <w:bottom w:type="dxa" w:w="70"/>
              <w:right w:type="dxa" w:w="110"/>
            </w:tcMar>
          </w:tcPr>
          <w:p>
            <w:r>
              <w:rPr>
                <w:rFonts w:ascii="Calibri" w:cs="Calibri" w:eastAsia="Calibri" w:hAnsi="Calibri"/>
                <w:b w:val="false"/>
                <w:bCs w:val="false"/>
                <w:color w:val="57534E"/>
                <w:sz w:val="19"/>
                <w:szCs w:val="19"/>
              </w:rPr>
              <w:t xml:space="preserve">Name a real decision from the last year where this would have forced the less comfortable option</w:t>
            </w:r>
          </w:p>
        </w:tc>
        <w:tc>
          <w:tcPr>
            <w:tcW w:type="dxa" w:w="3300"/>
            <w:shd w:fill="FFFFFF" w:val="clear"/>
            <w:tcMar>
              <w:top w:type="dxa" w:w="70"/>
              <w:left w:type="dxa" w:w="110"/>
              <w:bottom w:type="dxa" w:w="70"/>
              <w:right w:type="dxa" w:w="110"/>
            </w:tcMar>
          </w:tcPr>
          <w:p>
            <w:r>
              <w:rPr>
                <w:rFonts w:ascii="Calibri" w:cs="Calibri" w:eastAsia="Calibri" w:hAnsi="Calibri"/>
                <w:b w:val="false"/>
                <w:bCs w:val="false"/>
                <w:color w:val="57534E"/>
                <w:sz w:val="19"/>
                <w:szCs w:val="19"/>
              </w:rPr>
              <w:t xml:space="preserve">No example, or the example would have gone the same way anyway</w:t>
            </w:r>
          </w:p>
        </w:tc>
      </w:tr>
      <w:tr>
        <w:tc>
          <w:tcPr>
            <w:tcW w:type="dxa" w:w="1700"/>
            <w:shd w:fill="F2F0EA" w:val="clear"/>
            <w:tcMar>
              <w:top w:type="dxa" w:w="70"/>
              <w:left w:type="dxa" w:w="110"/>
              <w:bottom w:type="dxa" w:w="70"/>
              <w:right w:type="dxa" w:w="110"/>
            </w:tcMar>
          </w:tcPr>
          <w:p>
            <w:r>
              <w:rPr>
                <w:rFonts w:ascii="Calibri" w:cs="Calibri" w:eastAsia="Calibri" w:hAnsi="Calibri"/>
                <w:b/>
                <w:bCs/>
                <w:color w:val="1C1917"/>
                <w:sz w:val="19"/>
                <w:szCs w:val="19"/>
              </w:rPr>
              <w:t xml:space="preserve">The opposite</w:t>
            </w:r>
          </w:p>
        </w:tc>
        <w:tc>
          <w:tcPr>
            <w:tcW w:type="dxa" w:w="4600"/>
            <w:shd w:fill="F2F0EA" w:val="clear"/>
            <w:tcMar>
              <w:top w:type="dxa" w:w="70"/>
              <w:left w:type="dxa" w:w="110"/>
              <w:bottom w:type="dxa" w:w="70"/>
              <w:right w:type="dxa" w:w="110"/>
            </w:tcMar>
          </w:tcPr>
          <w:p>
            <w:r>
              <w:rPr>
                <w:rFonts w:ascii="Calibri" w:cs="Calibri" w:eastAsia="Calibri" w:hAnsi="Calibri"/>
                <w:b w:val="false"/>
                <w:bCs w:val="false"/>
                <w:color w:val="57534E"/>
                <w:sz w:val="19"/>
                <w:szCs w:val="19"/>
              </w:rPr>
              <w:t xml:space="preserve">Does the opposite sound insane, or merely different?</w:t>
            </w:r>
          </w:p>
        </w:tc>
        <w:tc>
          <w:tcPr>
            <w:tcW w:type="dxa" w:w="3300"/>
            <w:shd w:fill="F2F0EA" w:val="clear"/>
            <w:tcMar>
              <w:top w:type="dxa" w:w="70"/>
              <w:left w:type="dxa" w:w="110"/>
              <w:bottom w:type="dxa" w:w="70"/>
              <w:right w:type="dxa" w:w="110"/>
            </w:tcMar>
          </w:tcPr>
          <w:p>
            <w:r>
              <w:rPr>
                <w:rFonts w:ascii="Calibri" w:cs="Calibri" w:eastAsia="Calibri" w:hAnsi="Calibri"/>
                <w:b w:val="false"/>
                <w:bCs w:val="false"/>
                <w:color w:val="57534E"/>
                <w:sz w:val="19"/>
                <w:szCs w:val="19"/>
              </w:rPr>
              <w:t xml:space="preserve">Insane - the statement carries no information</w:t>
            </w:r>
          </w:p>
        </w:tc>
      </w:tr>
      <w:tr>
        <w:tc>
          <w:tcPr>
            <w:tcW w:type="dxa" w:w="1700"/>
            <w:shd w:fill="FFFFFF" w:val="clear"/>
            <w:tcMar>
              <w:top w:type="dxa" w:w="70"/>
              <w:left w:type="dxa" w:w="110"/>
              <w:bottom w:type="dxa" w:w="70"/>
              <w:right w:type="dxa" w:w="110"/>
            </w:tcMar>
          </w:tcPr>
          <w:p>
            <w:r>
              <w:rPr>
                <w:rFonts w:ascii="Calibri" w:cs="Calibri" w:eastAsia="Calibri" w:hAnsi="Calibri"/>
                <w:b/>
                <w:bCs/>
                <w:color w:val="1C1917"/>
                <w:sz w:val="19"/>
                <w:szCs w:val="19"/>
              </w:rPr>
              <w:t xml:space="preserve">Victims</w:t>
            </w:r>
          </w:p>
        </w:tc>
        <w:tc>
          <w:tcPr>
            <w:tcW w:type="dxa" w:w="4600"/>
            <w:shd w:fill="FFFFFF" w:val="clear"/>
            <w:tcMar>
              <w:top w:type="dxa" w:w="70"/>
              <w:left w:type="dxa" w:w="110"/>
              <w:bottom w:type="dxa" w:w="70"/>
              <w:right w:type="dxa" w:w="110"/>
            </w:tcMar>
          </w:tcPr>
          <w:p>
            <w:r>
              <w:rPr>
                <w:rFonts w:ascii="Calibri" w:cs="Calibri" w:eastAsia="Calibri" w:hAnsi="Calibri"/>
                <w:b w:val="false"/>
                <w:bCs w:val="false"/>
                <w:color w:val="57534E"/>
                <w:sz w:val="19"/>
                <w:szCs w:val="19"/>
              </w:rPr>
              <w:t xml:space="preserve">Who loses an argument because of this, by name, this quarter?</w:t>
            </w:r>
          </w:p>
        </w:tc>
        <w:tc>
          <w:tcPr>
            <w:tcW w:type="dxa" w:w="3300"/>
            <w:shd w:fill="FFFFFF" w:val="clear"/>
            <w:tcMar>
              <w:top w:type="dxa" w:w="70"/>
              <w:left w:type="dxa" w:w="110"/>
              <w:bottom w:type="dxa" w:w="70"/>
              <w:right w:type="dxa" w:w="110"/>
            </w:tcMar>
          </w:tcPr>
          <w:p>
            <w:r>
              <w:rPr>
                <w:rFonts w:ascii="Calibri" w:cs="Calibri" w:eastAsia="Calibri" w:hAnsi="Calibri"/>
                <w:b w:val="false"/>
                <w:bCs w:val="false"/>
                <w:color w:val="57534E"/>
                <w:sz w:val="19"/>
                <w:szCs w:val="19"/>
              </w:rPr>
              <w:t xml:space="preserve">Nobody</w:t>
            </w:r>
          </w:p>
        </w:tc>
      </w:tr>
      <w:tr>
        <w:tc>
          <w:tcPr>
            <w:tcW w:type="dxa" w:w="1700"/>
            <w:shd w:fill="F2F0EA" w:val="clear"/>
            <w:tcMar>
              <w:top w:type="dxa" w:w="70"/>
              <w:left w:type="dxa" w:w="110"/>
              <w:bottom w:type="dxa" w:w="70"/>
              <w:right w:type="dxa" w:w="110"/>
            </w:tcMar>
          </w:tcPr>
          <w:p>
            <w:r>
              <w:rPr>
                <w:rFonts w:ascii="Calibri" w:cs="Calibri" w:eastAsia="Calibri" w:hAnsi="Calibri"/>
                <w:b/>
                <w:bCs/>
                <w:color w:val="1C1917"/>
                <w:sz w:val="19"/>
                <w:szCs w:val="19"/>
              </w:rPr>
              <w:t xml:space="preserve">Cost</w:t>
            </w:r>
          </w:p>
        </w:tc>
        <w:tc>
          <w:tcPr>
            <w:tcW w:type="dxa" w:w="4600"/>
            <w:shd w:fill="F2F0EA" w:val="clear"/>
            <w:tcMar>
              <w:top w:type="dxa" w:w="70"/>
              <w:left w:type="dxa" w:w="110"/>
              <w:bottom w:type="dxa" w:w="70"/>
              <w:right w:type="dxa" w:w="110"/>
            </w:tcMar>
          </w:tcPr>
          <w:p>
            <w:r>
              <w:rPr>
                <w:rFonts w:ascii="Calibri" w:cs="Calibri" w:eastAsia="Calibri" w:hAnsi="Calibri"/>
                <w:b w:val="false"/>
                <w:bCs w:val="false"/>
                <w:color w:val="57534E"/>
                <w:sz w:val="19"/>
                <w:szCs w:val="19"/>
              </w:rPr>
              <w:t xml:space="preserve">What are we accepting in exchange? State it plainly</w:t>
            </w:r>
          </w:p>
        </w:tc>
        <w:tc>
          <w:tcPr>
            <w:tcW w:type="dxa" w:w="3300"/>
            <w:shd w:fill="F2F0EA" w:val="clear"/>
            <w:tcMar>
              <w:top w:type="dxa" w:w="70"/>
              <w:left w:type="dxa" w:w="110"/>
              <w:bottom w:type="dxa" w:w="70"/>
              <w:right w:type="dxa" w:w="110"/>
            </w:tcMar>
          </w:tcPr>
          <w:p>
            <w:r>
              <w:rPr>
                <w:rFonts w:ascii="Calibri" w:cs="Calibri" w:eastAsia="Calibri" w:hAnsi="Calibri"/>
                <w:b w:val="false"/>
                <w:bCs w:val="false"/>
                <w:color w:val="57534E"/>
                <w:sz w:val="19"/>
                <w:szCs w:val="19"/>
              </w:rPr>
              <w:t xml:space="preserve">No cost can be named - it is a preference, not a trade-off</w:t>
            </w:r>
          </w:p>
        </w:tc>
      </w:tr>
      <w:tr>
        <w:tc>
          <w:tcPr>
            <w:tcW w:type="dxa" w:w="1700"/>
            <w:shd w:fill="FFFFFF" w:val="clear"/>
            <w:tcMar>
              <w:top w:type="dxa" w:w="70"/>
              <w:left w:type="dxa" w:w="110"/>
              <w:bottom w:type="dxa" w:w="70"/>
              <w:right w:type="dxa" w:w="110"/>
            </w:tcMar>
          </w:tcPr>
          <w:p>
            <w:r>
              <w:rPr>
                <w:rFonts w:ascii="Calibri" w:cs="Calibri" w:eastAsia="Calibri" w:hAnsi="Calibri"/>
                <w:b/>
                <w:bCs/>
                <w:color w:val="1C1917"/>
                <w:sz w:val="19"/>
                <w:szCs w:val="19"/>
              </w:rPr>
              <w:t xml:space="preserve">Recall</w:t>
            </w:r>
          </w:p>
        </w:tc>
        <w:tc>
          <w:tcPr>
            <w:tcW w:type="dxa" w:w="4600"/>
            <w:shd w:fill="FFFFFF" w:val="clear"/>
            <w:tcMar>
              <w:top w:type="dxa" w:w="70"/>
              <w:left w:type="dxa" w:w="110"/>
              <w:bottom w:type="dxa" w:w="70"/>
              <w:right w:type="dxa" w:w="110"/>
            </w:tcMar>
          </w:tcPr>
          <w:p>
            <w:r>
              <w:rPr>
                <w:rFonts w:ascii="Calibri" w:cs="Calibri" w:eastAsia="Calibri" w:hAnsi="Calibri"/>
                <w:b w:val="false"/>
                <w:bCs w:val="false"/>
                <w:color w:val="57534E"/>
                <w:sz w:val="19"/>
                <w:szCs w:val="19"/>
              </w:rPr>
              <w:t xml:space="preserve">Can someone quote it in a corridor without opening the page?</w:t>
            </w:r>
          </w:p>
        </w:tc>
        <w:tc>
          <w:tcPr>
            <w:tcW w:type="dxa" w:w="3300"/>
            <w:shd w:fill="FFFFFF" w:val="clear"/>
            <w:tcMar>
              <w:top w:type="dxa" w:w="70"/>
              <w:left w:type="dxa" w:w="110"/>
              <w:bottom w:type="dxa" w:w="70"/>
              <w:right w:type="dxa" w:w="110"/>
            </w:tcMar>
          </w:tcPr>
          <w:p>
            <w:r>
              <w:rPr>
                <w:rFonts w:ascii="Calibri" w:cs="Calibri" w:eastAsia="Calibri" w:hAnsi="Calibri"/>
                <w:b w:val="false"/>
                <w:bCs w:val="false"/>
                <w:color w:val="57534E"/>
                <w:sz w:val="19"/>
                <w:szCs w:val="19"/>
              </w:rPr>
              <w:t xml:space="preserve">It needs sub-clauses to be understood</w:t>
            </w:r>
          </w:p>
        </w:tc>
      </w:tr>
    </w:tbl>
    <w:p>
      <w:pPr>
        <w:pStyle w:val="Heading2"/>
        <w:spacing w:after="70" w:before="220"/>
      </w:pPr>
      <w:r>
        <w:rPr>
          <w:rFonts w:ascii="Cambria" w:cs="Cambria" w:eastAsia="Cambria" w:hAnsi="Cambria"/>
          <w:b/>
          <w:bCs/>
          <w:color w:val="1C1917"/>
          <w:sz w:val="26"/>
          <w:szCs w:val="26"/>
        </w:rPr>
        <w:t xml:space="preserve">Worked comparison</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900"/>
        <w:gridCol w:w="3300"/>
        <w:gridCol w:w="4400"/>
      </w:tblGrid>
      <w:tr>
        <w:tc>
          <w:tcPr>
            <w:tcW w:type="dxa" w:w="1900"/>
            <w:shd w:fill="14606B" w:val="clear"/>
            <w:tcMar>
              <w:top w:type="dxa" w:w="70"/>
              <w:left w:type="dxa" w:w="110"/>
              <w:bottom w:type="dxa" w:w="70"/>
              <w:right w:type="dxa" w:w="110"/>
            </w:tcMar>
          </w:tcPr>
          <w:p>
            <w:r>
              <w:rPr>
                <w:rFonts w:ascii="Calibri" w:cs="Calibri" w:eastAsia="Calibri" w:hAnsi="Calibri"/>
                <w:b/>
                <w:bCs/>
                <w:color w:val="FFFFFF"/>
                <w:sz w:val="19"/>
                <w:szCs w:val="19"/>
              </w:rPr>
              <w:t xml:space="preserve"/>
            </w:r>
          </w:p>
        </w:tc>
        <w:tc>
          <w:tcPr>
            <w:tcW w:type="dxa" w:w="3300"/>
            <w:shd w:fill="14606B" w:val="clear"/>
            <w:tcMar>
              <w:top w:type="dxa" w:w="70"/>
              <w:left w:type="dxa" w:w="110"/>
              <w:bottom w:type="dxa" w:w="70"/>
              <w:right w:type="dxa" w:w="110"/>
            </w:tcMar>
          </w:tcPr>
          <w:p>
            <w:r>
              <w:rPr>
                <w:rFonts w:ascii="Calibri" w:cs="Calibri" w:eastAsia="Calibri" w:hAnsi="Calibri"/>
                <w:b/>
                <w:bCs/>
                <w:color w:val="FFFFFF"/>
                <w:sz w:val="19"/>
                <w:szCs w:val="19"/>
              </w:rPr>
              <w:t xml:space="preserve">Framework version</w:t>
            </w:r>
          </w:p>
        </w:tc>
        <w:tc>
          <w:tcPr>
            <w:tcW w:type="dxa" w:w="4400"/>
            <w:shd w:fill="14606B" w:val="clear"/>
            <w:tcMar>
              <w:top w:type="dxa" w:w="70"/>
              <w:left w:type="dxa" w:w="110"/>
              <w:bottom w:type="dxa" w:w="70"/>
              <w:right w:type="dxa" w:w="110"/>
            </w:tcMar>
          </w:tcPr>
          <w:p>
            <w:r>
              <w:rPr>
                <w:rFonts w:ascii="Calibri" w:cs="Calibri" w:eastAsia="Calibri" w:hAnsi="Calibri"/>
                <w:b/>
                <w:bCs/>
                <w:color w:val="FFFFFF"/>
                <w:sz w:val="19"/>
                <w:szCs w:val="19"/>
              </w:rPr>
              <w:t xml:space="preserve">Rooted version</w:t>
            </w:r>
          </w:p>
        </w:tc>
      </w:tr>
      <w:tr>
        <w:tc>
          <w:tcPr>
            <w:tcW w:type="dxa" w:w="1900"/>
            <w:shd w:fill="FFFFFF" w:val="clear"/>
            <w:tcMar>
              <w:top w:type="dxa" w:w="70"/>
              <w:left w:type="dxa" w:w="110"/>
              <w:bottom w:type="dxa" w:w="70"/>
              <w:right w:type="dxa" w:w="110"/>
            </w:tcMar>
          </w:tcPr>
          <w:p>
            <w:r>
              <w:rPr>
                <w:rFonts w:ascii="Calibri" w:cs="Calibri" w:eastAsia="Calibri" w:hAnsi="Calibri"/>
                <w:b/>
                <w:bCs/>
                <w:color w:val="1C1917"/>
                <w:sz w:val="19"/>
                <w:szCs w:val="19"/>
              </w:rPr>
              <w:t xml:space="preserve">Statement</w:t>
            </w:r>
          </w:p>
        </w:tc>
        <w:tc>
          <w:tcPr>
            <w:tcW w:type="dxa" w:w="3300"/>
            <w:shd w:fill="FFFFFF" w:val="clear"/>
            <w:tcMar>
              <w:top w:type="dxa" w:w="70"/>
              <w:left w:type="dxa" w:w="110"/>
              <w:bottom w:type="dxa" w:w="70"/>
              <w:right w:type="dxa" w:w="110"/>
            </w:tcMar>
          </w:tcPr>
          <w:p>
            <w:r>
              <w:rPr>
                <w:rFonts w:ascii="Calibri" w:cs="Calibri" w:eastAsia="Calibri" w:hAnsi="Calibri"/>
                <w:b w:val="false"/>
                <w:bCs w:val="false"/>
                <w:color w:val="57534E"/>
                <w:sz w:val="19"/>
                <w:szCs w:val="19"/>
              </w:rPr>
              <w:t xml:space="preserve">Data is an asset</w:t>
            </w:r>
          </w:p>
        </w:tc>
        <w:tc>
          <w:tcPr>
            <w:tcW w:type="dxa" w:w="4400"/>
            <w:shd w:fill="FFFFFF" w:val="clear"/>
            <w:tcMar>
              <w:top w:type="dxa" w:w="70"/>
              <w:left w:type="dxa" w:w="110"/>
              <w:bottom w:type="dxa" w:w="70"/>
              <w:right w:type="dxa" w:w="110"/>
            </w:tcMar>
          </w:tcPr>
          <w:p>
            <w:r>
              <w:rPr>
                <w:rFonts w:ascii="Calibri" w:cs="Calibri" w:eastAsia="Calibri" w:hAnsi="Calibri"/>
                <w:b w:val="false"/>
                <w:bCs w:val="false"/>
                <w:color w:val="57534E"/>
                <w:sz w:val="19"/>
                <w:szCs w:val="19"/>
              </w:rPr>
              <w:t xml:space="preserve">One system of record per object, even when a second copy would ship faster</w:t>
            </w:r>
          </w:p>
        </w:tc>
      </w:tr>
      <w:tr>
        <w:tc>
          <w:tcPr>
            <w:tcW w:type="dxa" w:w="1900"/>
            <w:shd w:fill="F2F0EA" w:val="clear"/>
            <w:tcMar>
              <w:top w:type="dxa" w:w="70"/>
              <w:left w:type="dxa" w:w="110"/>
              <w:bottom w:type="dxa" w:w="70"/>
              <w:right w:type="dxa" w:w="110"/>
            </w:tcMar>
          </w:tcPr>
          <w:p>
            <w:r>
              <w:rPr>
                <w:rFonts w:ascii="Calibri" w:cs="Calibri" w:eastAsia="Calibri" w:hAnsi="Calibri"/>
                <w:b/>
                <w:bCs/>
                <w:color w:val="1C1917"/>
                <w:sz w:val="19"/>
                <w:szCs w:val="19"/>
              </w:rPr>
              <w:t xml:space="preserve">What it forbids</w:t>
            </w:r>
          </w:p>
        </w:tc>
        <w:tc>
          <w:tcPr>
            <w:tcW w:type="dxa" w:w="3300"/>
            <w:shd w:fill="F2F0EA" w:val="clear"/>
            <w:tcMar>
              <w:top w:type="dxa" w:w="70"/>
              <w:left w:type="dxa" w:w="110"/>
              <w:bottom w:type="dxa" w:w="70"/>
              <w:right w:type="dxa" w:w="110"/>
            </w:tcMar>
          </w:tcPr>
          <w:p>
            <w:r>
              <w:rPr>
                <w:rFonts w:ascii="Calibri" w:cs="Calibri" w:eastAsia="Calibri" w:hAnsi="Calibri"/>
                <w:b w:val="false"/>
                <w:bCs w:val="false"/>
                <w:color w:val="57534E"/>
                <w:sz w:val="19"/>
                <w:szCs w:val="19"/>
              </w:rPr>
              <w:t xml:space="preserve">Nothing in practice</w:t>
            </w:r>
          </w:p>
        </w:tc>
        <w:tc>
          <w:tcPr>
            <w:tcW w:type="dxa" w:w="4400"/>
            <w:shd w:fill="F2F0EA" w:val="clear"/>
            <w:tcMar>
              <w:top w:type="dxa" w:w="70"/>
              <w:left w:type="dxa" w:w="110"/>
              <w:bottom w:type="dxa" w:w="70"/>
              <w:right w:type="dxa" w:w="110"/>
            </w:tcMar>
          </w:tcPr>
          <w:p>
            <w:r>
              <w:rPr>
                <w:rFonts w:ascii="Calibri" w:cs="Calibri" w:eastAsia="Calibri" w:hAnsi="Calibri"/>
                <w:b w:val="false"/>
                <w:bCs w:val="false"/>
                <w:color w:val="57534E"/>
                <w:sz w:val="19"/>
                <w:szCs w:val="19"/>
              </w:rPr>
              <w:t xml:space="preserve">The fast local database that would have shipped the campaign three weeks earlier</w:t>
            </w:r>
          </w:p>
        </w:tc>
      </w:tr>
      <w:tr>
        <w:tc>
          <w:tcPr>
            <w:tcW w:type="dxa" w:w="1900"/>
            <w:shd w:fill="FFFFFF" w:val="clear"/>
            <w:tcMar>
              <w:top w:type="dxa" w:w="70"/>
              <w:left w:type="dxa" w:w="110"/>
              <w:bottom w:type="dxa" w:w="70"/>
              <w:right w:type="dxa" w:w="110"/>
            </w:tcMar>
          </w:tcPr>
          <w:p>
            <w:r>
              <w:rPr>
                <w:rFonts w:ascii="Calibri" w:cs="Calibri" w:eastAsia="Calibri" w:hAnsi="Calibri"/>
                <w:b/>
                <w:bCs/>
                <w:color w:val="1C1917"/>
                <w:sz w:val="19"/>
                <w:szCs w:val="19"/>
              </w:rPr>
              <w:t xml:space="preserve">Who loses</w:t>
            </w:r>
          </w:p>
        </w:tc>
        <w:tc>
          <w:tcPr>
            <w:tcW w:type="dxa" w:w="3300"/>
            <w:shd w:fill="FFFFFF" w:val="clear"/>
            <w:tcMar>
              <w:top w:type="dxa" w:w="70"/>
              <w:left w:type="dxa" w:w="110"/>
              <w:bottom w:type="dxa" w:w="70"/>
              <w:right w:type="dxa" w:w="110"/>
            </w:tcMar>
          </w:tcPr>
          <w:p>
            <w:r>
              <w:rPr>
                <w:rFonts w:ascii="Calibri" w:cs="Calibri" w:eastAsia="Calibri" w:hAnsi="Calibri"/>
                <w:b w:val="false"/>
                <w:bCs w:val="false"/>
                <w:color w:val="57534E"/>
                <w:sz w:val="19"/>
                <w:szCs w:val="19"/>
              </w:rPr>
              <w:t xml:space="preserve">Nobody, ever</w:t>
            </w:r>
          </w:p>
        </w:tc>
        <w:tc>
          <w:tcPr>
            <w:tcW w:type="dxa" w:w="4400"/>
            <w:shd w:fill="FFFFFF" w:val="clear"/>
            <w:tcMar>
              <w:top w:type="dxa" w:w="70"/>
              <w:left w:type="dxa" w:w="110"/>
              <w:bottom w:type="dxa" w:w="70"/>
              <w:right w:type="dxa" w:w="110"/>
            </w:tcMar>
          </w:tcPr>
          <w:p>
            <w:r>
              <w:rPr>
                <w:rFonts w:ascii="Calibri" w:cs="Calibri" w:eastAsia="Calibri" w:hAnsi="Calibri"/>
                <w:b w:val="false"/>
                <w:bCs w:val="false"/>
                <w:color w:val="57534E"/>
                <w:sz w:val="19"/>
                <w:szCs w:val="19"/>
              </w:rPr>
              <w:t xml:space="preserve">A delivery team, this quarter, by name</w:t>
            </w:r>
          </w:p>
        </w:tc>
      </w:tr>
      <w:tr>
        <w:tc>
          <w:tcPr>
            <w:tcW w:type="dxa" w:w="1900"/>
            <w:shd w:fill="F2F0EA" w:val="clear"/>
            <w:tcMar>
              <w:top w:type="dxa" w:w="70"/>
              <w:left w:type="dxa" w:w="110"/>
              <w:bottom w:type="dxa" w:w="70"/>
              <w:right w:type="dxa" w:w="110"/>
            </w:tcMar>
          </w:tcPr>
          <w:p>
            <w:r>
              <w:rPr>
                <w:rFonts w:ascii="Calibri" w:cs="Calibri" w:eastAsia="Calibri" w:hAnsi="Calibri"/>
                <w:b/>
                <w:bCs/>
                <w:color w:val="1C1917"/>
                <w:sz w:val="19"/>
                <w:szCs w:val="19"/>
              </w:rPr>
              <w:t xml:space="preserve">Opposite</w:t>
            </w:r>
          </w:p>
        </w:tc>
        <w:tc>
          <w:tcPr>
            <w:tcW w:type="dxa" w:w="3300"/>
            <w:shd w:fill="F2F0EA" w:val="clear"/>
            <w:tcMar>
              <w:top w:type="dxa" w:w="70"/>
              <w:left w:type="dxa" w:w="110"/>
              <w:bottom w:type="dxa" w:w="70"/>
              <w:right w:type="dxa" w:w="110"/>
            </w:tcMar>
          </w:tcPr>
          <w:p>
            <w:r>
              <w:rPr>
                <w:rFonts w:ascii="Calibri" w:cs="Calibri" w:eastAsia="Calibri" w:hAnsi="Calibri"/>
                <w:b w:val="false"/>
                <w:bCs w:val="false"/>
                <w:color w:val="57534E"/>
                <w:sz w:val="19"/>
                <w:szCs w:val="19"/>
              </w:rPr>
              <w:t xml:space="preserve">Absurd</w:t>
            </w:r>
          </w:p>
        </w:tc>
        <w:tc>
          <w:tcPr>
            <w:tcW w:type="dxa" w:w="4400"/>
            <w:shd w:fill="F2F0EA" w:val="clear"/>
            <w:tcMar>
              <w:top w:type="dxa" w:w="70"/>
              <w:left w:type="dxa" w:w="110"/>
              <w:bottom w:type="dxa" w:w="70"/>
              <w:right w:type="dxa" w:w="110"/>
            </w:tcMar>
          </w:tcPr>
          <w:p>
            <w:r>
              <w:rPr>
                <w:rFonts w:ascii="Calibri" w:cs="Calibri" w:eastAsia="Calibri" w:hAnsi="Calibri"/>
                <w:b w:val="false"/>
                <w:bCs w:val="false"/>
                <w:color w:val="57534E"/>
                <w:sz w:val="19"/>
                <w:szCs w:val="19"/>
              </w:rPr>
              <w:t xml:space="preserve">Plenty of good organizations copy data deliberately</w:t>
            </w:r>
          </w:p>
        </w:tc>
      </w:tr>
      <w:tr>
        <w:tc>
          <w:tcPr>
            <w:tcW w:type="dxa" w:w="1900"/>
            <w:shd w:fill="FFFFFF" w:val="clear"/>
            <w:tcMar>
              <w:top w:type="dxa" w:w="70"/>
              <w:left w:type="dxa" w:w="110"/>
              <w:bottom w:type="dxa" w:w="70"/>
              <w:right w:type="dxa" w:w="110"/>
            </w:tcMar>
          </w:tcPr>
          <w:p>
            <w:r>
              <w:rPr>
                <w:rFonts w:ascii="Calibri" w:cs="Calibri" w:eastAsia="Calibri" w:hAnsi="Calibri"/>
                <w:b/>
                <w:bCs/>
                <w:color w:val="1C1917"/>
                <w:sz w:val="19"/>
                <w:szCs w:val="19"/>
              </w:rPr>
              <w:t xml:space="preserve">Decision it changed</w:t>
            </w:r>
          </w:p>
        </w:tc>
        <w:tc>
          <w:tcPr>
            <w:tcW w:type="dxa" w:w="3300"/>
            <w:shd w:fill="FFFFFF" w:val="clear"/>
            <w:tcMar>
              <w:top w:type="dxa" w:w="70"/>
              <w:left w:type="dxa" w:w="110"/>
              <w:bottom w:type="dxa" w:w="70"/>
              <w:right w:type="dxa" w:w="110"/>
            </w:tcMar>
          </w:tcPr>
          <w:p>
            <w:r>
              <w:rPr>
                <w:rFonts w:ascii="Calibri" w:cs="Calibri" w:eastAsia="Calibri" w:hAnsi="Calibri"/>
                <w:b w:val="false"/>
                <w:bCs w:val="false"/>
                <w:color w:val="57534E"/>
                <w:sz w:val="19"/>
                <w:szCs w:val="19"/>
              </w:rPr>
              <w:t xml:space="preserve">None that can be named</w:t>
            </w:r>
          </w:p>
        </w:tc>
        <w:tc>
          <w:tcPr>
            <w:tcW w:type="dxa" w:w="4400"/>
            <w:shd w:fill="FFFFFF" w:val="clear"/>
            <w:tcMar>
              <w:top w:type="dxa" w:w="70"/>
              <w:left w:type="dxa" w:w="110"/>
              <w:bottom w:type="dxa" w:w="70"/>
              <w:right w:type="dxa" w:w="110"/>
            </w:tcMar>
          </w:tcPr>
          <w:p>
            <w:r>
              <w:rPr>
                <w:rFonts w:ascii="Calibri" w:cs="Calibri" w:eastAsia="Calibri" w:hAnsi="Calibri"/>
                <w:b w:val="false"/>
                <w:bCs w:val="false"/>
                <w:color w:val="57534E"/>
                <w:sz w:val="19"/>
                <w:szCs w:val="19"/>
              </w:rPr>
              <w:t xml:space="preserve">Three of last year's four data incidents came from two systems owning one object</w:t>
            </w:r>
          </w:p>
        </w:tc>
      </w:tr>
      <w:tr>
        <w:tc>
          <w:tcPr>
            <w:tcW w:type="dxa" w:w="1900"/>
            <w:shd w:fill="F2F0EA" w:val="clear"/>
            <w:tcMar>
              <w:top w:type="dxa" w:w="70"/>
              <w:left w:type="dxa" w:w="110"/>
              <w:bottom w:type="dxa" w:w="70"/>
              <w:right w:type="dxa" w:w="110"/>
            </w:tcMar>
          </w:tcPr>
          <w:p>
            <w:r>
              <w:rPr>
                <w:rFonts w:ascii="Calibri" w:cs="Calibri" w:eastAsia="Calibri" w:hAnsi="Calibri"/>
                <w:b/>
                <w:bCs/>
                <w:color w:val="1C1917"/>
                <w:sz w:val="19"/>
                <w:szCs w:val="19"/>
              </w:rPr>
              <w:t xml:space="preserve">Verdict</w:t>
            </w:r>
          </w:p>
        </w:tc>
        <w:tc>
          <w:tcPr>
            <w:tcW w:type="dxa" w:w="3300"/>
            <w:shd w:fill="F2F0EA" w:val="clear"/>
            <w:tcMar>
              <w:top w:type="dxa" w:w="70"/>
              <w:left w:type="dxa" w:w="110"/>
              <w:bottom w:type="dxa" w:w="70"/>
              <w:right w:type="dxa" w:w="110"/>
            </w:tcMar>
          </w:tcPr>
          <w:p>
            <w:r>
              <w:rPr>
                <w:rFonts w:ascii="Calibri" w:cs="Calibri" w:eastAsia="Calibri" w:hAnsi="Calibri"/>
                <w:b w:val="false"/>
                <w:bCs w:val="false"/>
                <w:color w:val="57534E"/>
                <w:sz w:val="19"/>
                <w:szCs w:val="19"/>
              </w:rPr>
              <w:t xml:space="preserve">True, agreed, inert</w:t>
            </w:r>
          </w:p>
        </w:tc>
        <w:tc>
          <w:tcPr>
            <w:tcW w:type="dxa" w:w="4400"/>
            <w:shd w:fill="F2F0EA" w:val="clear"/>
            <w:tcMar>
              <w:top w:type="dxa" w:w="70"/>
              <w:left w:type="dxa" w:w="110"/>
              <w:bottom w:type="dxa" w:w="70"/>
              <w:right w:type="dxa" w:w="110"/>
            </w:tcMar>
          </w:tcPr>
          <w:p>
            <w:r>
              <w:rPr>
                <w:rFonts w:ascii="Calibri" w:cs="Calibri" w:eastAsia="Calibri" w:hAnsi="Calibri"/>
                <w:b w:val="false"/>
                <w:bCs w:val="false"/>
                <w:color w:val="57534E"/>
                <w:sz w:val="19"/>
                <w:szCs w:val="19"/>
              </w:rPr>
              <w:t xml:space="preserve">Has victims. Worth writing down</w:t>
            </w:r>
          </w:p>
        </w:tc>
      </w:tr>
    </w:tbl>
    <w:p>
      <w:r>
        <w:br w:type="page"/>
      </w:r>
    </w:p>
    <w:p>
      <w:pPr>
        <w:pStyle w:val="Heading1"/>
        <w:spacing w:after="110" w:before="340"/>
      </w:pPr>
      <w:r>
        <w:rPr>
          <w:rFonts w:ascii="Cambria" w:cs="Cambria" w:eastAsia="Cambria" w:hAnsi="Cambria"/>
          <w:b/>
          <w:bCs/>
          <w:color w:val="1C1917"/>
          <w:sz w:val="32"/>
          <w:szCs w:val="32"/>
        </w:rPr>
        <w:t xml:space="preserve">4. The wording clinic</w:t>
      </w:r>
    </w:p>
    <w:p>
      <w:pPr>
        <w:spacing w:after="150"/>
      </w:pPr>
      <w:r>
        <w:rPr>
          <w:rFonts w:ascii="Calibri" w:cs="Calibri" w:eastAsia="Calibri" w:hAnsi="Calibri"/>
          <w:i/>
          <w:iCs/>
          <w:color w:val="14606B"/>
          <w:sz w:val="19"/>
          <w:szCs w:val="19"/>
        </w:rPr>
        <w:t xml:space="preserve">Once the candidates survive, the wording does most of the remaining work.</w:t>
      </w:r>
    </w:p>
    <w:p>
      <w:pPr>
        <w:pStyle w:val="Heading2"/>
        <w:spacing w:after="70" w:before="220"/>
      </w:pPr>
      <w:r>
        <w:rPr>
          <w:rFonts w:ascii="Cambria" w:cs="Cambria" w:eastAsia="Cambria" w:hAnsi="Cambria"/>
          <w:b/>
          <w:bCs/>
          <w:color w:val="1C1917"/>
          <w:sz w:val="26"/>
          <w:szCs w:val="26"/>
        </w:rPr>
        <w:t xml:space="preserve">Write it as X over Y</w:t>
      </w:r>
    </w:p>
    <w:p>
      <w:pPr>
        <w:spacing w:after="110"/>
      </w:pPr>
      <w:r>
        <w:rPr>
          <w:rFonts w:ascii="Calibri" w:cs="Calibri" w:eastAsia="Calibri" w:hAnsi="Calibri"/>
          <w:b w:val="false"/>
          <w:bCs w:val="false"/>
          <w:i w:val="false"/>
          <w:iCs w:val="false"/>
          <w:color w:val="57534E"/>
          <w:sz w:val="21"/>
          <w:szCs w:val="21"/>
        </w:rPr>
        <w:t xml:space="preserve">Both sides are good. The principle says which one yields when they conflict - which is the only reason anyone consults a principle in the first place.</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4400"/>
        <w:gridCol w:w="5200"/>
      </w:tblGrid>
      <w:tr>
        <w:tc>
          <w:tcPr>
            <w:tcW w:type="dxa" w:w="4400"/>
            <w:shd w:fill="14606B" w:val="clear"/>
            <w:tcMar>
              <w:top w:type="dxa" w:w="70"/>
              <w:left w:type="dxa" w:w="110"/>
              <w:bottom w:type="dxa" w:w="70"/>
              <w:right w:type="dxa" w:w="110"/>
            </w:tcMar>
          </w:tcPr>
          <w:p>
            <w:r>
              <w:rPr>
                <w:rFonts w:ascii="Calibri" w:cs="Calibri" w:eastAsia="Calibri" w:hAnsi="Calibri"/>
                <w:b/>
                <w:bCs/>
                <w:color w:val="FFFFFF"/>
                <w:sz w:val="19"/>
                <w:szCs w:val="19"/>
              </w:rPr>
              <w:t xml:space="preserve">Instead of</w:t>
            </w:r>
          </w:p>
        </w:tc>
        <w:tc>
          <w:tcPr>
            <w:tcW w:type="dxa" w:w="5200"/>
            <w:shd w:fill="14606B" w:val="clear"/>
            <w:tcMar>
              <w:top w:type="dxa" w:w="70"/>
              <w:left w:type="dxa" w:w="110"/>
              <w:bottom w:type="dxa" w:w="70"/>
              <w:right w:type="dxa" w:w="110"/>
            </w:tcMar>
          </w:tcPr>
          <w:p>
            <w:r>
              <w:rPr>
                <w:rFonts w:ascii="Calibri" w:cs="Calibri" w:eastAsia="Calibri" w:hAnsi="Calibri"/>
                <w:b/>
                <w:bCs/>
                <w:color w:val="FFFFFF"/>
                <w:sz w:val="19"/>
                <w:szCs w:val="19"/>
              </w:rPr>
              <w:t xml:space="preserve">Write</w:t>
            </w:r>
          </w:p>
        </w:tc>
      </w:tr>
      <w:tr>
        <w:tc>
          <w:tcPr>
            <w:tcW w:type="dxa" w:w="4400"/>
            <w:shd w:fill="FFFFFF" w:val="clear"/>
            <w:tcMar>
              <w:top w:type="dxa" w:w="70"/>
              <w:left w:type="dxa" w:w="110"/>
              <w:bottom w:type="dxa" w:w="70"/>
              <w:right w:type="dxa" w:w="110"/>
            </w:tcMar>
          </w:tcPr>
          <w:p>
            <w:r>
              <w:rPr>
                <w:rFonts w:ascii="Calibri" w:cs="Calibri" w:eastAsia="Calibri" w:hAnsi="Calibri"/>
                <w:b/>
                <w:bCs/>
                <w:color w:val="1C1917"/>
                <w:sz w:val="19"/>
                <w:szCs w:val="19"/>
              </w:rPr>
              <w:t xml:space="preserve">We value standardization</w:t>
            </w:r>
          </w:p>
        </w:tc>
        <w:tc>
          <w:tcPr>
            <w:tcW w:type="dxa" w:w="5200"/>
            <w:shd w:fill="FFFFFF" w:val="clear"/>
            <w:tcMar>
              <w:top w:type="dxa" w:w="70"/>
              <w:left w:type="dxa" w:w="110"/>
              <w:bottom w:type="dxa" w:w="70"/>
              <w:right w:type="dxa" w:w="110"/>
            </w:tcMar>
          </w:tcPr>
          <w:p>
            <w:r>
              <w:rPr>
                <w:rFonts w:ascii="Calibri" w:cs="Calibri" w:eastAsia="Calibri" w:hAnsi="Calibri"/>
                <w:b w:val="false"/>
                <w:bCs w:val="false"/>
                <w:color w:val="57534E"/>
                <w:sz w:val="19"/>
                <w:szCs w:val="19"/>
              </w:rPr>
              <w:t xml:space="preserve">Standard processes over local optimization</w:t>
            </w:r>
          </w:p>
        </w:tc>
      </w:tr>
      <w:tr>
        <w:tc>
          <w:tcPr>
            <w:tcW w:type="dxa" w:w="4400"/>
            <w:shd w:fill="F2F0EA" w:val="clear"/>
            <w:tcMar>
              <w:top w:type="dxa" w:w="70"/>
              <w:left w:type="dxa" w:w="110"/>
              <w:bottom w:type="dxa" w:w="70"/>
              <w:right w:type="dxa" w:w="110"/>
            </w:tcMar>
          </w:tcPr>
          <w:p>
            <w:r>
              <w:rPr>
                <w:rFonts w:ascii="Calibri" w:cs="Calibri" w:eastAsia="Calibri" w:hAnsi="Calibri"/>
                <w:b/>
                <w:bCs/>
                <w:color w:val="1C1917"/>
                <w:sz w:val="19"/>
                <w:szCs w:val="19"/>
              </w:rPr>
              <w:t xml:space="preserve">We design for change</w:t>
            </w:r>
          </w:p>
        </w:tc>
        <w:tc>
          <w:tcPr>
            <w:tcW w:type="dxa" w:w="5200"/>
            <w:shd w:fill="F2F0EA" w:val="clear"/>
            <w:tcMar>
              <w:top w:type="dxa" w:w="70"/>
              <w:left w:type="dxa" w:w="110"/>
              <w:bottom w:type="dxa" w:w="70"/>
              <w:right w:type="dxa" w:w="110"/>
            </w:tcMar>
          </w:tcPr>
          <w:p>
            <w:r>
              <w:rPr>
                <w:rFonts w:ascii="Calibri" w:cs="Calibri" w:eastAsia="Calibri" w:hAnsi="Calibri"/>
                <w:b w:val="false"/>
                <w:bCs w:val="false"/>
                <w:color w:val="57534E"/>
                <w:sz w:val="19"/>
                <w:szCs w:val="19"/>
              </w:rPr>
              <w:t xml:space="preserve">Reversibility over efficiency</w:t>
            </w:r>
          </w:p>
        </w:tc>
      </w:tr>
      <w:tr>
        <w:tc>
          <w:tcPr>
            <w:tcW w:type="dxa" w:w="4400"/>
            <w:shd w:fill="FFFFFF" w:val="clear"/>
            <w:tcMar>
              <w:top w:type="dxa" w:w="70"/>
              <w:left w:type="dxa" w:w="110"/>
              <w:bottom w:type="dxa" w:w="70"/>
              <w:right w:type="dxa" w:w="110"/>
            </w:tcMar>
          </w:tcPr>
          <w:p>
            <w:r>
              <w:rPr>
                <w:rFonts w:ascii="Calibri" w:cs="Calibri" w:eastAsia="Calibri" w:hAnsi="Calibri"/>
                <w:b/>
                <w:bCs/>
                <w:color w:val="1C1917"/>
                <w:sz w:val="19"/>
                <w:szCs w:val="19"/>
              </w:rPr>
              <w:t xml:space="preserve">Data quality matters</w:t>
            </w:r>
          </w:p>
        </w:tc>
        <w:tc>
          <w:tcPr>
            <w:tcW w:type="dxa" w:w="5200"/>
            <w:shd w:fill="FFFFFF" w:val="clear"/>
            <w:tcMar>
              <w:top w:type="dxa" w:w="70"/>
              <w:left w:type="dxa" w:w="110"/>
              <w:bottom w:type="dxa" w:w="70"/>
              <w:right w:type="dxa" w:w="110"/>
            </w:tcMar>
          </w:tcPr>
          <w:p>
            <w:r>
              <w:rPr>
                <w:rFonts w:ascii="Calibri" w:cs="Calibri" w:eastAsia="Calibri" w:hAnsi="Calibri"/>
                <w:b w:val="false"/>
                <w:bCs w:val="false"/>
                <w:color w:val="57534E"/>
                <w:sz w:val="19"/>
                <w:szCs w:val="19"/>
              </w:rPr>
              <w:t xml:space="preserve">One system of record over speed of delivery</w:t>
            </w:r>
          </w:p>
        </w:tc>
      </w:tr>
      <w:tr>
        <w:tc>
          <w:tcPr>
            <w:tcW w:type="dxa" w:w="4400"/>
            <w:shd w:fill="F2F0EA" w:val="clear"/>
            <w:tcMar>
              <w:top w:type="dxa" w:w="70"/>
              <w:left w:type="dxa" w:w="110"/>
              <w:bottom w:type="dxa" w:w="70"/>
              <w:right w:type="dxa" w:w="110"/>
            </w:tcMar>
          </w:tcPr>
          <w:p>
            <w:r>
              <w:rPr>
                <w:rFonts w:ascii="Calibri" w:cs="Calibri" w:eastAsia="Calibri" w:hAnsi="Calibri"/>
                <w:b/>
                <w:bCs/>
                <w:color w:val="1C1917"/>
                <w:sz w:val="19"/>
                <w:szCs w:val="19"/>
              </w:rPr>
              <w:t xml:space="preserve">We use proven technology</w:t>
            </w:r>
          </w:p>
        </w:tc>
        <w:tc>
          <w:tcPr>
            <w:tcW w:type="dxa" w:w="5200"/>
            <w:shd w:fill="F2F0EA" w:val="clear"/>
            <w:tcMar>
              <w:top w:type="dxa" w:w="70"/>
              <w:left w:type="dxa" w:w="110"/>
              <w:bottom w:type="dxa" w:w="70"/>
              <w:right w:type="dxa" w:w="110"/>
            </w:tcMar>
          </w:tcPr>
          <w:p>
            <w:r>
              <w:rPr>
                <w:rFonts w:ascii="Calibri" w:cs="Calibri" w:eastAsia="Calibri" w:hAnsi="Calibri"/>
                <w:b w:val="false"/>
                <w:bCs w:val="false"/>
                <w:color w:val="57534E"/>
                <w:sz w:val="19"/>
                <w:szCs w:val="19"/>
              </w:rPr>
              <w:t xml:space="preserve">Boring technology over capability</w:t>
            </w:r>
          </w:p>
        </w:tc>
      </w:tr>
      <w:tr>
        <w:tc>
          <w:tcPr>
            <w:tcW w:type="dxa" w:w="4400"/>
            <w:shd w:fill="FFFFFF" w:val="clear"/>
            <w:tcMar>
              <w:top w:type="dxa" w:w="70"/>
              <w:left w:type="dxa" w:w="110"/>
              <w:bottom w:type="dxa" w:w="70"/>
              <w:right w:type="dxa" w:w="110"/>
            </w:tcMar>
          </w:tcPr>
          <w:p>
            <w:r>
              <w:rPr>
                <w:rFonts w:ascii="Calibri" w:cs="Calibri" w:eastAsia="Calibri" w:hAnsi="Calibri"/>
                <w:b/>
                <w:bCs/>
                <w:color w:val="1C1917"/>
                <w:sz w:val="19"/>
                <w:szCs w:val="19"/>
              </w:rPr>
              <w:t xml:space="preserve">We maintain auditability</w:t>
            </w:r>
          </w:p>
        </w:tc>
        <w:tc>
          <w:tcPr>
            <w:tcW w:type="dxa" w:w="5200"/>
            <w:shd w:fill="FFFFFF" w:val="clear"/>
            <w:tcMar>
              <w:top w:type="dxa" w:w="70"/>
              <w:left w:type="dxa" w:w="110"/>
              <w:bottom w:type="dxa" w:w="70"/>
              <w:right w:type="dxa" w:w="110"/>
            </w:tcMar>
          </w:tcPr>
          <w:p>
            <w:r>
              <w:rPr>
                <w:rFonts w:ascii="Calibri" w:cs="Calibri" w:eastAsia="Calibri" w:hAnsi="Calibri"/>
                <w:b w:val="false"/>
                <w:bCs w:val="false"/>
                <w:color w:val="57534E"/>
                <w:sz w:val="19"/>
                <w:szCs w:val="19"/>
              </w:rPr>
              <w:t xml:space="preserve">Traceable over convenient</w:t>
            </w:r>
          </w:p>
        </w:tc>
      </w:tr>
    </w:tbl>
    <w:p>
      <w:pPr>
        <w:spacing w:after="110"/>
      </w:pPr>
      <w:r>
        <w:rPr>
          <w:rFonts w:ascii="Calibri" w:cs="Calibri" w:eastAsia="Calibri" w:hAnsi="Calibri"/>
          <w:b w:val="false"/>
          <w:bCs w:val="false"/>
          <w:i/>
          <w:iCs/>
          <w:color w:val="57534E"/>
          <w:sz w:val="21"/>
          <w:szCs w:val="21"/>
        </w:rPr>
        <w:t xml:space="preserve">Watch for the reverse move during rewrites: someone softens "standard processes over local optimization" into "we value standardization and local responsiveness" and the entire content is gone.</w:t>
      </w:r>
    </w:p>
    <w:p>
      <w:pPr>
        <w:pStyle w:val="Heading2"/>
        <w:spacing w:after="70" w:before="220"/>
      </w:pPr>
      <w:r>
        <w:rPr>
          <w:rFonts w:ascii="Cambria" w:cs="Cambria" w:eastAsia="Cambria" w:hAnsi="Cambria"/>
          <w:b/>
          <w:bCs/>
          <w:color w:val="1C1917"/>
          <w:sz w:val="26"/>
          <w:szCs w:val="26"/>
        </w:rPr>
        <w:t xml:space="preserve">The seven parts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000"/>
        <w:gridCol w:w="6600"/>
      </w:tblGrid>
      <w:tr>
        <w:tc>
          <w:tcPr>
            <w:tcW w:type="dxa" w:w="3000"/>
            <w:shd w:fill="14606B" w:val="clear"/>
            <w:tcMar>
              <w:top w:type="dxa" w:w="70"/>
              <w:left w:type="dxa" w:w="110"/>
              <w:bottom w:type="dxa" w:w="70"/>
              <w:right w:type="dxa" w:w="110"/>
            </w:tcMar>
          </w:tcPr>
          <w:p>
            <w:r>
              <w:rPr>
                <w:rFonts w:ascii="Calibri" w:cs="Calibri" w:eastAsia="Calibri" w:hAnsi="Calibri"/>
                <w:b/>
                <w:bCs/>
                <w:color w:val="FFFFFF"/>
                <w:sz w:val="19"/>
                <w:szCs w:val="19"/>
              </w:rPr>
              <w:t xml:space="preserve">Part</w:t>
            </w:r>
          </w:p>
        </w:tc>
        <w:tc>
          <w:tcPr>
            <w:tcW w:type="dxa" w:w="6600"/>
            <w:shd w:fill="14606B" w:val="clear"/>
            <w:tcMar>
              <w:top w:type="dxa" w:w="70"/>
              <w:left w:type="dxa" w:w="110"/>
              <w:bottom w:type="dxa" w:w="70"/>
              <w:right w:type="dxa" w:w="110"/>
            </w:tcMar>
          </w:tcPr>
          <w:p>
            <w:r>
              <w:rPr>
                <w:rFonts w:ascii="Calibri" w:cs="Calibri" w:eastAsia="Calibri" w:hAnsi="Calibri"/>
                <w:b/>
                <w:bCs/>
                <w:color w:val="FFFFFF"/>
                <w:sz w:val="19"/>
                <w:szCs w:val="19"/>
              </w:rPr>
              <w:t xml:space="preserve">What goes in it</w:t>
            </w:r>
          </w:p>
        </w:tc>
      </w:tr>
      <w:tr>
        <w:tc>
          <w:tcPr>
            <w:tcW w:type="dxa" w:w="3000"/>
            <w:shd w:fill="FFFFFF" w:val="clear"/>
            <w:tcMar>
              <w:top w:type="dxa" w:w="70"/>
              <w:left w:type="dxa" w:w="110"/>
              <w:bottom w:type="dxa" w:w="70"/>
              <w:right w:type="dxa" w:w="110"/>
            </w:tcMar>
          </w:tcPr>
          <w:p>
            <w:r>
              <w:rPr>
                <w:rFonts w:ascii="Calibri" w:cs="Calibri" w:eastAsia="Calibri" w:hAnsi="Calibri"/>
                <w:b/>
                <w:bCs/>
                <w:color w:val="1C1917"/>
                <w:sz w:val="19"/>
                <w:szCs w:val="19"/>
              </w:rPr>
              <w:t xml:space="preserve">Statement</w:t>
            </w:r>
          </w:p>
        </w:tc>
        <w:tc>
          <w:tcPr>
            <w:tcW w:type="dxa" w:w="6600"/>
            <w:shd w:fill="FFFFFF" w:val="clear"/>
            <w:tcMar>
              <w:top w:type="dxa" w:w="70"/>
              <w:left w:type="dxa" w:w="110"/>
              <w:bottom w:type="dxa" w:w="70"/>
              <w:right w:type="dxa" w:w="110"/>
            </w:tcMar>
          </w:tcPr>
          <w:p>
            <w:r>
              <w:rPr>
                <w:rFonts w:ascii="Calibri" w:cs="Calibri" w:eastAsia="Calibri" w:hAnsi="Calibri"/>
                <w:b w:val="false"/>
                <w:bCs w:val="false"/>
                <w:color w:val="57534E"/>
                <w:sz w:val="19"/>
                <w:szCs w:val="19"/>
              </w:rPr>
              <w:t xml:space="preserve">The trade-off, in X over Y form, in one line</w:t>
            </w:r>
          </w:p>
        </w:tc>
      </w:tr>
      <w:tr>
        <w:tc>
          <w:tcPr>
            <w:tcW w:type="dxa" w:w="3000"/>
            <w:shd w:fill="F2F0EA" w:val="clear"/>
            <w:tcMar>
              <w:top w:type="dxa" w:w="70"/>
              <w:left w:type="dxa" w:w="110"/>
              <w:bottom w:type="dxa" w:w="70"/>
              <w:right w:type="dxa" w:w="110"/>
            </w:tcMar>
          </w:tcPr>
          <w:p>
            <w:r>
              <w:rPr>
                <w:rFonts w:ascii="Calibri" w:cs="Calibri" w:eastAsia="Calibri" w:hAnsi="Calibri"/>
                <w:b/>
                <w:bCs/>
                <w:color w:val="1C1917"/>
                <w:sz w:val="19"/>
                <w:szCs w:val="19"/>
              </w:rPr>
              <w:t xml:space="preserve">Rationale</w:t>
            </w:r>
          </w:p>
        </w:tc>
        <w:tc>
          <w:tcPr>
            <w:tcW w:type="dxa" w:w="6600"/>
            <w:shd w:fill="F2F0EA" w:val="clear"/>
            <w:tcMar>
              <w:top w:type="dxa" w:w="70"/>
              <w:left w:type="dxa" w:w="110"/>
              <w:bottom w:type="dxa" w:w="70"/>
              <w:right w:type="dxa" w:w="110"/>
            </w:tcMar>
          </w:tcPr>
          <w:p>
            <w:r>
              <w:rPr>
                <w:rFonts w:ascii="Calibri" w:cs="Calibri" w:eastAsia="Calibri" w:hAnsi="Calibri"/>
                <w:b w:val="false"/>
                <w:bCs w:val="false"/>
                <w:color w:val="57534E"/>
                <w:sz w:val="19"/>
                <w:szCs w:val="19"/>
              </w:rPr>
              <w:t xml:space="preserve">Written for this organization, naming the specific thing that went wrong or the specific commitment being served</w:t>
            </w:r>
          </w:p>
        </w:tc>
      </w:tr>
      <w:tr>
        <w:tc>
          <w:tcPr>
            <w:tcW w:type="dxa" w:w="3000"/>
            <w:shd w:fill="FFFFFF" w:val="clear"/>
            <w:tcMar>
              <w:top w:type="dxa" w:w="70"/>
              <w:left w:type="dxa" w:w="110"/>
              <w:bottom w:type="dxa" w:w="70"/>
              <w:right w:type="dxa" w:w="110"/>
            </w:tcMar>
          </w:tcPr>
          <w:p>
            <w:r>
              <w:rPr>
                <w:rFonts w:ascii="Calibri" w:cs="Calibri" w:eastAsia="Calibri" w:hAnsi="Calibri"/>
                <w:b/>
                <w:bCs/>
                <w:color w:val="1C1917"/>
                <w:sz w:val="19"/>
                <w:szCs w:val="19"/>
              </w:rPr>
              <w:t xml:space="preserve">Implications</w:t>
            </w:r>
          </w:p>
        </w:tc>
        <w:tc>
          <w:tcPr>
            <w:tcW w:type="dxa" w:w="6600"/>
            <w:shd w:fill="FFFFFF" w:val="clear"/>
            <w:tcMar>
              <w:top w:type="dxa" w:w="70"/>
              <w:left w:type="dxa" w:w="110"/>
              <w:bottom w:type="dxa" w:w="70"/>
              <w:right w:type="dxa" w:w="110"/>
            </w:tcMar>
          </w:tcPr>
          <w:p>
            <w:r>
              <w:rPr>
                <w:rFonts w:ascii="Calibri" w:cs="Calibri" w:eastAsia="Calibri" w:hAnsi="Calibri"/>
                <w:b w:val="false"/>
                <w:bCs w:val="false"/>
                <w:color w:val="57534E"/>
                <w:sz w:val="19"/>
                <w:szCs w:val="19"/>
              </w:rPr>
              <w:t xml:space="preserve">The costs you are accepting, stated plainly. If nobody flinches here, the implications are not real</w:t>
            </w:r>
          </w:p>
        </w:tc>
      </w:tr>
      <w:tr>
        <w:tc>
          <w:tcPr>
            <w:tcW w:type="dxa" w:w="3000"/>
            <w:shd w:fill="F2F0EA" w:val="clear"/>
            <w:tcMar>
              <w:top w:type="dxa" w:w="70"/>
              <w:left w:type="dxa" w:w="110"/>
              <w:bottom w:type="dxa" w:w="70"/>
              <w:right w:type="dxa" w:w="110"/>
            </w:tcMar>
          </w:tcPr>
          <w:p>
            <w:r>
              <w:rPr>
                <w:rFonts w:ascii="Calibri" w:cs="Calibri" w:eastAsia="Calibri" w:hAnsi="Calibri"/>
                <w:b/>
                <w:bCs/>
                <w:color w:val="1C1917"/>
                <w:sz w:val="19"/>
                <w:szCs w:val="19"/>
              </w:rPr>
              <w:t xml:space="preserve">Test</w:t>
            </w:r>
          </w:p>
        </w:tc>
        <w:tc>
          <w:tcPr>
            <w:tcW w:type="dxa" w:w="6600"/>
            <w:shd w:fill="F2F0EA" w:val="clear"/>
            <w:tcMar>
              <w:top w:type="dxa" w:w="70"/>
              <w:left w:type="dxa" w:w="110"/>
              <w:bottom w:type="dxa" w:w="70"/>
              <w:right w:type="dxa" w:w="110"/>
            </w:tcMar>
          </w:tcPr>
          <w:p>
            <w:r>
              <w:rPr>
                <w:rFonts w:ascii="Calibri" w:cs="Calibri" w:eastAsia="Calibri" w:hAnsi="Calibri"/>
                <w:b w:val="false"/>
                <w:bCs w:val="false"/>
                <w:color w:val="57534E"/>
                <w:sz w:val="19"/>
                <w:szCs w:val="19"/>
              </w:rPr>
              <w:t xml:space="preserve">How an architect can tell in five minutes whether a design honours it</w:t>
            </w:r>
          </w:p>
        </w:tc>
      </w:tr>
      <w:tr>
        <w:tc>
          <w:tcPr>
            <w:tcW w:type="dxa" w:w="3000"/>
            <w:shd w:fill="FFFFFF" w:val="clear"/>
            <w:tcMar>
              <w:top w:type="dxa" w:w="70"/>
              <w:left w:type="dxa" w:w="110"/>
              <w:bottom w:type="dxa" w:w="70"/>
              <w:right w:type="dxa" w:w="110"/>
            </w:tcMar>
          </w:tcPr>
          <w:p>
            <w:r>
              <w:rPr>
                <w:rFonts w:ascii="Calibri" w:cs="Calibri" w:eastAsia="Calibri" w:hAnsi="Calibri"/>
                <w:b/>
                <w:bCs/>
                <w:color w:val="1C1917"/>
                <w:sz w:val="19"/>
                <w:szCs w:val="19"/>
              </w:rPr>
              <w:t xml:space="preserve">Exception route</w:t>
            </w:r>
          </w:p>
        </w:tc>
        <w:tc>
          <w:tcPr>
            <w:tcW w:type="dxa" w:w="6600"/>
            <w:shd w:fill="FFFFFF" w:val="clear"/>
            <w:tcMar>
              <w:top w:type="dxa" w:w="70"/>
              <w:left w:type="dxa" w:w="110"/>
              <w:bottom w:type="dxa" w:w="70"/>
              <w:right w:type="dxa" w:w="110"/>
            </w:tcMar>
          </w:tcPr>
          <w:p>
            <w:r>
              <w:rPr>
                <w:rFonts w:ascii="Calibri" w:cs="Calibri" w:eastAsia="Calibri" w:hAnsi="Calibri"/>
                <w:b w:val="false"/>
                <w:bCs w:val="false"/>
                <w:color w:val="57534E"/>
                <w:sz w:val="19"/>
                <w:szCs w:val="19"/>
              </w:rPr>
              <w:t xml:space="preserve">How to deviate, where it gets recorded, and with what expiry. A principle with no legitimate exception path gets violated silently</w:t>
            </w:r>
          </w:p>
        </w:tc>
      </w:tr>
      <w:tr>
        <w:tc>
          <w:tcPr>
            <w:tcW w:type="dxa" w:w="3000"/>
            <w:shd w:fill="F2F0EA" w:val="clear"/>
            <w:tcMar>
              <w:top w:type="dxa" w:w="70"/>
              <w:left w:type="dxa" w:w="110"/>
              <w:bottom w:type="dxa" w:w="70"/>
              <w:right w:type="dxa" w:w="110"/>
            </w:tcMar>
          </w:tcPr>
          <w:p>
            <w:r>
              <w:rPr>
                <w:rFonts w:ascii="Calibri" w:cs="Calibri" w:eastAsia="Calibri" w:hAnsi="Calibri"/>
                <w:b/>
                <w:bCs/>
                <w:color w:val="1C1917"/>
                <w:sz w:val="19"/>
                <w:szCs w:val="19"/>
              </w:rPr>
              <w:t xml:space="preserve">Owner</w:t>
            </w:r>
          </w:p>
        </w:tc>
        <w:tc>
          <w:tcPr>
            <w:tcW w:type="dxa" w:w="6600"/>
            <w:shd w:fill="F2F0EA" w:val="clear"/>
            <w:tcMar>
              <w:top w:type="dxa" w:w="70"/>
              <w:left w:type="dxa" w:w="110"/>
              <w:bottom w:type="dxa" w:w="70"/>
              <w:right w:type="dxa" w:w="110"/>
            </w:tcMar>
          </w:tcPr>
          <w:p>
            <w:r>
              <w:rPr>
                <w:rFonts w:ascii="Calibri" w:cs="Calibri" w:eastAsia="Calibri" w:hAnsi="Calibri"/>
                <w:b w:val="false"/>
                <w:bCs w:val="false"/>
                <w:color w:val="57534E"/>
                <w:sz w:val="19"/>
                <w:szCs w:val="19"/>
              </w:rPr>
              <w:t xml:space="preserve">A named architect who maintains it and answers for it</w:t>
            </w:r>
          </w:p>
        </w:tc>
      </w:tr>
      <w:tr>
        <w:tc>
          <w:tcPr>
            <w:tcW w:type="dxa" w:w="3000"/>
            <w:shd w:fill="FFFFFF" w:val="clear"/>
            <w:tcMar>
              <w:top w:type="dxa" w:w="70"/>
              <w:left w:type="dxa" w:w="110"/>
              <w:bottom w:type="dxa" w:w="70"/>
              <w:right w:type="dxa" w:w="110"/>
            </w:tcMar>
          </w:tcPr>
          <w:p>
            <w:r>
              <w:rPr>
                <w:rFonts w:ascii="Calibri" w:cs="Calibri" w:eastAsia="Calibri" w:hAnsi="Calibri"/>
                <w:b/>
                <w:bCs/>
                <w:color w:val="1C1917"/>
                <w:sz w:val="19"/>
                <w:szCs w:val="19"/>
              </w:rPr>
              <w:t xml:space="preserve">The decision it would have changed</w:t>
            </w:r>
          </w:p>
        </w:tc>
        <w:tc>
          <w:tcPr>
            <w:tcW w:type="dxa" w:w="6600"/>
            <w:shd w:fill="FFFFFF" w:val="clear"/>
            <w:tcMar>
              <w:top w:type="dxa" w:w="70"/>
              <w:left w:type="dxa" w:w="110"/>
              <w:bottom w:type="dxa" w:w="70"/>
              <w:right w:type="dxa" w:w="110"/>
            </w:tcMar>
          </w:tcPr>
          <w:p>
            <w:r>
              <w:rPr>
                <w:rFonts w:ascii="Calibri" w:cs="Calibri" w:eastAsia="Calibri" w:hAnsi="Calibri"/>
                <w:b w:val="false"/>
                <w:bCs w:val="false"/>
                <w:color w:val="57534E"/>
                <w:sz w:val="19"/>
                <w:szCs w:val="19"/>
              </w:rPr>
              <w:t xml:space="preserve">A real past case, named. This field cannot be filled in for a slogan, which is the point</w:t>
            </w:r>
          </w:p>
        </w:tc>
      </w:tr>
    </w:tbl>
    <w:p>
      <w:pPr>
        <w:pStyle w:val="Heading2"/>
        <w:spacing w:after="70" w:before="220"/>
      </w:pPr>
      <w:r>
        <w:rPr>
          <w:rFonts w:ascii="Cambria" w:cs="Cambria" w:eastAsia="Cambria" w:hAnsi="Cambria"/>
          <w:b/>
          <w:bCs/>
          <w:color w:val="1C1917"/>
          <w:sz w:val="26"/>
          <w:szCs w:val="26"/>
        </w:rPr>
        <w:t xml:space="preserve">Worked principle - full</w:t>
      </w:r>
    </w:p>
    <w:p>
      <w:pPr>
        <w:spacing w:after="110"/>
      </w:pPr>
      <w:r>
        <w:rPr>
          <w:rFonts w:ascii="Calibri" w:cs="Calibri" w:eastAsia="Calibri" w:hAnsi="Calibri"/>
          <w:b/>
          <w:bCs/>
          <w:i w:val="false"/>
          <w:iCs w:val="false"/>
          <w:color w:val="1C1917"/>
          <w:sz w:val="21"/>
          <w:szCs w:val="21"/>
        </w:rPr>
        <w:t xml:space="preserve">ID: </w:t>
      </w:r>
      <w:r>
        <w:rPr>
          <w:rFonts w:ascii="Calibri" w:cs="Calibri" w:eastAsia="Calibri" w:hAnsi="Calibri"/>
          <w:b w:val="false"/>
          <w:bCs w:val="false"/>
          <w:i w:val="false"/>
          <w:iCs w:val="false"/>
          <w:color w:val="B98A2E"/>
          <w:sz w:val="21"/>
          <w:szCs w:val="21"/>
        </w:rPr>
        <w:t xml:space="preserve">[ P-03 ]</w:t>
      </w:r>
    </w:p>
    <w:p>
      <w:pPr>
        <w:spacing w:after="110"/>
      </w:pPr>
      <w:r>
        <w:rPr>
          <w:rFonts w:ascii="Calibri" w:cs="Calibri" w:eastAsia="Calibri" w:hAnsi="Calibri"/>
          <w:b/>
          <w:bCs/>
          <w:i w:val="false"/>
          <w:iCs w:val="false"/>
          <w:color w:val="1C1917"/>
          <w:sz w:val="21"/>
          <w:szCs w:val="21"/>
        </w:rPr>
        <w:t xml:space="preserve">Statement: </w:t>
      </w:r>
      <w:r>
        <w:rPr>
          <w:rFonts w:ascii="Calibri" w:cs="Calibri" w:eastAsia="Calibri" w:hAnsi="Calibri"/>
          <w:b w:val="false"/>
          <w:bCs w:val="false"/>
          <w:i w:val="false"/>
          <w:iCs w:val="false"/>
          <w:color w:val="57534E"/>
          <w:sz w:val="21"/>
          <w:szCs w:val="21"/>
        </w:rPr>
        <w:t xml:space="preserve">Standard processes over local optimization</w:t>
      </w:r>
    </w:p>
    <w:p>
      <w:pPr>
        <w:spacing w:after="110"/>
      </w:pPr>
      <w:r>
        <w:rPr>
          <w:rFonts w:ascii="Calibri" w:cs="Calibri" w:eastAsia="Calibri" w:hAnsi="Calibri"/>
          <w:b/>
          <w:bCs/>
          <w:i w:val="false"/>
          <w:iCs w:val="false"/>
          <w:color w:val="1C1917"/>
          <w:sz w:val="21"/>
          <w:szCs w:val="21"/>
        </w:rPr>
        <w:t xml:space="preserve">Rationale: </w:t>
      </w:r>
      <w:r>
        <w:rPr>
          <w:rFonts w:ascii="Calibri" w:cs="Calibri" w:eastAsia="Calibri" w:hAnsi="Calibri"/>
          <w:b w:val="false"/>
          <w:bCs w:val="false"/>
          <w:i w:val="false"/>
          <w:iCs w:val="false"/>
          <w:color w:val="57534E"/>
          <w:sz w:val="21"/>
          <w:szCs w:val="21"/>
        </w:rPr>
        <w:t xml:space="preserve">The last two rollouts each cost a quarter to reconcile market variants that nobody had asked for in writing.</w:t>
      </w:r>
    </w:p>
    <w:p>
      <w:pPr>
        <w:spacing w:after="110"/>
      </w:pPr>
      <w:r>
        <w:rPr>
          <w:rFonts w:ascii="Calibri" w:cs="Calibri" w:eastAsia="Calibri" w:hAnsi="Calibri"/>
          <w:b/>
          <w:bCs/>
          <w:i w:val="false"/>
          <w:iCs w:val="false"/>
          <w:color w:val="1C1917"/>
          <w:sz w:val="21"/>
          <w:szCs w:val="21"/>
        </w:rPr>
        <w:t xml:space="preserve">Implications: </w:t>
      </w:r>
      <w:r>
        <w:rPr>
          <w:rFonts w:ascii="Calibri" w:cs="Calibri" w:eastAsia="Calibri" w:hAnsi="Calibri"/>
          <w:b w:val="false"/>
          <w:bCs w:val="false"/>
          <w:i w:val="false"/>
          <w:iCs w:val="false"/>
          <w:color w:val="57534E"/>
          <w:sz w:val="21"/>
          <w:szCs w:val="21"/>
        </w:rPr>
        <w:t xml:space="preserve">Some markets will run a process that is measurably worse for them. We fund the difference centrally where it bites hardest.</w:t>
      </w:r>
    </w:p>
    <w:p>
      <w:pPr>
        <w:spacing w:after="110"/>
      </w:pPr>
      <w:r>
        <w:rPr>
          <w:rFonts w:ascii="Calibri" w:cs="Calibri" w:eastAsia="Calibri" w:hAnsi="Calibri"/>
          <w:b/>
          <w:bCs/>
          <w:i w:val="false"/>
          <w:iCs w:val="false"/>
          <w:color w:val="1C1917"/>
          <w:sz w:val="21"/>
          <w:szCs w:val="21"/>
        </w:rPr>
        <w:t xml:space="preserve">Test: </w:t>
      </w:r>
      <w:r>
        <w:rPr>
          <w:rFonts w:ascii="Calibri" w:cs="Calibri" w:eastAsia="Calibri" w:hAnsi="Calibri"/>
          <w:b w:val="false"/>
          <w:bCs w:val="false"/>
          <w:i w:val="false"/>
          <w:iCs w:val="false"/>
          <w:color w:val="57534E"/>
          <w:sz w:val="21"/>
          <w:szCs w:val="21"/>
        </w:rPr>
        <w:t xml:space="preserve">Does this design introduce a variant that only one market uses, and is it on the fit-gap list?</w:t>
      </w:r>
    </w:p>
    <w:p>
      <w:pPr>
        <w:spacing w:after="110"/>
      </w:pPr>
      <w:r>
        <w:rPr>
          <w:rFonts w:ascii="Calibri" w:cs="Calibri" w:eastAsia="Calibri" w:hAnsi="Calibri"/>
          <w:b/>
          <w:bCs/>
          <w:i w:val="false"/>
          <w:iCs w:val="false"/>
          <w:color w:val="1C1917"/>
          <w:sz w:val="21"/>
          <w:szCs w:val="21"/>
        </w:rPr>
        <w:t xml:space="preserve">Exception: </w:t>
      </w:r>
      <w:r>
        <w:rPr>
          <w:rFonts w:ascii="Calibri" w:cs="Calibri" w:eastAsia="Calibri" w:hAnsi="Calibri"/>
          <w:b w:val="false"/>
          <w:bCs w:val="false"/>
          <w:i w:val="false"/>
          <w:iCs w:val="false"/>
          <w:color w:val="57534E"/>
          <w:sz w:val="21"/>
          <w:szCs w:val="21"/>
        </w:rPr>
        <w:t xml:space="preserve">Registered deviation, reviewed at twelve months.</w:t>
      </w:r>
    </w:p>
    <w:p>
      <w:pPr>
        <w:spacing w:after="110"/>
      </w:pPr>
      <w:r>
        <w:rPr>
          <w:rFonts w:ascii="Calibri" w:cs="Calibri" w:eastAsia="Calibri" w:hAnsi="Calibri"/>
          <w:b/>
          <w:bCs/>
          <w:i w:val="false"/>
          <w:iCs w:val="false"/>
          <w:color w:val="1C1917"/>
          <w:sz w:val="21"/>
          <w:szCs w:val="21"/>
        </w:rPr>
        <w:t xml:space="preserve">Owner: </w:t>
      </w:r>
      <w:r>
        <w:rPr>
          <w:rFonts w:ascii="Calibri" w:cs="Calibri" w:eastAsia="Calibri" w:hAnsi="Calibri"/>
          <w:b w:val="false"/>
          <w:bCs w:val="false"/>
          <w:i w:val="false"/>
          <w:iCs w:val="false"/>
          <w:color w:val="B98A2E"/>
          <w:sz w:val="21"/>
          <w:szCs w:val="21"/>
        </w:rPr>
        <w:t xml:space="preserve">[ name ]</w:t>
      </w:r>
    </w:p>
    <w:p>
      <w:pPr>
        <w:spacing w:after="110"/>
      </w:pPr>
      <w:r>
        <w:rPr>
          <w:rFonts w:ascii="Calibri" w:cs="Calibri" w:eastAsia="Calibri" w:hAnsi="Calibri"/>
          <w:b/>
          <w:bCs/>
          <w:i w:val="false"/>
          <w:iCs w:val="false"/>
          <w:color w:val="1C1917"/>
          <w:sz w:val="21"/>
          <w:szCs w:val="21"/>
        </w:rPr>
        <w:t xml:space="preserve">Decision it would have changed: </w:t>
      </w:r>
      <w:r>
        <w:rPr>
          <w:rFonts w:ascii="Calibri" w:cs="Calibri" w:eastAsia="Calibri" w:hAnsi="Calibri"/>
          <w:b w:val="false"/>
          <w:bCs w:val="false"/>
          <w:i w:val="false"/>
          <w:iCs w:val="false"/>
          <w:color w:val="57534E"/>
          <w:sz w:val="21"/>
          <w:szCs w:val="21"/>
        </w:rPr>
        <w:t xml:space="preserve">The regional pricing variant approved in Q2 last year, which took eleven weeks and is now used by one market.</w:t>
      </w:r>
    </w:p>
    <w:p>
      <w:r>
        <w:br w:type="page"/>
      </w:r>
    </w:p>
    <w:p>
      <w:pPr>
        <w:pStyle w:val="Heading1"/>
        <w:spacing w:after="110" w:before="340"/>
      </w:pPr>
      <w:r>
        <w:rPr>
          <w:rFonts w:ascii="Cambria" w:cs="Cambria" w:eastAsia="Cambria" w:hAnsi="Cambria"/>
          <w:b/>
          <w:bCs/>
          <w:color w:val="1C1917"/>
          <w:sz w:val="32"/>
          <w:szCs w:val="32"/>
        </w:rPr>
        <w:t xml:space="preserve">5. The socialization session</w:t>
      </w:r>
    </w:p>
    <w:p>
      <w:pPr>
        <w:spacing w:after="150"/>
      </w:pPr>
      <w:r>
        <w:rPr>
          <w:rFonts w:ascii="Calibri" w:cs="Calibri" w:eastAsia="Calibri" w:hAnsi="Calibri"/>
          <w:i/>
          <w:iCs/>
          <w:color w:val="14606B"/>
          <w:sz w:val="19"/>
          <w:szCs w:val="19"/>
        </w:rPr>
        <w:t xml:space="preserve">Forty minutes, with the people whose lives get harder. This is the part that decides whether the set survives.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000"/>
        <w:gridCol w:w="4600"/>
        <w:gridCol w:w="4000"/>
      </w:tblGrid>
      <w:tr>
        <w:tc>
          <w:tcPr>
            <w:tcW w:type="dxa" w:w="1000"/>
            <w:shd w:fill="14606B" w:val="clear"/>
            <w:tcMar>
              <w:top w:type="dxa" w:w="70"/>
              <w:left w:type="dxa" w:w="110"/>
              <w:bottom w:type="dxa" w:w="70"/>
              <w:right w:type="dxa" w:w="110"/>
            </w:tcMar>
          </w:tcPr>
          <w:p>
            <w:r>
              <w:rPr>
                <w:rFonts w:ascii="Calibri" w:cs="Calibri" w:eastAsia="Calibri" w:hAnsi="Calibri"/>
                <w:b/>
                <w:bCs/>
                <w:color w:val="FFFFFF"/>
                <w:sz w:val="19"/>
                <w:szCs w:val="19"/>
              </w:rPr>
              <w:t xml:space="preserve">Time</w:t>
            </w:r>
          </w:p>
        </w:tc>
        <w:tc>
          <w:tcPr>
            <w:tcW w:type="dxa" w:w="4600"/>
            <w:shd w:fill="14606B" w:val="clear"/>
            <w:tcMar>
              <w:top w:type="dxa" w:w="70"/>
              <w:left w:type="dxa" w:w="110"/>
              <w:bottom w:type="dxa" w:w="70"/>
              <w:right w:type="dxa" w:w="110"/>
            </w:tcMar>
          </w:tcPr>
          <w:p>
            <w:r>
              <w:rPr>
                <w:rFonts w:ascii="Calibri" w:cs="Calibri" w:eastAsia="Calibri" w:hAnsi="Calibri"/>
                <w:b/>
                <w:bCs/>
                <w:color w:val="FFFFFF"/>
                <w:sz w:val="19"/>
                <w:szCs w:val="19"/>
              </w:rPr>
              <w:t xml:space="preserve">Item</w:t>
            </w:r>
          </w:p>
        </w:tc>
        <w:tc>
          <w:tcPr>
            <w:tcW w:type="dxa" w:w="4000"/>
            <w:shd w:fill="14606B" w:val="clear"/>
            <w:tcMar>
              <w:top w:type="dxa" w:w="70"/>
              <w:left w:type="dxa" w:w="110"/>
              <w:bottom w:type="dxa" w:w="70"/>
              <w:right w:type="dxa" w:w="110"/>
            </w:tcMar>
          </w:tcPr>
          <w:p>
            <w:r>
              <w:rPr>
                <w:rFonts w:ascii="Calibri" w:cs="Calibri" w:eastAsia="Calibri" w:hAnsi="Calibri"/>
                <w:b/>
                <w:bCs/>
                <w:color w:val="FFFFFF"/>
                <w:sz w:val="19"/>
                <w:szCs w:val="19"/>
              </w:rPr>
              <w:t xml:space="preserve">Note</w:t>
            </w:r>
          </w:p>
        </w:tc>
      </w:tr>
      <w:tr>
        <w:tc>
          <w:tcPr>
            <w:tcW w:type="dxa" w:w="1000"/>
            <w:shd w:fill="FFFFFF" w:val="clear"/>
            <w:tcMar>
              <w:top w:type="dxa" w:w="70"/>
              <w:left w:type="dxa" w:w="110"/>
              <w:bottom w:type="dxa" w:w="70"/>
              <w:right w:type="dxa" w:w="110"/>
            </w:tcMar>
          </w:tcPr>
          <w:p>
            <w:r>
              <w:rPr>
                <w:rFonts w:ascii="Calibri" w:cs="Calibri" w:eastAsia="Calibri" w:hAnsi="Calibri"/>
                <w:b/>
                <w:bCs/>
                <w:color w:val="1C1917"/>
                <w:sz w:val="19"/>
                <w:szCs w:val="19"/>
              </w:rPr>
              <w:t xml:space="preserve">0-5</w:t>
            </w:r>
          </w:p>
        </w:tc>
        <w:tc>
          <w:tcPr>
            <w:tcW w:type="dxa" w:w="4600"/>
            <w:shd w:fill="FFFFFF" w:val="clear"/>
            <w:tcMar>
              <w:top w:type="dxa" w:w="70"/>
              <w:left w:type="dxa" w:w="110"/>
              <w:bottom w:type="dxa" w:w="70"/>
              <w:right w:type="dxa" w:w="110"/>
            </w:tcMar>
          </w:tcPr>
          <w:p>
            <w:r>
              <w:rPr>
                <w:rFonts w:ascii="Calibri" w:cs="Calibri" w:eastAsia="Calibri" w:hAnsi="Calibri"/>
                <w:b w:val="false"/>
                <w:bCs w:val="false"/>
                <w:color w:val="57534E"/>
                <w:sz w:val="19"/>
                <w:szCs w:val="19"/>
              </w:rPr>
              <w:t xml:space="preserve">Why we are doing this, and what a principle is for</w:t>
            </w:r>
          </w:p>
        </w:tc>
        <w:tc>
          <w:tcPr>
            <w:tcW w:type="dxa" w:w="4000"/>
            <w:shd w:fill="FFFFFF" w:val="clear"/>
            <w:tcMar>
              <w:top w:type="dxa" w:w="70"/>
              <w:left w:type="dxa" w:w="110"/>
              <w:bottom w:type="dxa" w:w="70"/>
              <w:right w:type="dxa" w:w="110"/>
            </w:tcMar>
          </w:tcPr>
          <w:p>
            <w:r>
              <w:rPr>
                <w:rFonts w:ascii="Calibri" w:cs="Calibri" w:eastAsia="Calibri" w:hAnsi="Calibri"/>
                <w:b w:val="false"/>
                <w:bCs w:val="false"/>
                <w:color w:val="57534E"/>
                <w:sz w:val="19"/>
                <w:szCs w:val="19"/>
              </w:rPr>
              <w:t xml:space="preserve">Say out loud that a principle that cannot lose an argument is a slogan</w:t>
            </w:r>
          </w:p>
        </w:tc>
      </w:tr>
      <w:tr>
        <w:tc>
          <w:tcPr>
            <w:tcW w:type="dxa" w:w="1000"/>
            <w:shd w:fill="F2F0EA" w:val="clear"/>
            <w:tcMar>
              <w:top w:type="dxa" w:w="70"/>
              <w:left w:type="dxa" w:w="110"/>
              <w:bottom w:type="dxa" w:w="70"/>
              <w:right w:type="dxa" w:w="110"/>
            </w:tcMar>
          </w:tcPr>
          <w:p>
            <w:r>
              <w:rPr>
                <w:rFonts w:ascii="Calibri" w:cs="Calibri" w:eastAsia="Calibri" w:hAnsi="Calibri"/>
                <w:b/>
                <w:bCs/>
                <w:color w:val="1C1917"/>
                <w:sz w:val="19"/>
                <w:szCs w:val="19"/>
              </w:rPr>
              <w:t xml:space="preserve">5-20</w:t>
            </w:r>
          </w:p>
        </w:tc>
        <w:tc>
          <w:tcPr>
            <w:tcW w:type="dxa" w:w="4600"/>
            <w:shd w:fill="F2F0EA" w:val="clear"/>
            <w:tcMar>
              <w:top w:type="dxa" w:w="70"/>
              <w:left w:type="dxa" w:w="110"/>
              <w:bottom w:type="dxa" w:w="70"/>
              <w:right w:type="dxa" w:w="110"/>
            </w:tcMar>
          </w:tcPr>
          <w:p>
            <w:r>
              <w:rPr>
                <w:rFonts w:ascii="Calibri" w:cs="Calibri" w:eastAsia="Calibri" w:hAnsi="Calibri"/>
                <w:b w:val="false"/>
                <w:bCs w:val="false"/>
                <w:color w:val="57534E"/>
                <w:sz w:val="19"/>
                <w:szCs w:val="19"/>
              </w:rPr>
              <w:t xml:space="preserve">The candidates, one at a time, with their implications read first</w:t>
            </w:r>
          </w:p>
        </w:tc>
        <w:tc>
          <w:tcPr>
            <w:tcW w:type="dxa" w:w="4000"/>
            <w:shd w:fill="F2F0EA" w:val="clear"/>
            <w:tcMar>
              <w:top w:type="dxa" w:w="70"/>
              <w:left w:type="dxa" w:w="110"/>
              <w:bottom w:type="dxa" w:w="70"/>
              <w:right w:type="dxa" w:w="110"/>
            </w:tcMar>
          </w:tcPr>
          <w:p>
            <w:r>
              <w:rPr>
                <w:rFonts w:ascii="Calibri" w:cs="Calibri" w:eastAsia="Calibri" w:hAnsi="Calibri"/>
                <w:b w:val="false"/>
                <w:bCs w:val="false"/>
                <w:color w:val="57534E"/>
                <w:sz w:val="19"/>
                <w:szCs w:val="19"/>
              </w:rPr>
              <w:t xml:space="preserve">Implications before statement. It changes the conversation entirely</w:t>
            </w:r>
          </w:p>
        </w:tc>
      </w:tr>
      <w:tr>
        <w:tc>
          <w:tcPr>
            <w:tcW w:type="dxa" w:w="1000"/>
            <w:shd w:fill="FFFFFF" w:val="clear"/>
            <w:tcMar>
              <w:top w:type="dxa" w:w="70"/>
              <w:left w:type="dxa" w:w="110"/>
              <w:bottom w:type="dxa" w:w="70"/>
              <w:right w:type="dxa" w:w="110"/>
            </w:tcMar>
          </w:tcPr>
          <w:p>
            <w:r>
              <w:rPr>
                <w:rFonts w:ascii="Calibri" w:cs="Calibri" w:eastAsia="Calibri" w:hAnsi="Calibri"/>
                <w:b/>
                <w:bCs/>
                <w:color w:val="1C1917"/>
                <w:sz w:val="19"/>
                <w:szCs w:val="19"/>
              </w:rPr>
              <w:t xml:space="preserve">20-32</w:t>
            </w:r>
          </w:p>
        </w:tc>
        <w:tc>
          <w:tcPr>
            <w:tcW w:type="dxa" w:w="4600"/>
            <w:shd w:fill="FFFFFF" w:val="clear"/>
            <w:tcMar>
              <w:top w:type="dxa" w:w="70"/>
              <w:left w:type="dxa" w:w="110"/>
              <w:bottom w:type="dxa" w:w="70"/>
              <w:right w:type="dxa" w:w="110"/>
            </w:tcMar>
          </w:tcPr>
          <w:p>
            <w:r>
              <w:rPr>
                <w:rFonts w:ascii="Calibri" w:cs="Calibri" w:eastAsia="Calibri" w:hAnsi="Calibri"/>
                <w:b w:val="false"/>
                <w:bCs w:val="false"/>
                <w:color w:val="57534E"/>
                <w:sz w:val="19"/>
                <w:szCs w:val="19"/>
              </w:rPr>
              <w:t xml:space="preserve">Objections, recorded verbatim</w:t>
            </w:r>
          </w:p>
        </w:tc>
        <w:tc>
          <w:tcPr>
            <w:tcW w:type="dxa" w:w="4000"/>
            <w:shd w:fill="FFFFFF" w:val="clear"/>
            <w:tcMar>
              <w:top w:type="dxa" w:w="70"/>
              <w:left w:type="dxa" w:w="110"/>
              <w:bottom w:type="dxa" w:w="70"/>
              <w:right w:type="dxa" w:w="110"/>
            </w:tcMar>
          </w:tcPr>
          <w:p>
            <w:r>
              <w:rPr>
                <w:rFonts w:ascii="Calibri" w:cs="Calibri" w:eastAsia="Calibri" w:hAnsi="Calibri"/>
                <w:b w:val="false"/>
                <w:bCs w:val="false"/>
                <w:color w:val="57534E"/>
                <w:sz w:val="19"/>
                <w:szCs w:val="19"/>
              </w:rPr>
              <w:t xml:space="preserve">An objection to an implication is a real signal. An objection to the wording is a wording fix</w:t>
            </w:r>
          </w:p>
        </w:tc>
      </w:tr>
      <w:tr>
        <w:tc>
          <w:tcPr>
            <w:tcW w:type="dxa" w:w="1000"/>
            <w:shd w:fill="F2F0EA" w:val="clear"/>
            <w:tcMar>
              <w:top w:type="dxa" w:w="70"/>
              <w:left w:type="dxa" w:w="110"/>
              <w:bottom w:type="dxa" w:w="70"/>
              <w:right w:type="dxa" w:w="110"/>
            </w:tcMar>
          </w:tcPr>
          <w:p>
            <w:r>
              <w:rPr>
                <w:rFonts w:ascii="Calibri" w:cs="Calibri" w:eastAsia="Calibri" w:hAnsi="Calibri"/>
                <w:b/>
                <w:bCs/>
                <w:color w:val="1C1917"/>
                <w:sz w:val="19"/>
                <w:szCs w:val="19"/>
              </w:rPr>
              <w:t xml:space="preserve">32-38</w:t>
            </w:r>
          </w:p>
        </w:tc>
        <w:tc>
          <w:tcPr>
            <w:tcW w:type="dxa" w:w="4600"/>
            <w:shd w:fill="F2F0EA" w:val="clear"/>
            <w:tcMar>
              <w:top w:type="dxa" w:w="70"/>
              <w:left w:type="dxa" w:w="110"/>
              <w:bottom w:type="dxa" w:w="70"/>
              <w:right w:type="dxa" w:w="110"/>
            </w:tcMar>
          </w:tcPr>
          <w:p>
            <w:r>
              <w:rPr>
                <w:rFonts w:ascii="Calibri" w:cs="Calibri" w:eastAsia="Calibri" w:hAnsi="Calibri"/>
                <w:b w:val="false"/>
                <w:bCs w:val="false"/>
                <w:color w:val="57534E"/>
                <w:sz w:val="19"/>
                <w:szCs w:val="19"/>
              </w:rPr>
              <w:t xml:space="preserve">Which ones do we drop</w:t>
            </w:r>
          </w:p>
        </w:tc>
        <w:tc>
          <w:tcPr>
            <w:tcW w:type="dxa" w:w="4000"/>
            <w:shd w:fill="F2F0EA" w:val="clear"/>
            <w:tcMar>
              <w:top w:type="dxa" w:w="70"/>
              <w:left w:type="dxa" w:w="110"/>
              <w:bottom w:type="dxa" w:w="70"/>
              <w:right w:type="dxa" w:w="110"/>
            </w:tcMar>
          </w:tcPr>
          <w:p>
            <w:r>
              <w:rPr>
                <w:rFonts w:ascii="Calibri" w:cs="Calibri" w:eastAsia="Calibri" w:hAnsi="Calibri"/>
                <w:b w:val="false"/>
                <w:bCs w:val="false"/>
                <w:color w:val="57534E"/>
                <w:sz w:val="19"/>
                <w:szCs w:val="19"/>
              </w:rPr>
              <w:t xml:space="preserve">Dropping one in the room buys credibility for the rest</w:t>
            </w:r>
          </w:p>
        </w:tc>
      </w:tr>
      <w:tr>
        <w:tc>
          <w:tcPr>
            <w:tcW w:type="dxa" w:w="1000"/>
            <w:shd w:fill="FFFFFF" w:val="clear"/>
            <w:tcMar>
              <w:top w:type="dxa" w:w="70"/>
              <w:left w:type="dxa" w:w="110"/>
              <w:bottom w:type="dxa" w:w="70"/>
              <w:right w:type="dxa" w:w="110"/>
            </w:tcMar>
          </w:tcPr>
          <w:p>
            <w:r>
              <w:rPr>
                <w:rFonts w:ascii="Calibri" w:cs="Calibri" w:eastAsia="Calibri" w:hAnsi="Calibri"/>
                <w:b/>
                <w:bCs/>
                <w:color w:val="1C1917"/>
                <w:sz w:val="19"/>
                <w:szCs w:val="19"/>
              </w:rPr>
              <w:t xml:space="preserve">38-40</w:t>
            </w:r>
          </w:p>
        </w:tc>
        <w:tc>
          <w:tcPr>
            <w:tcW w:type="dxa" w:w="4600"/>
            <w:shd w:fill="FFFFFF" w:val="clear"/>
            <w:tcMar>
              <w:top w:type="dxa" w:w="70"/>
              <w:left w:type="dxa" w:w="110"/>
              <w:bottom w:type="dxa" w:w="70"/>
              <w:right w:type="dxa" w:w="110"/>
            </w:tcMar>
          </w:tcPr>
          <w:p>
            <w:r>
              <w:rPr>
                <w:rFonts w:ascii="Calibri" w:cs="Calibri" w:eastAsia="Calibri" w:hAnsi="Calibri"/>
                <w:b w:val="false"/>
                <w:bCs w:val="false"/>
                <w:color w:val="57534E"/>
                <w:sz w:val="19"/>
                <w:szCs w:val="19"/>
              </w:rPr>
              <w:t xml:space="preserve">Who owns each, and when we review</w:t>
            </w:r>
          </w:p>
        </w:tc>
        <w:tc>
          <w:tcPr>
            <w:tcW w:type="dxa" w:w="4000"/>
            <w:shd w:fill="FFFFFF" w:val="clear"/>
            <w:tcMar>
              <w:top w:type="dxa" w:w="70"/>
              <w:left w:type="dxa" w:w="110"/>
              <w:bottom w:type="dxa" w:w="70"/>
              <w:right w:type="dxa" w:w="110"/>
            </w:tcMar>
          </w:tcPr>
          <w:p>
            <w:r>
              <w:rPr>
                <w:rFonts w:ascii="Calibri" w:cs="Calibri" w:eastAsia="Calibri" w:hAnsi="Calibri"/>
                <w:b w:val="false"/>
                <w:bCs w:val="false"/>
                <w:color w:val="57534E"/>
                <w:sz w:val="19"/>
                <w:szCs w:val="19"/>
              </w:rPr>
              <w:t xml:space="preserve">Named owner or it is not adopted</w:t>
            </w:r>
          </w:p>
        </w:tc>
      </w:tr>
    </w:tbl>
    <w:p>
      <w:pPr>
        <w:pStyle w:val="Heading2"/>
        <w:spacing w:after="70" w:before="220"/>
      </w:pPr>
      <w:r>
        <w:rPr>
          <w:rFonts w:ascii="Cambria" w:cs="Cambria" w:eastAsia="Cambria" w:hAnsi="Cambria"/>
          <w:b/>
          <w:bCs/>
          <w:color w:val="1C1917"/>
          <w:sz w:val="26"/>
          <w:szCs w:val="26"/>
        </w:rPr>
        <w:t xml:space="preserve">How many</w:t>
      </w:r>
    </w:p>
    <w:p>
      <w:pPr>
        <w:spacing w:after="110"/>
      </w:pPr>
      <w:r>
        <w:rPr>
          <w:rFonts w:ascii="Calibri" w:cs="Calibri" w:eastAsia="Calibri" w:hAnsi="Calibri"/>
          <w:b w:val="false"/>
          <w:bCs w:val="false"/>
          <w:i w:val="false"/>
          <w:iCs w:val="false"/>
          <w:color w:val="57534E"/>
          <w:sz w:val="21"/>
          <w:szCs w:val="21"/>
        </w:rPr>
        <w:t xml:space="preserve">Five to seven. Fewer than five and you have not covered the recurring arguments; more than seven and nobody recalls them without the page open, which means they will not be used in the moments that matter - a design conversation, a vendor pitch, a corridor.</w:t>
      </w:r>
    </w:p>
    <w:p>
      <w:pPr>
        <w:pStyle w:val="Heading2"/>
        <w:spacing w:after="70" w:before="220"/>
      </w:pPr>
      <w:r>
        <w:rPr>
          <w:rFonts w:ascii="Cambria" w:cs="Cambria" w:eastAsia="Cambria" w:hAnsi="Cambria"/>
          <w:b/>
          <w:bCs/>
          <w:color w:val="1C1917"/>
          <w:sz w:val="26"/>
          <w:szCs w:val="26"/>
        </w:rPr>
        <w:t xml:space="preserve">Approval and first use</w:t>
      </w:r>
    </w:p>
    <w:p>
      <w:pPr>
        <w:pStyle w:val="ListParagraph"/>
        <w:numPr>
          <w:ilvl w:val="0"/>
          <w:numId w:val="2"/>
        </w:numPr>
        <w:spacing w:after="55"/>
      </w:pPr>
      <w:r>
        <w:rPr>
          <w:rFonts w:ascii="Calibri" w:cs="Calibri" w:eastAsia="Calibri" w:hAnsi="Calibri"/>
          <w:color w:val="57534E"/>
          <w:sz w:val="21"/>
          <w:szCs w:val="21"/>
        </w:rPr>
        <w:t xml:space="preserve">Approved once, in public, by the body that will be expected to uphold them.</w:t>
      </w:r>
    </w:p>
    <w:p>
      <w:pPr>
        <w:pStyle w:val="ListParagraph"/>
        <w:numPr>
          <w:ilvl w:val="0"/>
          <w:numId w:val="2"/>
        </w:numPr>
        <w:spacing w:after="55"/>
      </w:pPr>
      <w:r>
        <w:rPr>
          <w:rFonts w:ascii="Calibri" w:cs="Calibri" w:eastAsia="Calibri" w:hAnsi="Calibri"/>
          <w:color w:val="57534E"/>
          <w:sz w:val="21"/>
          <w:szCs w:val="21"/>
        </w:rPr>
        <w:t xml:space="preserve">Cited by number in the first three decision records after approval. A principle's authority comes almost entirely from being used, not from having been approved.</w:t>
      </w:r>
    </w:p>
    <w:p>
      <w:pPr>
        <w:pStyle w:val="ListParagraph"/>
        <w:numPr>
          <w:ilvl w:val="0"/>
          <w:numId w:val="2"/>
        </w:numPr>
        <w:spacing w:after="55"/>
      </w:pPr>
      <w:r>
        <w:rPr>
          <w:rFonts w:ascii="Calibri" w:cs="Calibri" w:eastAsia="Calibri" w:hAnsi="Calibri"/>
          <w:color w:val="57534E"/>
          <w:sz w:val="21"/>
          <w:szCs w:val="21"/>
        </w:rPr>
        <w:t xml:space="preserve">Recorded when deviated from, with the reason and a review date. A principle whose violations are recorded is a principle that is working.</w:t>
      </w:r>
    </w:p>
    <w:p>
      <w:pPr>
        <w:pStyle w:val="ListParagraph"/>
        <w:numPr>
          <w:ilvl w:val="0"/>
          <w:numId w:val="2"/>
        </w:numPr>
        <w:spacing w:after="55"/>
      </w:pPr>
      <w:r>
        <w:rPr>
          <w:rFonts w:ascii="Calibri" w:cs="Calibri" w:eastAsia="Calibri" w:hAnsi="Calibri"/>
          <w:color w:val="57534E"/>
          <w:sz w:val="21"/>
          <w:szCs w:val="21"/>
        </w:rPr>
        <w:t xml:space="preserve">Two questions when someone invokes one: which principle, by number - and are you applying it, or requesting an exception? Both are legitimate; only one needs a register entry.</w:t>
      </w:r>
    </w:p>
    <w:p>
      <w:pPr>
        <w:pBdr>
          <w:left w:val="single" w:color="E4E0D7" w:sz="12" w:space="12"/>
        </w:pBdr>
        <w:spacing w:after="110"/>
        <w:ind w:left="340"/>
      </w:pPr>
      <w:r>
        <w:rPr>
          <w:rFonts w:ascii="Calibri" w:cs="Calibri" w:eastAsia="Calibri" w:hAnsi="Calibri"/>
          <w:color w:val="57534E"/>
          <w:sz w:val="21"/>
          <w:szCs w:val="21"/>
        </w:rPr>
        <w:t xml:space="preserve">The moment a delivery team invokes a principle to push back on an architecture request, the set has become real. This will feel uncomfortable and it is the best day of the practice's year.</w:t>
      </w:r>
    </w:p>
    <w:p>
      <w:r>
        <w:br w:type="page"/>
      </w:r>
    </w:p>
    <w:p>
      <w:pPr>
        <w:pStyle w:val="Heading1"/>
        <w:spacing w:after="110" w:before="340"/>
      </w:pPr>
      <w:r>
        <w:rPr>
          <w:rFonts w:ascii="Cambria" w:cs="Cambria" w:eastAsia="Cambria" w:hAnsi="Cambria"/>
          <w:b/>
          <w:bCs/>
          <w:color w:val="1C1917"/>
          <w:sz w:val="32"/>
          <w:szCs w:val="32"/>
        </w:rPr>
        <w:t xml:space="preserve">6. The annual review</w:t>
      </w:r>
    </w:p>
    <w:p>
      <w:pPr>
        <w:spacing w:after="150"/>
      </w:pPr>
      <w:r>
        <w:rPr>
          <w:rFonts w:ascii="Calibri" w:cs="Calibri" w:eastAsia="Calibri" w:hAnsi="Calibri"/>
          <w:i/>
          <w:iCs/>
          <w:color w:val="14606B"/>
          <w:sz w:val="19"/>
          <w:szCs w:val="19"/>
        </w:rPr>
        <w:t xml:space="preserve">Sixty minutes. Read the set aloud and ask the falsifiability question again.</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900"/>
        <w:gridCol w:w="4200"/>
        <w:gridCol w:w="3500"/>
      </w:tblGrid>
      <w:tr>
        <w:tc>
          <w:tcPr>
            <w:tcW w:type="dxa" w:w="1900"/>
            <w:shd w:fill="14606B" w:val="clear"/>
            <w:tcMar>
              <w:top w:type="dxa" w:w="70"/>
              <w:left w:type="dxa" w:w="110"/>
              <w:bottom w:type="dxa" w:w="70"/>
              <w:right w:type="dxa" w:w="110"/>
            </w:tcMar>
          </w:tcPr>
          <w:p>
            <w:r>
              <w:rPr>
                <w:rFonts w:ascii="Calibri" w:cs="Calibri" w:eastAsia="Calibri" w:hAnsi="Calibri"/>
                <w:b/>
                <w:bCs/>
                <w:color w:val="FFFFFF"/>
                <w:sz w:val="19"/>
                <w:szCs w:val="19"/>
              </w:rPr>
              <w:t xml:space="preserve">Check</w:t>
            </w:r>
          </w:p>
        </w:tc>
        <w:tc>
          <w:tcPr>
            <w:tcW w:type="dxa" w:w="4200"/>
            <w:shd w:fill="14606B" w:val="clear"/>
            <w:tcMar>
              <w:top w:type="dxa" w:w="70"/>
              <w:left w:type="dxa" w:w="110"/>
              <w:bottom w:type="dxa" w:w="70"/>
              <w:right w:type="dxa" w:w="110"/>
            </w:tcMar>
          </w:tcPr>
          <w:p>
            <w:r>
              <w:rPr>
                <w:rFonts w:ascii="Calibri" w:cs="Calibri" w:eastAsia="Calibri" w:hAnsi="Calibri"/>
                <w:b/>
                <w:bCs/>
                <w:color w:val="FFFFFF"/>
                <w:sz w:val="19"/>
                <w:szCs w:val="19"/>
              </w:rPr>
              <w:t xml:space="preserve">Question</w:t>
            </w:r>
          </w:p>
        </w:tc>
        <w:tc>
          <w:tcPr>
            <w:tcW w:type="dxa" w:w="3500"/>
            <w:shd w:fill="14606B" w:val="clear"/>
            <w:tcMar>
              <w:top w:type="dxa" w:w="70"/>
              <w:left w:type="dxa" w:w="110"/>
              <w:bottom w:type="dxa" w:w="70"/>
              <w:right w:type="dxa" w:w="110"/>
            </w:tcMar>
          </w:tcPr>
          <w:p>
            <w:r>
              <w:rPr>
                <w:rFonts w:ascii="Calibri" w:cs="Calibri" w:eastAsia="Calibri" w:hAnsi="Calibri"/>
                <w:b/>
                <w:bCs/>
                <w:color w:val="FFFFFF"/>
                <w:sz w:val="19"/>
                <w:szCs w:val="19"/>
              </w:rPr>
              <w:t xml:space="preserve">Action</w:t>
            </w:r>
          </w:p>
        </w:tc>
      </w:tr>
      <w:tr>
        <w:tc>
          <w:tcPr>
            <w:tcW w:type="dxa" w:w="1900"/>
            <w:shd w:fill="FFFFFF" w:val="clear"/>
            <w:tcMar>
              <w:top w:type="dxa" w:w="70"/>
              <w:left w:type="dxa" w:w="110"/>
              <w:bottom w:type="dxa" w:w="70"/>
              <w:right w:type="dxa" w:w="110"/>
            </w:tcMar>
          </w:tcPr>
          <w:p>
            <w:r>
              <w:rPr>
                <w:rFonts w:ascii="Calibri" w:cs="Calibri" w:eastAsia="Calibri" w:hAnsi="Calibri"/>
                <w:b/>
                <w:bCs/>
                <w:color w:val="1C1917"/>
                <w:sz w:val="19"/>
                <w:szCs w:val="19"/>
              </w:rPr>
              <w:t xml:space="preserve">Still cited?</w:t>
            </w:r>
          </w:p>
        </w:tc>
        <w:tc>
          <w:tcPr>
            <w:tcW w:type="dxa" w:w="4200"/>
            <w:shd w:fill="FFFFFF" w:val="clear"/>
            <w:tcMar>
              <w:top w:type="dxa" w:w="70"/>
              <w:left w:type="dxa" w:w="110"/>
              <w:bottom w:type="dxa" w:w="70"/>
              <w:right w:type="dxa" w:w="110"/>
            </w:tcMar>
          </w:tcPr>
          <w:p>
            <w:r>
              <w:rPr>
                <w:rFonts w:ascii="Calibri" w:cs="Calibri" w:eastAsia="Calibri" w:hAnsi="Calibri"/>
                <w:b w:val="false"/>
                <w:bCs w:val="false"/>
                <w:color w:val="57534E"/>
                <w:sz w:val="19"/>
                <w:szCs w:val="19"/>
              </w:rPr>
              <w:t xml:space="preserve">How many decision records referenced it this year?</w:t>
            </w:r>
          </w:p>
        </w:tc>
        <w:tc>
          <w:tcPr>
            <w:tcW w:type="dxa" w:w="3500"/>
            <w:shd w:fill="FFFFFF" w:val="clear"/>
            <w:tcMar>
              <w:top w:type="dxa" w:w="70"/>
              <w:left w:type="dxa" w:w="110"/>
              <w:bottom w:type="dxa" w:w="70"/>
              <w:right w:type="dxa" w:w="110"/>
            </w:tcMar>
          </w:tcPr>
          <w:p>
            <w:r>
              <w:rPr>
                <w:rFonts w:ascii="Calibri" w:cs="Calibri" w:eastAsia="Calibri" w:hAnsi="Calibri"/>
                <w:b w:val="false"/>
                <w:bCs w:val="false"/>
                <w:color w:val="57534E"/>
                <w:sz w:val="19"/>
                <w:szCs w:val="19"/>
              </w:rPr>
              <w:t xml:space="preserve">Zero citations and no exceptions means it is decorative - retire it</w:t>
            </w:r>
          </w:p>
        </w:tc>
      </w:tr>
      <w:tr>
        <w:tc>
          <w:tcPr>
            <w:tcW w:type="dxa" w:w="1900"/>
            <w:shd w:fill="F2F0EA" w:val="clear"/>
            <w:tcMar>
              <w:top w:type="dxa" w:w="70"/>
              <w:left w:type="dxa" w:w="110"/>
              <w:bottom w:type="dxa" w:w="70"/>
              <w:right w:type="dxa" w:w="110"/>
            </w:tcMar>
          </w:tcPr>
          <w:p>
            <w:r>
              <w:rPr>
                <w:rFonts w:ascii="Calibri" w:cs="Calibri" w:eastAsia="Calibri" w:hAnsi="Calibri"/>
                <w:b/>
                <w:bCs/>
                <w:color w:val="1C1917"/>
                <w:sz w:val="19"/>
                <w:szCs w:val="19"/>
              </w:rPr>
              <w:t xml:space="preserve">Still contested?</w:t>
            </w:r>
          </w:p>
        </w:tc>
        <w:tc>
          <w:tcPr>
            <w:tcW w:type="dxa" w:w="4200"/>
            <w:shd w:fill="F2F0EA" w:val="clear"/>
            <w:tcMar>
              <w:top w:type="dxa" w:w="70"/>
              <w:left w:type="dxa" w:w="110"/>
              <w:bottom w:type="dxa" w:w="70"/>
              <w:right w:type="dxa" w:w="110"/>
            </w:tcMar>
          </w:tcPr>
          <w:p>
            <w:r>
              <w:rPr>
                <w:rFonts w:ascii="Calibri" w:cs="Calibri" w:eastAsia="Calibri" w:hAnsi="Calibri"/>
                <w:b w:val="false"/>
                <w:bCs w:val="false"/>
                <w:color w:val="57534E"/>
                <w:sz w:val="19"/>
                <w:szCs w:val="19"/>
              </w:rPr>
              <w:t xml:space="preserve">Did anyone lose an argument because of it?</w:t>
            </w:r>
          </w:p>
        </w:tc>
        <w:tc>
          <w:tcPr>
            <w:tcW w:type="dxa" w:w="3500"/>
            <w:shd w:fill="F2F0EA" w:val="clear"/>
            <w:tcMar>
              <w:top w:type="dxa" w:w="70"/>
              <w:left w:type="dxa" w:w="110"/>
              <w:bottom w:type="dxa" w:w="70"/>
              <w:right w:type="dxa" w:w="110"/>
            </w:tcMar>
          </w:tcPr>
          <w:p>
            <w:r>
              <w:rPr>
                <w:rFonts w:ascii="Calibri" w:cs="Calibri" w:eastAsia="Calibri" w:hAnsi="Calibri"/>
                <w:b w:val="false"/>
                <w:bCs w:val="false"/>
                <w:color w:val="57534E"/>
                <w:sz w:val="19"/>
                <w:szCs w:val="19"/>
              </w:rPr>
              <w:t xml:space="preserve">If not, either the behaviour is now normal or the principle never bit</w:t>
            </w:r>
          </w:p>
        </w:tc>
      </w:tr>
      <w:tr>
        <w:tc>
          <w:tcPr>
            <w:tcW w:type="dxa" w:w="1900"/>
            <w:shd w:fill="FFFFFF" w:val="clear"/>
            <w:tcMar>
              <w:top w:type="dxa" w:w="70"/>
              <w:left w:type="dxa" w:w="110"/>
              <w:bottom w:type="dxa" w:w="70"/>
              <w:right w:type="dxa" w:w="110"/>
            </w:tcMar>
          </w:tcPr>
          <w:p>
            <w:r>
              <w:rPr>
                <w:rFonts w:ascii="Calibri" w:cs="Calibri" w:eastAsia="Calibri" w:hAnsi="Calibri"/>
                <w:b/>
                <w:bCs/>
                <w:color w:val="1C1917"/>
                <w:sz w:val="19"/>
                <w:szCs w:val="19"/>
              </w:rPr>
              <w:t xml:space="preserve">Inflation</w:t>
            </w:r>
          </w:p>
        </w:tc>
        <w:tc>
          <w:tcPr>
            <w:tcW w:type="dxa" w:w="4200"/>
            <w:shd w:fill="FFFFFF" w:val="clear"/>
            <w:tcMar>
              <w:top w:type="dxa" w:w="70"/>
              <w:left w:type="dxa" w:w="110"/>
              <w:bottom w:type="dxa" w:w="70"/>
              <w:right w:type="dxa" w:w="110"/>
            </w:tcMar>
          </w:tcPr>
          <w:p>
            <w:r>
              <w:rPr>
                <w:rFonts w:ascii="Calibri" w:cs="Calibri" w:eastAsia="Calibri" w:hAnsi="Calibri"/>
                <w:b w:val="false"/>
                <w:bCs w:val="false"/>
                <w:color w:val="57534E"/>
                <w:sz w:val="19"/>
                <w:szCs w:val="19"/>
              </w:rPr>
              <w:t xml:space="preserve">Has it acquired sub-clauses until it reads like a standard?</w:t>
            </w:r>
          </w:p>
        </w:tc>
        <w:tc>
          <w:tcPr>
            <w:tcW w:type="dxa" w:w="3500"/>
            <w:shd w:fill="FFFFFF" w:val="clear"/>
            <w:tcMar>
              <w:top w:type="dxa" w:w="70"/>
              <w:left w:type="dxa" w:w="110"/>
              <w:bottom w:type="dxa" w:w="70"/>
              <w:right w:type="dxa" w:w="110"/>
            </w:tcMar>
          </w:tcPr>
          <w:p>
            <w:r>
              <w:rPr>
                <w:rFonts w:ascii="Calibri" w:cs="Calibri" w:eastAsia="Calibri" w:hAnsi="Calibri"/>
                <w:b w:val="false"/>
                <w:bCs w:val="false"/>
                <w:color w:val="57534E"/>
                <w:sz w:val="19"/>
                <w:szCs w:val="19"/>
              </w:rPr>
              <w:t xml:space="preserve">Cut it back to one line and move the detail to a standard</w:t>
            </w:r>
          </w:p>
        </w:tc>
      </w:tr>
      <w:tr>
        <w:tc>
          <w:tcPr>
            <w:tcW w:type="dxa" w:w="1900"/>
            <w:shd w:fill="F2F0EA" w:val="clear"/>
            <w:tcMar>
              <w:top w:type="dxa" w:w="70"/>
              <w:left w:type="dxa" w:w="110"/>
              <w:bottom w:type="dxa" w:w="70"/>
              <w:right w:type="dxa" w:w="110"/>
            </w:tcMar>
          </w:tcPr>
          <w:p>
            <w:r>
              <w:rPr>
                <w:rFonts w:ascii="Calibri" w:cs="Calibri" w:eastAsia="Calibri" w:hAnsi="Calibri"/>
                <w:b/>
                <w:bCs/>
                <w:color w:val="1C1917"/>
                <w:sz w:val="19"/>
                <w:szCs w:val="19"/>
              </w:rPr>
              <w:t xml:space="preserve">Drift into virtue</w:t>
            </w:r>
          </w:p>
        </w:tc>
        <w:tc>
          <w:tcPr>
            <w:tcW w:type="dxa" w:w="4200"/>
            <w:shd w:fill="F2F0EA" w:val="clear"/>
            <w:tcMar>
              <w:top w:type="dxa" w:w="70"/>
              <w:left w:type="dxa" w:w="110"/>
              <w:bottom w:type="dxa" w:w="70"/>
              <w:right w:type="dxa" w:w="110"/>
            </w:tcMar>
          </w:tcPr>
          <w:p>
            <w:r>
              <w:rPr>
                <w:rFonts w:ascii="Calibri" w:cs="Calibri" w:eastAsia="Calibri" w:hAnsi="Calibri"/>
                <w:b w:val="false"/>
                <w:bCs w:val="false"/>
                <w:color w:val="57534E"/>
                <w:sz w:val="19"/>
                <w:szCs w:val="19"/>
              </w:rPr>
              <w:t xml:space="preserve">Has the trade-off been softened into a value?</w:t>
            </w:r>
          </w:p>
        </w:tc>
        <w:tc>
          <w:tcPr>
            <w:tcW w:type="dxa" w:w="3500"/>
            <w:shd w:fill="F2F0EA" w:val="clear"/>
            <w:tcMar>
              <w:top w:type="dxa" w:w="70"/>
              <w:left w:type="dxa" w:w="110"/>
              <w:bottom w:type="dxa" w:w="70"/>
              <w:right w:type="dxa" w:w="110"/>
            </w:tcMar>
          </w:tcPr>
          <w:p>
            <w:r>
              <w:rPr>
                <w:rFonts w:ascii="Calibri" w:cs="Calibri" w:eastAsia="Calibri" w:hAnsi="Calibri"/>
                <w:b w:val="false"/>
                <w:bCs w:val="false"/>
                <w:color w:val="57534E"/>
                <w:sz w:val="19"/>
                <w:szCs w:val="19"/>
              </w:rPr>
              <w:t xml:space="preserve">Restore the X over Y wording</w:t>
            </w:r>
          </w:p>
        </w:tc>
      </w:tr>
      <w:tr>
        <w:tc>
          <w:tcPr>
            <w:tcW w:type="dxa" w:w="1900"/>
            <w:shd w:fill="FFFFFF" w:val="clear"/>
            <w:tcMar>
              <w:top w:type="dxa" w:w="70"/>
              <w:left w:type="dxa" w:w="110"/>
              <w:bottom w:type="dxa" w:w="70"/>
              <w:right w:type="dxa" w:w="110"/>
            </w:tcMar>
          </w:tcPr>
          <w:p>
            <w:r>
              <w:rPr>
                <w:rFonts w:ascii="Calibri" w:cs="Calibri" w:eastAsia="Calibri" w:hAnsi="Calibri"/>
                <w:b/>
                <w:bCs/>
                <w:color w:val="1C1917"/>
                <w:sz w:val="19"/>
                <w:szCs w:val="19"/>
              </w:rPr>
              <w:t xml:space="preserve">Retire deliberately</w:t>
            </w:r>
          </w:p>
        </w:tc>
        <w:tc>
          <w:tcPr>
            <w:tcW w:type="dxa" w:w="4200"/>
            <w:shd w:fill="FFFFFF" w:val="clear"/>
            <w:tcMar>
              <w:top w:type="dxa" w:w="70"/>
              <w:left w:type="dxa" w:w="110"/>
              <w:bottom w:type="dxa" w:w="70"/>
              <w:right w:type="dxa" w:w="110"/>
            </w:tcMar>
          </w:tcPr>
          <w:p>
            <w:r>
              <w:rPr>
                <w:rFonts w:ascii="Calibri" w:cs="Calibri" w:eastAsia="Calibri" w:hAnsi="Calibri"/>
                <w:b w:val="false"/>
                <w:bCs w:val="false"/>
                <w:color w:val="57534E"/>
                <w:sz w:val="19"/>
                <w:szCs w:val="19"/>
              </w:rPr>
              <w:t xml:space="preserve">Has the behaviour it was correcting become normal?</w:t>
            </w:r>
          </w:p>
        </w:tc>
        <w:tc>
          <w:tcPr>
            <w:tcW w:type="dxa" w:w="3500"/>
            <w:shd w:fill="FFFFFF" w:val="clear"/>
            <w:tcMar>
              <w:top w:type="dxa" w:w="70"/>
              <w:left w:type="dxa" w:w="110"/>
              <w:bottom w:type="dxa" w:w="70"/>
              <w:right w:type="dxa" w:w="110"/>
            </w:tcMar>
          </w:tcPr>
          <w:p>
            <w:r>
              <w:rPr>
                <w:rFonts w:ascii="Calibri" w:cs="Calibri" w:eastAsia="Calibri" w:hAnsi="Calibri"/>
                <w:b w:val="false"/>
                <w:bCs w:val="false"/>
                <w:color w:val="57534E"/>
                <w:sz w:val="19"/>
                <w:szCs w:val="19"/>
              </w:rPr>
              <w:t xml:space="preserve">Retiring it is not defeat - it is the point</w:t>
            </w:r>
          </w:p>
        </w:tc>
      </w:tr>
    </w:tbl>
    <w:p>
      <w:pPr>
        <w:spacing w:after="110"/>
      </w:pPr>
      <w:r>
        <w:rPr>
          <w:rFonts w:ascii="Calibri" w:cs="Calibri" w:eastAsia="Calibri" w:hAnsi="Calibri"/>
          <w:b w:val="false"/>
          <w:bCs w:val="false"/>
          <w:i/>
          <w:iCs/>
          <w:color w:val="57534E"/>
          <w:sz w:val="21"/>
          <w:szCs w:val="21"/>
        </w:rPr>
        <w:t xml:space="preserve">A principle can win. Retiring one for that reason is the most convincing evidence you will ever have that the set was doing work.</w:t>
      </w:r>
    </w:p>
    <w:p>
      <w:pPr>
        <w:pStyle w:val="Heading2"/>
        <w:spacing w:after="70" w:before="220"/>
      </w:pPr>
      <w:r>
        <w:rPr>
          <w:rFonts w:ascii="Cambria" w:cs="Cambria" w:eastAsia="Cambria" w:hAnsi="Cambria"/>
          <w:b/>
          <w:bCs/>
          <w:color w:val="1C1917"/>
          <w:sz w:val="26"/>
          <w:szCs w:val="26"/>
        </w:rPr>
        <w:t xml:space="preserve">If you have an inherited set nobody cites</w:t>
      </w:r>
    </w:p>
    <w:p>
      <w:pPr>
        <w:spacing w:after="110"/>
      </w:pPr>
      <w:r>
        <w:rPr>
          <w:rFonts w:ascii="Calibri" w:cs="Calibri" w:eastAsia="Calibri" w:hAnsi="Calibri"/>
          <w:b w:val="false"/>
          <w:bCs w:val="false"/>
          <w:i w:val="false"/>
          <w:iCs w:val="false"/>
          <w:color w:val="57534E"/>
          <w:sz w:val="21"/>
          <w:szCs w:val="21"/>
        </w:rPr>
        <w:t xml:space="preserve">Keep the page and add one column: the decision this changed. Fill it in for last year's decisions. Whatever you cannot fill in, you now know about, and you can retire it quietly at the next review rather than fighting about it in a meeting.</w:t>
      </w:r>
    </w:p>
    <w:p>
      <w:pPr>
        <w:spacing w:after="110"/>
      </w:pPr>
      <w:r>
        <w:rPr>
          <w:rFonts w:ascii="Calibri" w:cs="Calibri" w:eastAsia="Calibri" w:hAnsi="Calibri"/>
          <w:b w:val="false"/>
          <w:bCs w:val="false"/>
          <w:i/>
          <w:iCs/>
          <w:color w:val="57534E"/>
          <w:sz w:val="21"/>
          <w:szCs w:val="21"/>
        </w:rPr>
        <w:t xml:space="preserve">A good principle set is short, slightly uncomfortable, specific enough that another organization would find it strange, and used often enough that people quote it at each other without opening the page.</w:t>
      </w:r>
    </w:p>
    <w:sectPr>
      <w:pgSz w:w="11906" w:h="16838" w:orient="portrait"/>
      <w:pgMar w:top="1100" w:right="1100" w:bottom="11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4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57534E"/>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2026-08-11T10:51:10.661Z</dcterms:created>
  <dcterms:modified xsi:type="dcterms:W3CDTF">2026-08-11T10:51:10.662Z</dcterms:modified>
</cp:coreProperties>
</file>

<file path=docProps/custom.xml><?xml version="1.0" encoding="utf-8"?>
<Properties xmlns="http://schemas.openxmlformats.org/officeDocument/2006/custom-properties" xmlns:vt="http://schemas.openxmlformats.org/officeDocument/2006/docPropsVTypes"/>
</file>