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Calibri" w:cs="Calibri" w:eastAsia="Calibri" w:hAnsi="Calibri"/>
          <w:b/>
          <w:bCs/>
          <w:color w:val="14606B"/>
          <w:spacing w:val="40"/>
          <w:sz w:val="20"/>
          <w:szCs w:val="20"/>
        </w:rPr>
        <w:t xml:space="preserve">CLEAN CORE</w:t>
      </w:r>
    </w:p>
    <w:p>
      <w:pPr>
        <w:spacing w:after="150"/>
      </w:pPr>
      <w:r>
        <w:rPr>
          <w:rFonts w:ascii="Cambria" w:cs="Cambria" w:eastAsia="Cambria" w:hAnsi="Cambria"/>
          <w:b/>
          <w:bCs/>
          <w:color w:val="1C1917"/>
          <w:sz w:val="46"/>
          <w:szCs w:val="46"/>
        </w:rPr>
        <w:t xml:space="preserve">Integration standard, decision tree, and the templates that go with them</w:t>
      </w:r>
    </w:p>
    <w:p>
      <w:pPr>
        <w:spacing w:after="110"/>
      </w:pPr>
      <w:r>
        <w:rPr>
          <w:rFonts w:ascii="Calibri" w:cs="Calibri" w:eastAsia="Calibri" w:hAnsi="Calibri"/>
          <w:b w:val="false"/>
          <w:bCs w:val="false"/>
          <w:i w:val="false"/>
          <w:iCs w:val="false"/>
          <w:color w:val="57534E"/>
          <w:sz w:val="21"/>
          <w:szCs w:val="21"/>
        </w:rPr>
        <w:t xml:space="preserve">Everything a programme needs to turn "no customization" into a design decision with four available answers: the classification tree with worked examples, the six integration rules and the four forbidden patterns with their alternatives, the localization triage guide, the extension request template, and the quarterly review agenda.</w:t>
      </w:r>
    </w:p>
    <w:p>
      <w:pPr>
        <w:spacing w:after="110"/>
      </w:pPr>
      <w:r>
        <w:rPr>
          <w:rFonts w:ascii="Calibri" w:cs="Calibri" w:eastAsia="Calibri" w:hAnsi="Calibri"/>
          <w:b w:val="false"/>
          <w:bCs w:val="false"/>
          <w:i w:val="false"/>
          <w:iCs w:val="false"/>
          <w:color w:val="7D766E"/>
          <w:sz w:val="21"/>
          <w:szCs w:val="21"/>
        </w:rPr>
        <w:t xml:space="preserve">Companion to the extension and integration register, and to the article at mehdibamou.com/publications/clean-core-integration. Free to use and adapt.</w:t>
      </w:r>
    </w:p>
    <w:p>
      <w:r>
        <w:br w:type="page"/>
      </w:r>
    </w:p>
    <w:p>
      <w:pPr>
        <w:pStyle w:val="Heading1"/>
        <w:spacing w:after="110" w:before="340"/>
      </w:pPr>
      <w:r>
        <w:rPr>
          <w:rFonts w:ascii="Cambria" w:cs="Cambria" w:eastAsia="Cambria" w:hAnsi="Cambria"/>
          <w:b/>
          <w:bCs/>
          <w:color w:val="1C1917"/>
          <w:sz w:val="32"/>
          <w:szCs w:val="32"/>
        </w:rPr>
        <w:t xml:space="preserve">1. The four places work can go</w:t>
      </w:r>
    </w:p>
    <w:p>
      <w:pPr>
        <w:spacing w:after="150"/>
      </w:pPr>
      <w:r>
        <w:rPr>
          <w:rFonts w:ascii="Calibri" w:cs="Calibri" w:eastAsia="Calibri" w:hAnsi="Calibri"/>
          <w:i/>
          <w:iCs/>
          <w:color w:val="14606B"/>
          <w:sz w:val="19"/>
          <w:szCs w:val="19"/>
        </w:rPr>
        <w:t xml:space="preserve">Publish this in month one. A rule that arrives after the first argument is a rule that lost it.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1700"/>
        <w:gridCol w:w="2200"/>
        <w:gridCol w:w="900"/>
      </w:tblGrid>
      <w:tr>
        <w:tc>
          <w:tcPr>
            <w:tcW w:type="dxa" w:w="15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Place</w:t>
            </w:r>
          </w:p>
        </w:tc>
        <w:tc>
          <w:tcPr>
            <w:tcW w:type="dxa" w:w="34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What it is</w:t>
            </w:r>
          </w:p>
        </w:tc>
        <w:tc>
          <w:tcPr>
            <w:tcW w:type="dxa" w:w="17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Who does it</w:t>
            </w:r>
          </w:p>
        </w:tc>
        <w:tc>
          <w:tcPr>
            <w:tcW w:type="dxa" w:w="22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Governance</w:t>
            </w:r>
          </w:p>
        </w:tc>
        <w:tc>
          <w:tcPr>
            <w:tcW w:type="dxa" w:w="9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Upgrade</w:t>
            </w:r>
          </w:p>
        </w:tc>
      </w:tr>
      <w:tr>
        <w:tc>
          <w:tcPr>
            <w:tcW w:type="dxa" w:w="15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Configuration</w:t>
            </w:r>
          </w:p>
        </w:tc>
        <w:tc>
          <w:tcPr>
            <w:tcW w:type="dxa" w:w="3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standard behaves differently because you set it differently</w:t>
            </w:r>
          </w:p>
        </w:tc>
        <w:tc>
          <w:tcPr>
            <w:tcW w:type="dxa" w:w="17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Functional consultant or key user</w:t>
            </w:r>
          </w:p>
        </w:tc>
        <w:tc>
          <w:tcPr>
            <w:tcW w:type="dxa" w:w="2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None beyond the normal design review</w:t>
            </w:r>
          </w:p>
        </w:tc>
        <w:tc>
          <w:tcPr>
            <w:tcW w:type="dxa" w:w="9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Safe</w:t>
            </w:r>
          </w:p>
        </w:tc>
      </w:tr>
      <w:tr>
        <w:tc>
          <w:tcPr>
            <w:tcW w:type="dxa" w:w="15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In-app extension</w:t>
            </w:r>
          </w:p>
        </w:tc>
        <w:tc>
          <w:tcPr>
            <w:tcW w:type="dxa" w:w="3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Added fields and logic at the vendor's defined extension points, on released interfaces</w:t>
            </w:r>
          </w:p>
        </w:tc>
        <w:tc>
          <w:tcPr>
            <w:tcW w:type="dxa" w:w="17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Key user or developer</w:t>
            </w:r>
          </w:p>
        </w:tc>
        <w:tc>
          <w:tcPr>
            <w:tcW w:type="dxa" w:w="2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Registered; reviewed in the design forum</w:t>
            </w:r>
          </w:p>
        </w:tc>
        <w:tc>
          <w:tcPr>
            <w:tcW w:type="dxa" w:w="9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Safe</w:t>
            </w:r>
          </w:p>
        </w:tc>
      </w:tr>
      <w:tr>
        <w:tc>
          <w:tcPr>
            <w:tcW w:type="dxa" w:w="15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Side-by-side</w:t>
            </w:r>
          </w:p>
        </w:tc>
        <w:tc>
          <w:tcPr>
            <w:tcW w:type="dxa" w:w="3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service you own, own runtime, own lifecycle, talking to the core through published contracts</w:t>
            </w:r>
          </w:p>
        </w:tc>
        <w:tc>
          <w:tcPr>
            <w:tcW w:type="dxa" w:w="17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Your own team</w:t>
            </w:r>
          </w:p>
        </w:tc>
        <w:tc>
          <w:tcPr>
            <w:tcW w:type="dxa" w:w="2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Registered, owner named, funded, in the inventory</w:t>
            </w:r>
          </w:p>
        </w:tc>
        <w:tc>
          <w:tcPr>
            <w:tcW w:type="dxa" w:w="9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Safe</w:t>
            </w:r>
          </w:p>
        </w:tc>
      </w:tr>
      <w:tr>
        <w:tc>
          <w:tcPr>
            <w:tcW w:type="dxa" w:w="15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Core modification</w:t>
            </w:r>
          </w:p>
        </w:tc>
        <w:tc>
          <w:tcPr>
            <w:tcW w:type="dxa" w:w="3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Changing vendor objects and the data model</w:t>
            </w:r>
          </w:p>
        </w:tc>
        <w:tc>
          <w:tcPr>
            <w:tcW w:type="dxa" w:w="17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Named approval only</w:t>
            </w:r>
          </w:p>
        </w:tc>
        <w:tc>
          <w:tcPr>
            <w:tcW w:type="dxa" w:w="2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Named approver, expiry date, counted publicly</w:t>
            </w:r>
          </w:p>
        </w:tc>
        <w:tc>
          <w:tcPr>
            <w:tcW w:type="dxa" w:w="9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Costs it</w:t>
            </w:r>
          </w:p>
        </w:tc>
      </w:tr>
    </w:tbl>
    <w:p>
      <w:pPr>
        <w:spacing w:after="110"/>
      </w:pPr>
      <w:r>
        <w:rPr>
          <w:rFonts w:ascii="Calibri" w:cs="Calibri" w:eastAsia="Calibri" w:hAnsi="Calibri"/>
          <w:b w:val="false"/>
          <w:bCs w:val="false"/>
          <w:i/>
          <w:iCs/>
          <w:color w:val="57534E"/>
          <w:sz w:val="21"/>
          <w:szCs w:val="21"/>
        </w:rPr>
        <w:t xml:space="preserve">Core modification is governed rather than forbidden. A prohibition drives it underground; a route keeps it visible and finite.</w:t>
      </w:r>
    </w:p>
    <w:p>
      <w:pPr>
        <w:pStyle w:val="Heading2"/>
        <w:spacing w:after="70" w:before="220"/>
      </w:pPr>
      <w:r>
        <w:rPr>
          <w:rFonts w:ascii="Cambria" w:cs="Cambria" w:eastAsia="Cambria" w:hAnsi="Cambria"/>
          <w:b/>
          <w:bCs/>
          <w:color w:val="1C1917"/>
          <w:sz w:val="26"/>
          <w:szCs w:val="26"/>
        </w:rPr>
        <w:t xml:space="preserve">The classification tree</w:t>
      </w:r>
    </w:p>
    <w:p>
      <w:pPr>
        <w:spacing w:after="110"/>
      </w:pPr>
      <w:r>
        <w:rPr>
          <w:rFonts w:ascii="Calibri" w:cs="Calibri" w:eastAsia="Calibri" w:hAnsi="Calibri"/>
          <w:b w:val="false"/>
          <w:bCs w:val="false"/>
          <w:i w:val="false"/>
          <w:iCs w:val="false"/>
          <w:color w:val="57534E"/>
          <w:sz w:val="21"/>
          <w:szCs w:val="21"/>
        </w:rPr>
        <w:t xml:space="preserve">Run in this order, and stop at the first yes. Five minutes, by an architect, in public.</w:t>
      </w:r>
    </w:p>
    <w:p>
      <w:pPr>
        <w:pStyle w:val="ListParagraph"/>
        <w:numPr>
          <w:ilvl w:val="0"/>
          <w:numId w:val="2"/>
        </w:numPr>
        <w:spacing w:after="55"/>
      </w:pPr>
      <w:r>
        <w:rPr>
          <w:rFonts w:ascii="Calibri" w:cs="Calibri" w:eastAsia="Calibri" w:hAnsi="Calibri"/>
          <w:color w:val="57534E"/>
          <w:sz w:val="21"/>
          <w:szCs w:val="21"/>
        </w:rPr>
        <w:t xml:space="preserve">1. Can configuration do it? Check the vendor's country versions and the modules nobody activated before answering no - a surprising share of "impossible" requests are switched off rather than absent.</w:t>
      </w:r>
    </w:p>
    <w:p>
      <w:pPr>
        <w:pStyle w:val="ListParagraph"/>
        <w:numPr>
          <w:ilvl w:val="0"/>
          <w:numId w:val="2"/>
        </w:numPr>
        <w:spacing w:after="55"/>
      </w:pPr>
      <w:r>
        <w:rPr>
          <w:rFonts w:ascii="Calibri" w:cs="Calibri" w:eastAsia="Calibri" w:hAnsi="Calibri"/>
          <w:color w:val="57534E"/>
          <w:sz w:val="21"/>
          <w:szCs w:val="21"/>
        </w:rPr>
        <w:t xml:space="preserve">2. Is it statutory or regulatory? Route it to the localization layer, built once per requirement rather than once per market.</w:t>
      </w:r>
    </w:p>
    <w:p>
      <w:pPr>
        <w:pStyle w:val="ListParagraph"/>
        <w:numPr>
          <w:ilvl w:val="0"/>
          <w:numId w:val="2"/>
        </w:numPr>
        <w:spacing w:after="55"/>
      </w:pPr>
      <w:r>
        <w:rPr>
          <w:rFonts w:ascii="Calibri" w:cs="Calibri" w:eastAsia="Calibri" w:hAnsi="Calibri"/>
          <w:color w:val="57534E"/>
          <w:sz w:val="21"/>
          <w:szCs w:val="21"/>
        </w:rPr>
        <w:t xml:space="preserve">3. Does an in-app extension point exist that covers it? Register it and use it. Do not fight the boundary of what the vendor anticipated - cross it deliberately instead.</w:t>
      </w:r>
    </w:p>
    <w:p>
      <w:pPr>
        <w:pStyle w:val="ListParagraph"/>
        <w:numPr>
          <w:ilvl w:val="0"/>
          <w:numId w:val="2"/>
        </w:numPr>
        <w:spacing w:after="55"/>
      </w:pPr>
      <w:r>
        <w:rPr>
          <w:rFonts w:ascii="Calibri" w:cs="Calibri" w:eastAsia="Calibri" w:hAnsi="Calibri"/>
          <w:color w:val="57534E"/>
          <w:sz w:val="21"/>
          <w:szCs w:val="21"/>
        </w:rPr>
        <w:t xml:space="preserve">4. Is there substance here - data, logic, a lifecycle of its own? Side-by-side, with an owner and funding.</w:t>
      </w:r>
    </w:p>
    <w:p>
      <w:pPr>
        <w:pStyle w:val="ListParagraph"/>
        <w:numPr>
          <w:ilvl w:val="0"/>
          <w:numId w:val="2"/>
        </w:numPr>
        <w:spacing w:after="55"/>
      </w:pPr>
      <w:r>
        <w:rPr>
          <w:rFonts w:ascii="Calibri" w:cs="Calibri" w:eastAsia="Calibri" w:hAnsi="Calibri"/>
          <w:color w:val="57534E"/>
          <w:sz w:val="21"/>
          <w:szCs w:val="21"/>
        </w:rPr>
        <w:t xml:space="preserve">5. None of the above, and the business consequence is real and named? Core modification, with an approver by name and an expiry date.</w:t>
      </w:r>
    </w:p>
    <w:p>
      <w:pPr>
        <w:pStyle w:val="ListParagraph"/>
        <w:numPr>
          <w:ilvl w:val="0"/>
          <w:numId w:val="2"/>
        </w:numPr>
        <w:spacing w:after="55"/>
      </w:pPr>
      <w:r>
        <w:rPr>
          <w:rFonts w:ascii="Calibri" w:cs="Calibri" w:eastAsia="Calibri" w:hAnsi="Calibri"/>
          <w:color w:val="57534E"/>
          <w:sz w:val="21"/>
          <w:szCs w:val="21"/>
        </w:rPr>
        <w:t xml:space="preserve">6. None of the above and the consequence is not named? It goes on the fit-gap list with a review date, which is not the same as a refusal.</w:t>
      </w:r>
    </w:p>
    <w:p>
      <w:pPr>
        <w:pStyle w:val="Heading2"/>
        <w:spacing w:after="70" w:before="220"/>
      </w:pPr>
      <w:r>
        <w:rPr>
          <w:rFonts w:ascii="Cambria" w:cs="Cambria" w:eastAsia="Cambria" w:hAnsi="Cambria"/>
          <w:b/>
          <w:bCs/>
          <w:color w:val="1C1917"/>
          <w:sz w:val="26"/>
          <w:szCs w:val="26"/>
        </w:rPr>
        <w:t xml:space="preserve">Three worked examples</w:t>
      </w:r>
    </w:p>
    <w:p>
      <w:pPr>
        <w:spacing w:after="55" w:before="170"/>
      </w:pPr>
      <w:r>
        <w:rPr>
          <w:rFonts w:ascii="Calibri" w:cs="Calibri" w:eastAsia="Calibri" w:hAnsi="Calibri"/>
          <w:b/>
          <w:bCs/>
          <w:color w:val="14606B"/>
          <w:sz w:val="22"/>
          <w:szCs w:val="22"/>
        </w:rPr>
        <w:t xml:space="preserve">A market asks for an extra approval step in purchasing</w:t>
      </w:r>
    </w:p>
    <w:p>
      <w:pPr>
        <w:spacing w:after="110"/>
      </w:pPr>
      <w:r>
        <w:rPr>
          <w:rFonts w:ascii="Calibri" w:cs="Calibri" w:eastAsia="Calibri" w:hAnsi="Calibri"/>
          <w:b w:val="false"/>
          <w:bCs w:val="false"/>
          <w:i w:val="false"/>
          <w:iCs w:val="false"/>
          <w:color w:val="57534E"/>
          <w:sz w:val="21"/>
          <w:szCs w:val="21"/>
        </w:rPr>
        <w:t xml:space="preserve">Configuration covers most of it: the standard has a release strategy nobody configured because the original rollout used defaults. The remaining part - a check against a local supplier register - goes side-by-side, reading from the core through the released supplier API. No modification. Two days of consultant time, and the market gets what it actually asked for.</w:t>
      </w:r>
    </w:p>
    <w:p>
      <w:pPr>
        <w:spacing w:after="55" w:before="170"/>
      </w:pPr>
      <w:r>
        <w:rPr>
          <w:rFonts w:ascii="Calibri" w:cs="Calibri" w:eastAsia="Calibri" w:hAnsi="Calibri"/>
          <w:b/>
          <w:bCs/>
          <w:color w:val="14606B"/>
          <w:sz w:val="22"/>
          <w:szCs w:val="22"/>
        </w:rPr>
        <w:t xml:space="preserve">A market needs an invoice layout the standard does not produce</w:t>
      </w:r>
    </w:p>
    <w:p>
      <w:pPr>
        <w:spacing w:after="110"/>
      </w:pPr>
      <w:r>
        <w:rPr>
          <w:rFonts w:ascii="Calibri" w:cs="Calibri" w:eastAsia="Calibri" w:hAnsi="Calibri"/>
          <w:b w:val="false"/>
          <w:bCs w:val="false"/>
          <w:i w:val="false"/>
          <w:iCs w:val="false"/>
          <w:color w:val="57534E"/>
          <w:sz w:val="21"/>
          <w:szCs w:val="21"/>
        </w:rPr>
        <w:t xml:space="preserve">Statutory, so it goes to the localization layer. The important move is refusing to build it as a one-off for this market: the same requirement will arrive from two more within a year, and three separately maintained copies is how localization becomes a permanent cost centre.</w:t>
      </w:r>
    </w:p>
    <w:p>
      <w:pPr>
        <w:spacing w:after="55" w:before="170"/>
      </w:pPr>
      <w:r>
        <w:rPr>
          <w:rFonts w:ascii="Calibri" w:cs="Calibri" w:eastAsia="Calibri" w:hAnsi="Calibri"/>
          <w:b/>
          <w:bCs/>
          <w:color w:val="14606B"/>
          <w:sz w:val="22"/>
          <w:szCs w:val="22"/>
        </w:rPr>
        <w:t xml:space="preserve">Sales wants a pricing rule the core cannot express</w:t>
      </w:r>
    </w:p>
    <w:p>
      <w:pPr>
        <w:spacing w:after="110"/>
      </w:pPr>
      <w:r>
        <w:rPr>
          <w:rFonts w:ascii="Calibri" w:cs="Calibri" w:eastAsia="Calibri" w:hAnsi="Calibri"/>
          <w:b w:val="false"/>
          <w:bCs w:val="false"/>
          <w:i w:val="false"/>
          <w:iCs w:val="false"/>
          <w:color w:val="57534E"/>
          <w:sz w:val="21"/>
          <w:szCs w:val="21"/>
        </w:rPr>
        <w:t xml:space="preserve">Genuine substance: data, logic, its own change rhythm. Side-by-side, own service, own team, released APIs both ways. Expensive up front, and the reason the upgrade a year later is a weekend rather than a project. If the answer had been a modification, it would have been cheaper by a factor of three and would have been paid for every release thereafter.</w:t>
      </w:r>
    </w:p>
    <w:p>
      <w:r>
        <w:br w:type="page"/>
      </w:r>
    </w:p>
    <w:p>
      <w:pPr>
        <w:pStyle w:val="Heading1"/>
        <w:spacing w:after="110" w:before="340"/>
      </w:pPr>
      <w:r>
        <w:rPr>
          <w:rFonts w:ascii="Cambria" w:cs="Cambria" w:eastAsia="Cambria" w:hAnsi="Cambria"/>
          <w:b/>
          <w:bCs/>
          <w:color w:val="1C1917"/>
          <w:sz w:val="32"/>
          <w:szCs w:val="32"/>
        </w:rPr>
        <w:t xml:space="preserve">2. The integration standard</w:t>
      </w:r>
    </w:p>
    <w:p>
      <w:pPr>
        <w:spacing w:after="150"/>
      </w:pPr>
      <w:r>
        <w:rPr>
          <w:rFonts w:ascii="Calibri" w:cs="Calibri" w:eastAsia="Calibri" w:hAnsi="Calibri"/>
          <w:i/>
          <w:iCs/>
          <w:color w:val="14606B"/>
          <w:sz w:val="19"/>
          <w:szCs w:val="19"/>
        </w:rPr>
        <w:t xml:space="preserve">Six rules. Each one has a reason attached, because a rule with no reason gets routed around by a delivery team under pressure.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800"/>
      </w:tblGrid>
      <w:tr>
        <w:tc>
          <w:tcPr>
            <w:tcW w:type="dxa" w:w="19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Rule</w:t>
            </w:r>
          </w:p>
        </w:tc>
        <w:tc>
          <w:tcPr>
            <w:tcW w:type="dxa" w:w="39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What it means</w:t>
            </w:r>
          </w:p>
        </w:tc>
        <w:tc>
          <w:tcPr>
            <w:tcW w:type="dxa" w:w="38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Why</w:t>
            </w:r>
          </w:p>
        </w:tc>
      </w:tr>
      <w:tr>
        <w:tc>
          <w:tcPr>
            <w:tcW w:type="dxa" w:w="19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Released contracts only</w:t>
            </w:r>
          </w:p>
        </w:tc>
        <w:tc>
          <w:tcPr>
            <w:tcW w:type="dxa" w:w="39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Published APIs and events, versioned, with compatibility promises - inbound and outbound alike</w:t>
            </w:r>
          </w:p>
        </w:tc>
        <w:tc>
          <w:tcPr>
            <w:tcW w:type="dxa" w:w="3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An interface built on an unpublished internal is a modification you cannot see</w:t>
            </w:r>
          </w:p>
        </w:tc>
      </w:tr>
      <w:tr>
        <w:tc>
          <w:tcPr>
            <w:tcW w:type="dxa" w:w="19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One owner per data object</w:t>
            </w:r>
          </w:p>
        </w:tc>
        <w:tc>
          <w:tcPr>
            <w:tcW w:type="dxa" w:w="39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Exactly one system creates and changes each object; everyone else consumes</w:t>
            </w:r>
          </w:p>
        </w:tc>
        <w:tc>
          <w:tcPr>
            <w:tcW w:type="dxa" w:w="3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Half of all integration pain is two systems both believing they master the same object</w:t>
            </w:r>
          </w:p>
        </w:tc>
      </w:tr>
      <w:tr>
        <w:tc>
          <w:tcPr>
            <w:tcW w:type="dxa" w:w="19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Canonical in the middle</w:t>
            </w:r>
          </w:p>
        </w:tc>
        <w:tc>
          <w:tcPr>
            <w:tcW w:type="dxa" w:w="39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One shared shape per object; dialects translated at the edge</w:t>
            </w:r>
          </w:p>
        </w:tc>
        <w:tc>
          <w:tcPr>
            <w:tcW w:type="dxa" w:w="3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Twelve formats at the boundary is fine. Twelve dialects inside is a layer nobody can change</w:t>
            </w:r>
          </w:p>
        </w:tc>
      </w:tr>
      <w:tr>
        <w:tc>
          <w:tcPr>
            <w:tcW w:type="dxa" w:w="19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Thin middleware</w:t>
            </w:r>
          </w:p>
        </w:tc>
        <w:tc>
          <w:tcPr>
            <w:tcW w:type="dxa" w:w="39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Routing, transformation, protocol, retry, monitoring - not business rules</w:t>
            </w:r>
          </w:p>
        </w:tc>
        <w:tc>
          <w:tcPr>
            <w:tcW w:type="dxa" w:w="3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Rules in the middleware are a third system with no owner and no tests</w:t>
            </w:r>
          </w:p>
        </w:tc>
      </w:tr>
      <w:tr>
        <w:tc>
          <w:tcPr>
            <w:tcW w:type="dxa" w:w="19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Async by default</w:t>
            </w:r>
          </w:p>
        </w:tc>
        <w:tc>
          <w:tcPr>
            <w:tcW w:type="dxa" w:w="39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Events and queues absorb the gap between a core that is upgrading and a market that is trading</w:t>
            </w:r>
          </w:p>
        </w:tc>
        <w:tc>
          <w:tcPr>
            <w:tcW w:type="dxa" w:w="3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Every synchronous call is a coupling you feel in every maintenance window</w:t>
            </w:r>
          </w:p>
        </w:tc>
      </w:tr>
      <w:tr>
        <w:tc>
          <w:tcPr>
            <w:tcW w:type="dxa" w:w="19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Idempotent and replayable</w:t>
            </w:r>
          </w:p>
        </w:tc>
        <w:tc>
          <w:tcPr>
            <w:tcW w:type="dxa" w:w="39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Every message carries a key that makes a second arrival safe; every interface replays from a point in time</w:t>
            </w:r>
          </w:p>
        </w:tc>
        <w:tc>
          <w:tcPr>
            <w:tcW w:type="dxa" w:w="3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difference between a bad night and a boring morning</w:t>
            </w:r>
          </w:p>
        </w:tc>
      </w:tr>
    </w:tbl>
    <w:p>
      <w:pPr>
        <w:pStyle w:val="Heading2"/>
        <w:spacing w:after="70" w:before="220"/>
      </w:pPr>
      <w:r>
        <w:rPr>
          <w:rFonts w:ascii="Cambria" w:cs="Cambria" w:eastAsia="Cambria" w:hAnsi="Cambria"/>
          <w:b/>
          <w:bCs/>
          <w:color w:val="1C1917"/>
          <w:sz w:val="26"/>
          <w:szCs w:val="26"/>
        </w:rPr>
        <w:t xml:space="preserve">Forbidden, with the alternative attached</w:t>
      </w:r>
    </w:p>
    <w:p>
      <w:pPr>
        <w:spacing w:after="110"/>
      </w:pPr>
      <w:r>
        <w:rPr>
          <w:rFonts w:ascii="Calibri" w:cs="Calibri" w:eastAsia="Calibri" w:hAnsi="Calibri"/>
          <w:b w:val="false"/>
          <w:bCs w:val="false"/>
          <w:i w:val="false"/>
          <w:iCs w:val="false"/>
          <w:color w:val="57534E"/>
          <w:sz w:val="21"/>
          <w:szCs w:val="21"/>
        </w:rPr>
        <w:t xml:space="preserve">Publish the alternative in the same sentence as the prohibition. A rule with no route produces a workaround.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00"/>
        <w:gridCol w:w="5200"/>
      </w:tblGrid>
      <w:tr>
        <w:tc>
          <w:tcPr>
            <w:tcW w:type="dxa" w:w="44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Not this</w:t>
            </w:r>
          </w:p>
        </w:tc>
        <w:tc>
          <w:tcPr>
            <w:tcW w:type="dxa" w:w="52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Instead</w:t>
            </w:r>
          </w:p>
        </w:tc>
      </w:tr>
      <w:tr>
        <w:tc>
          <w:tcPr>
            <w:tcW w:type="dxa" w:w="44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Direct database access to the core - invisible until it breaks during an upgrade</w:t>
            </w:r>
          </w:p>
        </w:tc>
        <w:tc>
          <w:tcPr>
            <w:tcW w:type="dxa" w:w="5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Use the released API. If it does not exist, request it from the vendor and bridge temporarily with an expiry date in the register</w:t>
            </w:r>
          </w:p>
        </w:tc>
      </w:tr>
      <w:tr>
        <w:tc>
          <w:tcPr>
            <w:tcW w:type="dxa" w:w="44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Business logic in the middleware</w:t>
            </w:r>
          </w:p>
        </w:tc>
        <w:tc>
          <w:tcPr>
            <w:tcW w:type="dxa" w:w="5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Put it side-by-side, with an owner and a lifecycle</w:t>
            </w:r>
          </w:p>
        </w:tc>
      </w:tr>
      <w:tr>
        <w:tc>
          <w:tcPr>
            <w:tcW w:type="dxa" w:w="44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Point-to-point with no contract between a market system and the core</w:t>
            </w:r>
          </w:p>
        </w:tc>
        <w:tc>
          <w:tcPr>
            <w:tcW w:type="dxa" w:w="5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Register it and give it the canonical shape - the point-to-point itself is not the sin, the absence of a contract is</w:t>
            </w:r>
          </w:p>
        </w:tc>
      </w:tr>
      <w:tr>
        <w:tc>
          <w:tcPr>
            <w:tcW w:type="dxa" w:w="44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File drops with no schema, monitoring, or owner</w:t>
            </w:r>
          </w:p>
        </w:tc>
        <w:tc>
          <w:tcPr>
            <w:tcW w:type="dxa" w:w="5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Schema, owner, dead-letter handling, alerting - or it is not an interface, it is a rumour</w:t>
            </w:r>
          </w:p>
        </w:tc>
      </w:tr>
    </w:tbl>
    <w:p>
      <w:pPr>
        <w:pStyle w:val="Heading2"/>
        <w:spacing w:after="70" w:before="220"/>
      </w:pPr>
      <w:r>
        <w:rPr>
          <w:rFonts w:ascii="Cambria" w:cs="Cambria" w:eastAsia="Cambria" w:hAnsi="Cambria"/>
          <w:b/>
          <w:bCs/>
          <w:color w:val="1C1917"/>
          <w:sz w:val="26"/>
          <w:szCs w:val="26"/>
        </w:rPr>
        <w:t xml:space="preserve">The ownership list</w:t>
      </w:r>
    </w:p>
    <w:p>
      <w:pPr>
        <w:spacing w:after="110"/>
      </w:pPr>
      <w:r>
        <w:rPr>
          <w:rFonts w:ascii="Calibri" w:cs="Calibri" w:eastAsia="Calibri" w:hAnsi="Calibri"/>
          <w:b w:val="false"/>
          <w:bCs w:val="false"/>
          <w:i w:val="false"/>
          <w:iCs w:val="false"/>
          <w:color w:val="57534E"/>
          <w:sz w:val="21"/>
          <w:szCs w:val="21"/>
        </w:rPr>
        <w:t xml:space="preserve">One page, published, argued about once. For each significant object: which system creates it, which systems consume it, and what the exchange contract is. This page prevents more damage than any amount of later governance, and it takes an afternoon.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000"/>
        <w:gridCol w:w="1000"/>
      </w:tblGrid>
      <w:tr>
        <w:tc>
          <w:tcPr>
            <w:tcW w:type="dxa" w:w="2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Object</w:t>
            </w:r>
          </w:p>
        </w:tc>
        <w:tc>
          <w:tcPr>
            <w:tcW w:type="dxa" w:w="22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Master system</w:t>
            </w:r>
          </w:p>
        </w:tc>
        <w:tc>
          <w:tcPr>
            <w:tcW w:type="dxa" w:w="2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Consumers</w:t>
            </w:r>
          </w:p>
        </w:tc>
        <w:tc>
          <w:tcPr>
            <w:tcW w:type="dxa" w:w="2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Contract</w:t>
            </w:r>
          </w:p>
        </w:tc>
        <w:tc>
          <w:tcPr>
            <w:tcW w:type="dxa" w:w="1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Owner</w:t>
            </w:r>
          </w:p>
        </w:tc>
      </w:tr>
      <w:tr>
        <w:tc>
          <w:tcPr>
            <w:tcW w:type="dxa" w:w="2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 object ]</w:t>
            </w:r>
          </w:p>
        </w:tc>
        <w:tc>
          <w:tcPr>
            <w:tcW w:type="dxa" w:w="2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 system ]</w:t>
            </w:r>
          </w:p>
        </w:tc>
        <w:tc>
          <w:tcPr>
            <w:tcW w:type="dxa" w:w="2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 systems ]</w:t>
            </w:r>
          </w:p>
        </w:tc>
        <w:tc>
          <w:tcPr>
            <w:tcW w:type="dxa" w:w="2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 API / event / file ]</w:t>
            </w:r>
          </w:p>
        </w:tc>
        <w:tc>
          <w:tcPr>
            <w:tcW w:type="dxa" w:w="1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 name ]</w:t>
            </w:r>
          </w:p>
        </w:tc>
      </w:tr>
    </w:tbl>
    <w:p>
      <w:r>
        <w:br w:type="page"/>
      </w:r>
    </w:p>
    <w:p>
      <w:pPr>
        <w:pStyle w:val="Heading1"/>
        <w:spacing w:after="110" w:before="340"/>
      </w:pPr>
      <w:r>
        <w:rPr>
          <w:rFonts w:ascii="Cambria" w:cs="Cambria" w:eastAsia="Cambria" w:hAnsi="Cambria"/>
          <w:b/>
          <w:bCs/>
          <w:color w:val="1C1917"/>
          <w:sz w:val="32"/>
          <w:szCs w:val="32"/>
        </w:rPr>
        <w:t xml:space="preserve">3. Localization triage</w:t>
      </w:r>
    </w:p>
    <w:p>
      <w:pPr>
        <w:spacing w:after="150"/>
      </w:pPr>
      <w:r>
        <w:rPr>
          <w:rFonts w:ascii="Calibri" w:cs="Calibri" w:eastAsia="Calibri" w:hAnsi="Calibri"/>
          <w:i/>
          <w:iCs/>
          <w:color w:val="14606B"/>
          <w:sz w:val="19"/>
          <w:szCs w:val="19"/>
        </w:rPr>
        <w:t xml:space="preserve">Done with the market, never about them. A market team is usually right about the symptom and only sometimes right about the cause.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000"/>
        <w:gridCol w:w="1800"/>
      </w:tblGrid>
      <w:tr>
        <w:tc>
          <w:tcPr>
            <w:tcW w:type="dxa" w:w="22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Bucket</w:t>
            </w:r>
          </w:p>
        </w:tc>
        <w:tc>
          <w:tcPr>
            <w:tcW w:type="dxa" w:w="3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Test</w:t>
            </w:r>
          </w:p>
        </w:tc>
        <w:tc>
          <w:tcPr>
            <w:tcW w:type="dxa" w:w="2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Route</w:t>
            </w:r>
          </w:p>
        </w:tc>
        <w:tc>
          <w:tcPr>
            <w:tcW w:type="dxa" w:w="18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Owner</w:t>
            </w:r>
          </w:p>
        </w:tc>
      </w:tr>
      <w:tr>
        <w:tc>
          <w:tcPr>
            <w:tcW w:type="dxa" w:w="22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Statutory or regulatory</w:t>
            </w:r>
          </w:p>
        </w:tc>
        <w:tc>
          <w:tcPr>
            <w:tcW w:type="dxa" w:w="3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Name the law, the regulator, or the reporting obligation. If nobody can, it is not this bucket</w:t>
            </w:r>
          </w:p>
        </w:tc>
        <w:tc>
          <w:tcPr>
            <w:tcW w:type="dxa" w:w="2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Localization layer, built once per requirement</w:t>
            </w:r>
          </w:p>
        </w:tc>
        <w:tc>
          <w:tcPr>
            <w:tcW w:type="dxa" w:w="1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Central - the law changes, and you do not want that discovery happening in twelve places</w:t>
            </w:r>
          </w:p>
        </w:tc>
      </w:tr>
      <w:tr>
        <w:tc>
          <w:tcPr>
            <w:tcW w:type="dxa" w:w="22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Genuinely differentiating</w:t>
            </w:r>
          </w:p>
        </w:tc>
        <w:tc>
          <w:tcPr>
            <w:tcW w:type="dxa" w:w="3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Would we put this on a slide explaining why customers choose us? If it takes more than a sentence, it is familiar rather than differentiating</w:t>
            </w:r>
          </w:p>
        </w:tc>
        <w:tc>
          <w:tcPr>
            <w:tcW w:type="dxa" w:w="2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Side-by-side, well built, funded</w:t>
            </w:r>
          </w:p>
        </w:tc>
        <w:tc>
          <w:tcPr>
            <w:tcW w:type="dxa" w:w="1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market, with central funding where it serves the group</w:t>
            </w:r>
          </w:p>
        </w:tc>
      </w:tr>
      <w:tr>
        <w:tc>
          <w:tcPr>
            <w:tcW w:type="dxa" w:w="22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Historic preference</w:t>
            </w:r>
          </w:p>
        </w:tc>
        <w:tc>
          <w:tcPr>
            <w:tcW w:type="dxa" w:w="3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It is this way because it has been this way - often because a system in 2011 could not do it the other way</w:t>
            </w:r>
          </w:p>
        </w:tc>
        <w:tc>
          <w:tcPr>
            <w:tcW w:type="dxa" w:w="2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Fit-gap list with a review date</w:t>
            </w:r>
          </w:p>
        </w:tc>
        <w:tc>
          <w:tcPr>
            <w:tcW w:type="dxa" w:w="1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Nobody, yet - which is the point</w:t>
            </w:r>
          </w:p>
        </w:tc>
      </w:tr>
    </w:tbl>
    <w:p>
      <w:pPr>
        <w:pStyle w:val="Heading2"/>
        <w:spacing w:after="70" w:before="220"/>
      </w:pPr>
      <w:r>
        <w:rPr>
          <w:rFonts w:ascii="Cambria" w:cs="Cambria" w:eastAsia="Cambria" w:hAnsi="Cambria"/>
          <w:b/>
          <w:bCs/>
          <w:color w:val="1C1917"/>
          <w:sz w:val="26"/>
          <w:szCs w:val="26"/>
        </w:rPr>
        <w:t xml:space="preserve">How to run the session</w:t>
      </w:r>
    </w:p>
    <w:p>
      <w:pPr>
        <w:pStyle w:val="ListParagraph"/>
        <w:numPr>
          <w:ilvl w:val="0"/>
          <w:numId w:val="2"/>
        </w:numPr>
        <w:spacing w:after="55"/>
      </w:pPr>
      <w:r>
        <w:rPr>
          <w:rFonts w:ascii="Calibri" w:cs="Calibri" w:eastAsia="Calibri" w:hAnsi="Calibri"/>
          <w:color w:val="57534E"/>
          <w:sz w:val="21"/>
          <w:szCs w:val="21"/>
        </w:rPr>
        <w:t xml:space="preserve">Never say the word preference to the person defending the requirement. Record it, show the standard process running with their own data, and let the demonstration do the work. Half the third bucket evaporates in the room.</w:t>
      </w:r>
    </w:p>
    <w:p>
      <w:pPr>
        <w:pStyle w:val="ListParagraph"/>
        <w:numPr>
          <w:ilvl w:val="0"/>
          <w:numId w:val="2"/>
        </w:numPr>
        <w:spacing w:after="55"/>
      </w:pPr>
      <w:r>
        <w:rPr>
          <w:rFonts w:ascii="Calibri" w:cs="Calibri" w:eastAsia="Calibri" w:hAnsi="Calibri"/>
          <w:color w:val="57534E"/>
          <w:sz w:val="21"/>
          <w:szCs w:val="21"/>
        </w:rPr>
        <w:t xml:space="preserve">Give every bucket a route before the session starts. A bucket with no route becomes an escalation.</w:t>
      </w:r>
    </w:p>
    <w:p>
      <w:pPr>
        <w:pStyle w:val="ListParagraph"/>
        <w:numPr>
          <w:ilvl w:val="0"/>
          <w:numId w:val="2"/>
        </w:numPr>
        <w:spacing w:after="55"/>
      </w:pPr>
      <w:r>
        <w:rPr>
          <w:rFonts w:ascii="Calibri" w:cs="Calibri" w:eastAsia="Calibri" w:hAnsi="Calibri"/>
          <w:color w:val="57534E"/>
          <w:sz w:val="21"/>
          <w:szCs w:val="21"/>
        </w:rPr>
        <w:t xml:space="preserve">Write down why an exemption is granted, not only that it was. The next programme will rediscover it otherwise, the expensive way.</w:t>
      </w:r>
    </w:p>
    <w:p>
      <w:pPr>
        <w:pStyle w:val="ListParagraph"/>
        <w:numPr>
          <w:ilvl w:val="0"/>
          <w:numId w:val="2"/>
        </w:numPr>
        <w:spacing w:after="55"/>
      </w:pPr>
      <w:r>
        <w:rPr>
          <w:rFonts w:ascii="Calibri" w:cs="Calibri" w:eastAsia="Calibri" w:hAnsi="Calibri"/>
          <w:color w:val="57534E"/>
          <w:sz w:val="21"/>
          <w:szCs w:val="21"/>
        </w:rPr>
        <w:t xml:space="preserve">Let markets keep genuinely local satellites - a rota tool, a partner portal, a planning sheet with a decade of tuning. They need a contract to the core and a place in the inventory, not absorption. Insisting everything becomes one system turns a clean core programme into a consolidation programme.</w:t>
      </w:r>
    </w:p>
    <w:p>
      <w:pPr>
        <w:pBdr>
          <w:left w:val="single" w:color="E4E0D7" w:sz="12" w:space="12"/>
        </w:pBdr>
        <w:spacing w:after="110"/>
        <w:ind w:left="340"/>
      </w:pPr>
      <w:r>
        <w:rPr>
          <w:rFonts w:ascii="Calibri" w:cs="Calibri" w:eastAsia="Calibri" w:hAnsi="Calibri"/>
          <w:color w:val="57534E"/>
          <w:sz w:val="21"/>
          <w:szCs w:val="21"/>
        </w:rPr>
        <w:t xml:space="preserve">The fastest way to lose a market is to tell them their requirement is not real. The fastest way to win one is to show them the standard doing it, and then fix the part where it genuinely does not.</w:t>
      </w:r>
    </w:p>
    <w:p>
      <w:r>
        <w:br w:type="page"/>
      </w:r>
    </w:p>
    <w:p>
      <w:pPr>
        <w:pStyle w:val="Heading1"/>
        <w:spacing w:after="110" w:before="340"/>
      </w:pPr>
      <w:r>
        <w:rPr>
          <w:rFonts w:ascii="Cambria" w:cs="Cambria" w:eastAsia="Cambria" w:hAnsi="Cambria"/>
          <w:b/>
          <w:bCs/>
          <w:color w:val="1C1917"/>
          <w:sz w:val="32"/>
          <w:szCs w:val="32"/>
        </w:rPr>
        <w:t xml:space="preserve">4. Extension request - one page</w:t>
      </w:r>
    </w:p>
    <w:p>
      <w:pPr>
        <w:spacing w:after="150"/>
      </w:pPr>
      <w:r>
        <w:rPr>
          <w:rFonts w:ascii="Calibri" w:cs="Calibri" w:eastAsia="Calibri" w:hAnsi="Calibri"/>
          <w:i/>
          <w:iCs/>
          <w:color w:val="14606B"/>
          <w:sz w:val="19"/>
          <w:szCs w:val="19"/>
        </w:rPr>
        <w:t xml:space="preserve">If it does not fit one page, the request is not understood yet. Fill it in with the requester, not for them.</w:t>
      </w:r>
    </w:p>
    <w:p>
      <w:pPr>
        <w:spacing w:after="110"/>
      </w:pPr>
      <w:r>
        <w:rPr>
          <w:rFonts w:ascii="Calibri" w:cs="Calibri" w:eastAsia="Calibri" w:hAnsi="Calibri"/>
          <w:b/>
          <w:bCs/>
          <w:i w:val="false"/>
          <w:iCs w:val="false"/>
          <w:color w:val="1C1917"/>
          <w:sz w:val="21"/>
          <w:szCs w:val="21"/>
        </w:rPr>
        <w:t xml:space="preserve">Request ID: </w:t>
      </w:r>
      <w:r>
        <w:rPr>
          <w:rFonts w:ascii="Calibri" w:cs="Calibri" w:eastAsia="Calibri" w:hAnsi="Calibri"/>
          <w:b w:val="false"/>
          <w:bCs w:val="false"/>
          <w:i w:val="false"/>
          <w:iCs w:val="false"/>
          <w:color w:val="B98A2E"/>
          <w:sz w:val="21"/>
          <w:szCs w:val="21"/>
        </w:rPr>
        <w:t xml:space="preserve">[ EXT-000 ]</w:t>
      </w:r>
    </w:p>
    <w:p>
      <w:pPr>
        <w:spacing w:after="110"/>
      </w:pPr>
      <w:r>
        <w:rPr>
          <w:rFonts w:ascii="Calibri" w:cs="Calibri" w:eastAsia="Calibri" w:hAnsi="Calibri"/>
          <w:b/>
          <w:bCs/>
          <w:i w:val="false"/>
          <w:iCs w:val="false"/>
          <w:color w:val="1C1917"/>
          <w:sz w:val="21"/>
          <w:szCs w:val="21"/>
        </w:rPr>
        <w:t xml:space="preserve">Market or function: </w:t>
      </w:r>
      <w:r>
        <w:rPr>
          <w:rFonts w:ascii="Calibri" w:cs="Calibri" w:eastAsia="Calibri" w:hAnsi="Calibri"/>
          <w:b w:val="false"/>
          <w:bCs w:val="false"/>
          <w:i w:val="false"/>
          <w:iCs w:val="false"/>
          <w:color w:val="B98A2E"/>
          <w:sz w:val="21"/>
          <w:szCs w:val="21"/>
        </w:rPr>
        <w:t xml:space="preserve">[ ... ]</w:t>
      </w:r>
    </w:p>
    <w:p>
      <w:pPr>
        <w:spacing w:after="110"/>
      </w:pPr>
      <w:r>
        <w:rPr>
          <w:rFonts w:ascii="Calibri" w:cs="Calibri" w:eastAsia="Calibri" w:hAnsi="Calibri"/>
          <w:b/>
          <w:bCs/>
          <w:i w:val="false"/>
          <w:iCs w:val="false"/>
          <w:color w:val="1C1917"/>
          <w:sz w:val="21"/>
          <w:szCs w:val="21"/>
        </w:rPr>
        <w:t xml:space="preserve">Requested by: </w:t>
      </w:r>
      <w:r>
        <w:rPr>
          <w:rFonts w:ascii="Calibri" w:cs="Calibri" w:eastAsia="Calibri" w:hAnsi="Calibri"/>
          <w:b w:val="false"/>
          <w:bCs w:val="false"/>
          <w:i w:val="false"/>
          <w:iCs w:val="false"/>
          <w:color w:val="B98A2E"/>
          <w:sz w:val="21"/>
          <w:szCs w:val="21"/>
        </w:rPr>
        <w:t xml:space="preserve">[ name, role ]</w:t>
      </w:r>
    </w:p>
    <w:p>
      <w:pPr>
        <w:spacing w:after="110"/>
      </w:pPr>
      <w:r>
        <w:rPr>
          <w:rFonts w:ascii="Calibri" w:cs="Calibri" w:eastAsia="Calibri" w:hAnsi="Calibri"/>
          <w:b/>
          <w:bCs/>
          <w:i w:val="false"/>
          <w:iCs w:val="false"/>
          <w:color w:val="1C1917"/>
          <w:sz w:val="21"/>
          <w:szCs w:val="21"/>
        </w:rPr>
        <w:t xml:space="preserve">Date: </w:t>
      </w:r>
      <w:r>
        <w:rPr>
          <w:rFonts w:ascii="Calibri" w:cs="Calibri" w:eastAsia="Calibri" w:hAnsi="Calibri"/>
          <w:b w:val="false"/>
          <w:bCs w:val="false"/>
          <w:i w:val="false"/>
          <w:iCs w:val="false"/>
          <w:color w:val="B98A2E"/>
          <w:sz w:val="21"/>
          <w:szCs w:val="21"/>
        </w:rPr>
        <w:t xml:space="preserve">[ ... ]</w:t>
      </w:r>
    </w:p>
    <w:p>
      <w:pPr>
        <w:pStyle w:val="Heading2"/>
        <w:spacing w:after="70" w:before="220"/>
      </w:pPr>
      <w:r>
        <w:rPr>
          <w:rFonts w:ascii="Cambria" w:cs="Cambria" w:eastAsia="Cambria" w:hAnsi="Cambria"/>
          <w:b/>
          <w:bCs/>
          <w:color w:val="1C1917"/>
          <w:sz w:val="26"/>
          <w:szCs w:val="26"/>
        </w:rPr>
        <w:t xml:space="preserve">What the business needs</w:t>
      </w:r>
    </w:p>
    <w:p>
      <w:pPr>
        <w:spacing w:after="110"/>
      </w:pPr>
      <w:r>
        <w:rPr>
          <w:rFonts w:ascii="Calibri" w:cs="Calibri" w:eastAsia="Calibri" w:hAnsi="Calibri"/>
          <w:b w:val="false"/>
          <w:bCs w:val="false"/>
          <w:i/>
          <w:iCs/>
          <w:color w:val="7D766E"/>
          <w:sz w:val="21"/>
          <w:szCs w:val="21"/>
        </w:rPr>
        <w:t xml:space="preserve">Two or three sentences, in business language, describing the outcome rather than the mechanism.</w:t>
      </w:r>
    </w:p>
    <w:p>
      <w:pPr>
        <w:spacing w:after="110"/>
      </w:pPr>
      <w:r>
        <w:rPr>
          <w:rFonts w:ascii="Calibri" w:cs="Calibri" w:eastAsia="Calibri" w:hAnsi="Calibri"/>
          <w:b/>
          <w:bCs/>
          <w:i w:val="false"/>
          <w:iCs w:val="false"/>
          <w:color w:val="1C1917"/>
          <w:sz w:val="21"/>
          <w:szCs w:val="21"/>
        </w:rPr>
        <w:t xml:space="preserve">Need: </w:t>
      </w:r>
      <w:r>
        <w:rPr>
          <w:rFonts w:ascii="Calibri" w:cs="Calibri" w:eastAsia="Calibri" w:hAnsi="Calibri"/>
          <w:b w:val="false"/>
          <w:bCs w:val="false"/>
          <w:i w:val="false"/>
          <w:iCs w:val="false"/>
          <w:color w:val="B98A2E"/>
          <w:sz w:val="21"/>
          <w:szCs w:val="21"/>
        </w:rPr>
        <w:t xml:space="preserve">[  ]</w:t>
      </w:r>
    </w:p>
    <w:p>
      <w:pPr>
        <w:pStyle w:val="Heading2"/>
        <w:spacing w:after="70" w:before="220"/>
      </w:pPr>
      <w:r>
        <w:rPr>
          <w:rFonts w:ascii="Cambria" w:cs="Cambria" w:eastAsia="Cambria" w:hAnsi="Cambria"/>
          <w:b/>
          <w:bCs/>
          <w:color w:val="1C1917"/>
          <w:sz w:val="26"/>
          <w:szCs w:val="26"/>
        </w:rPr>
        <w:t xml:space="preserve">What the standard does today</w:t>
      </w:r>
    </w:p>
    <w:p>
      <w:pPr>
        <w:spacing w:after="110"/>
      </w:pPr>
      <w:r>
        <w:rPr>
          <w:rFonts w:ascii="Calibri" w:cs="Calibri" w:eastAsia="Calibri" w:hAnsi="Calibri"/>
          <w:b w:val="false"/>
          <w:bCs w:val="false"/>
          <w:i/>
          <w:iCs/>
          <w:color w:val="7D766E"/>
          <w:sz w:val="21"/>
          <w:szCs w:val="21"/>
        </w:rPr>
        <w:t xml:space="preserve">Checked against the system, not against memory. Name who checked it.</w:t>
      </w:r>
    </w:p>
    <w:p>
      <w:pPr>
        <w:spacing w:after="110"/>
      </w:pPr>
      <w:r>
        <w:rPr>
          <w:rFonts w:ascii="Calibri" w:cs="Calibri" w:eastAsia="Calibri" w:hAnsi="Calibri"/>
          <w:b/>
          <w:bCs/>
          <w:i w:val="false"/>
          <w:iCs w:val="false"/>
          <w:color w:val="1C1917"/>
          <w:sz w:val="21"/>
          <w:szCs w:val="21"/>
        </w:rPr>
        <w:t xml:space="preserve">Standard behaviour: </w:t>
      </w:r>
      <w:r>
        <w:rPr>
          <w:rFonts w:ascii="Calibri" w:cs="Calibri" w:eastAsia="Calibri" w:hAnsi="Calibri"/>
          <w:b w:val="false"/>
          <w:bCs w:val="false"/>
          <w:i w:val="false"/>
          <w:iCs w:val="false"/>
          <w:color w:val="B98A2E"/>
          <w:sz w:val="21"/>
          <w:szCs w:val="21"/>
        </w:rPr>
        <w:t xml:space="preserve">[  ]</w:t>
      </w:r>
    </w:p>
    <w:p>
      <w:pPr>
        <w:spacing w:after="110"/>
      </w:pPr>
      <w:r>
        <w:rPr>
          <w:rFonts w:ascii="Calibri" w:cs="Calibri" w:eastAsia="Calibri" w:hAnsi="Calibri"/>
          <w:b/>
          <w:bCs/>
          <w:i w:val="false"/>
          <w:iCs w:val="false"/>
          <w:color w:val="1C1917"/>
          <w:sz w:val="21"/>
          <w:szCs w:val="21"/>
        </w:rPr>
        <w:t xml:space="preserve">Checked by: </w:t>
      </w:r>
      <w:r>
        <w:rPr>
          <w:rFonts w:ascii="Calibri" w:cs="Calibri" w:eastAsia="Calibri" w:hAnsi="Calibri"/>
          <w:b w:val="false"/>
          <w:bCs w:val="false"/>
          <w:i w:val="false"/>
          <w:iCs w:val="false"/>
          <w:color w:val="B98A2E"/>
          <w:sz w:val="21"/>
          <w:szCs w:val="21"/>
        </w:rPr>
        <w:t xml:space="preserve">[  ]</w:t>
      </w:r>
    </w:p>
    <w:p>
      <w:pPr>
        <w:pStyle w:val="Heading2"/>
        <w:spacing w:after="70" w:before="220"/>
      </w:pPr>
      <w:r>
        <w:rPr>
          <w:rFonts w:ascii="Cambria" w:cs="Cambria" w:eastAsia="Cambria" w:hAnsi="Cambria"/>
          <w:b/>
          <w:bCs/>
          <w:color w:val="1C1917"/>
          <w:sz w:val="26"/>
          <w:szCs w:val="26"/>
        </w:rPr>
        <w:t xml:space="preserve">What breaks</w:t>
      </w:r>
    </w:p>
    <w:p>
      <w:pPr>
        <w:spacing w:after="110"/>
      </w:pPr>
      <w:r>
        <w:rPr>
          <w:rFonts w:ascii="Calibri" w:cs="Calibri" w:eastAsia="Calibri" w:hAnsi="Calibri"/>
          <w:b w:val="false"/>
          <w:bCs w:val="false"/>
          <w:i/>
          <w:iCs/>
          <w:color w:val="7D766E"/>
          <w:sz w:val="21"/>
          <w:szCs w:val="21"/>
        </w:rPr>
        <w:t xml:space="preserve">The specific consequence, with a number where one exists. "It is not how we work" is not a consequence.</w:t>
      </w:r>
    </w:p>
    <w:p>
      <w:pPr>
        <w:spacing w:after="110"/>
      </w:pPr>
      <w:r>
        <w:rPr>
          <w:rFonts w:ascii="Calibri" w:cs="Calibri" w:eastAsia="Calibri" w:hAnsi="Calibri"/>
          <w:b/>
          <w:bCs/>
          <w:i w:val="false"/>
          <w:iCs w:val="false"/>
          <w:color w:val="1C1917"/>
          <w:sz w:val="21"/>
          <w:szCs w:val="21"/>
        </w:rPr>
        <w:t xml:space="preserve">Consequence: </w:t>
      </w:r>
      <w:r>
        <w:rPr>
          <w:rFonts w:ascii="Calibri" w:cs="Calibri" w:eastAsia="Calibri" w:hAnsi="Calibri"/>
          <w:b w:val="false"/>
          <w:bCs w:val="false"/>
          <w:i w:val="false"/>
          <w:iCs w:val="false"/>
          <w:color w:val="B98A2E"/>
          <w:sz w:val="21"/>
          <w:szCs w:val="21"/>
        </w:rPr>
        <w:t xml:space="preserve">[  ]</w:t>
      </w:r>
    </w:p>
    <w:p>
      <w:pPr>
        <w:pStyle w:val="Heading2"/>
        <w:spacing w:after="70" w:before="220"/>
      </w:pPr>
      <w:r>
        <w:rPr>
          <w:rFonts w:ascii="Cambria" w:cs="Cambria" w:eastAsia="Cambria" w:hAnsi="Cambria"/>
          <w:b/>
          <w:bCs/>
          <w:color w:val="1C1917"/>
          <w:sz w:val="26"/>
          <w:szCs w:val="26"/>
        </w:rPr>
        <w:t xml:space="preserve">Classification</w:t>
      </w:r>
    </w:p>
    <w:p>
      <w:pPr>
        <w:spacing w:after="110"/>
      </w:pPr>
      <w:r>
        <w:rPr>
          <w:rFonts w:ascii="Calibri" w:cs="Calibri" w:eastAsia="Calibri" w:hAnsi="Calibri"/>
          <w:b/>
          <w:bCs/>
          <w:i w:val="false"/>
          <w:iCs w:val="false"/>
          <w:color w:val="1C1917"/>
          <w:sz w:val="21"/>
          <w:szCs w:val="21"/>
        </w:rPr>
        <w:t xml:space="preserve">Bucket: </w:t>
      </w:r>
      <w:r>
        <w:rPr>
          <w:rFonts w:ascii="Calibri" w:cs="Calibri" w:eastAsia="Calibri" w:hAnsi="Calibri"/>
          <w:b w:val="false"/>
          <w:bCs w:val="false"/>
          <w:i w:val="false"/>
          <w:iCs w:val="false"/>
          <w:color w:val="B98A2E"/>
          <w:sz w:val="21"/>
          <w:szCs w:val="21"/>
        </w:rPr>
        <w:t xml:space="preserve">[ statutory / differentiating / historic preference ]</w:t>
      </w:r>
    </w:p>
    <w:p>
      <w:pPr>
        <w:spacing w:after="110"/>
      </w:pPr>
      <w:r>
        <w:rPr>
          <w:rFonts w:ascii="Calibri" w:cs="Calibri" w:eastAsia="Calibri" w:hAnsi="Calibri"/>
          <w:b/>
          <w:bCs/>
          <w:i w:val="false"/>
          <w:iCs w:val="false"/>
          <w:color w:val="1C1917"/>
          <w:sz w:val="21"/>
          <w:szCs w:val="21"/>
        </w:rPr>
        <w:t xml:space="preserve">Place: </w:t>
      </w:r>
      <w:r>
        <w:rPr>
          <w:rFonts w:ascii="Calibri" w:cs="Calibri" w:eastAsia="Calibri" w:hAnsi="Calibri"/>
          <w:b w:val="false"/>
          <w:bCs w:val="false"/>
          <w:i w:val="false"/>
          <w:iCs w:val="false"/>
          <w:color w:val="B98A2E"/>
          <w:sz w:val="21"/>
          <w:szCs w:val="21"/>
        </w:rPr>
        <w:t xml:space="preserve">[ configuration / in-app / side-by-side / core modification / fit-gap list ]</w:t>
      </w:r>
    </w:p>
    <w:p>
      <w:pPr>
        <w:spacing w:after="110"/>
      </w:pPr>
      <w:r>
        <w:rPr>
          <w:rFonts w:ascii="Calibri" w:cs="Calibri" w:eastAsia="Calibri" w:hAnsi="Calibri"/>
          <w:b/>
          <w:bCs/>
          <w:i w:val="false"/>
          <w:iCs w:val="false"/>
          <w:color w:val="1C1917"/>
          <w:sz w:val="21"/>
          <w:szCs w:val="21"/>
        </w:rPr>
        <w:t xml:space="preserve">Classified by: </w:t>
      </w:r>
      <w:r>
        <w:rPr>
          <w:rFonts w:ascii="Calibri" w:cs="Calibri" w:eastAsia="Calibri" w:hAnsi="Calibri"/>
          <w:b w:val="false"/>
          <w:bCs w:val="false"/>
          <w:i w:val="false"/>
          <w:iCs w:val="false"/>
          <w:color w:val="B98A2E"/>
          <w:sz w:val="21"/>
          <w:szCs w:val="21"/>
        </w:rPr>
        <w:t xml:space="preserve">[  ]</w:t>
      </w:r>
    </w:p>
    <w:p>
      <w:pPr>
        <w:pStyle w:val="Heading2"/>
        <w:spacing w:after="70" w:before="220"/>
      </w:pPr>
      <w:r>
        <w:rPr>
          <w:rFonts w:ascii="Cambria" w:cs="Cambria" w:eastAsia="Cambria" w:hAnsi="Cambria"/>
          <w:b/>
          <w:bCs/>
          <w:color w:val="1C1917"/>
          <w:sz w:val="26"/>
          <w:szCs w:val="26"/>
        </w:rPr>
        <w:t xml:space="preserve">Cost and funding</w:t>
      </w:r>
    </w:p>
    <w:p>
      <w:pPr>
        <w:spacing w:after="110"/>
      </w:pPr>
      <w:r>
        <w:rPr>
          <w:rFonts w:ascii="Calibri" w:cs="Calibri" w:eastAsia="Calibri" w:hAnsi="Calibri"/>
          <w:b/>
          <w:bCs/>
          <w:i w:val="false"/>
          <w:iCs w:val="false"/>
          <w:color w:val="1C1917"/>
          <w:sz w:val="21"/>
          <w:szCs w:val="21"/>
        </w:rPr>
        <w:t xml:space="preserve">Build estimate: </w:t>
      </w:r>
      <w:r>
        <w:rPr>
          <w:rFonts w:ascii="Calibri" w:cs="Calibri" w:eastAsia="Calibri" w:hAnsi="Calibri"/>
          <w:b w:val="false"/>
          <w:bCs w:val="false"/>
          <w:i w:val="false"/>
          <w:iCs w:val="false"/>
          <w:color w:val="B98A2E"/>
          <w:sz w:val="21"/>
          <w:szCs w:val="21"/>
        </w:rPr>
        <w:t xml:space="preserve">[  ]</w:t>
      </w:r>
    </w:p>
    <w:p>
      <w:pPr>
        <w:spacing w:after="110"/>
      </w:pPr>
      <w:r>
        <w:rPr>
          <w:rFonts w:ascii="Calibri" w:cs="Calibri" w:eastAsia="Calibri" w:hAnsi="Calibri"/>
          <w:b/>
          <w:bCs/>
          <w:i w:val="false"/>
          <w:iCs w:val="false"/>
          <w:color w:val="1C1917"/>
          <w:sz w:val="21"/>
          <w:szCs w:val="21"/>
        </w:rPr>
        <w:t xml:space="preserve">Annual run cost: </w:t>
      </w:r>
      <w:r>
        <w:rPr>
          <w:rFonts w:ascii="Calibri" w:cs="Calibri" w:eastAsia="Calibri" w:hAnsi="Calibri"/>
          <w:b w:val="false"/>
          <w:bCs w:val="false"/>
          <w:i w:val="false"/>
          <w:iCs w:val="false"/>
          <w:color w:val="B98A2E"/>
          <w:sz w:val="21"/>
          <w:szCs w:val="21"/>
        </w:rPr>
        <w:t xml:space="preserve">[  ]</w:t>
      </w:r>
    </w:p>
    <w:p>
      <w:pPr>
        <w:spacing w:after="110"/>
      </w:pPr>
      <w:r>
        <w:rPr>
          <w:rFonts w:ascii="Calibri" w:cs="Calibri" w:eastAsia="Calibri" w:hAnsi="Calibri"/>
          <w:b/>
          <w:bCs/>
          <w:i w:val="false"/>
          <w:iCs w:val="false"/>
          <w:color w:val="1C1917"/>
          <w:sz w:val="21"/>
          <w:szCs w:val="21"/>
        </w:rPr>
        <w:t xml:space="preserve">Funded by: </w:t>
      </w:r>
      <w:r>
        <w:rPr>
          <w:rFonts w:ascii="Calibri" w:cs="Calibri" w:eastAsia="Calibri" w:hAnsi="Calibri"/>
          <w:b w:val="false"/>
          <w:bCs w:val="false"/>
          <w:i w:val="false"/>
          <w:iCs w:val="false"/>
          <w:color w:val="B98A2E"/>
          <w:sz w:val="21"/>
          <w:szCs w:val="21"/>
        </w:rPr>
        <w:t xml:space="preserve">[ the exception carries its cost - name the budget ]</w:t>
      </w:r>
    </w:p>
    <w:p>
      <w:pPr>
        <w:pStyle w:val="Heading2"/>
        <w:spacing w:after="70" w:before="220"/>
      </w:pPr>
      <w:r>
        <w:rPr>
          <w:rFonts w:ascii="Cambria" w:cs="Cambria" w:eastAsia="Cambria" w:hAnsi="Cambria"/>
          <w:b/>
          <w:bCs/>
          <w:color w:val="1C1917"/>
          <w:sz w:val="26"/>
          <w:szCs w:val="26"/>
        </w:rPr>
        <w:t xml:space="preserve">Expiry</w:t>
      </w:r>
    </w:p>
    <w:p>
      <w:pPr>
        <w:spacing w:after="110"/>
      </w:pPr>
      <w:r>
        <w:rPr>
          <w:rFonts w:ascii="Calibri" w:cs="Calibri" w:eastAsia="Calibri" w:hAnsi="Calibri"/>
          <w:b/>
          <w:bCs/>
          <w:i w:val="false"/>
          <w:iCs w:val="false"/>
          <w:color w:val="1C1917"/>
          <w:sz w:val="21"/>
          <w:szCs w:val="21"/>
        </w:rPr>
        <w:t xml:space="preserve">Review date: </w:t>
      </w:r>
      <w:r>
        <w:rPr>
          <w:rFonts w:ascii="Calibri" w:cs="Calibri" w:eastAsia="Calibri" w:hAnsi="Calibri"/>
          <w:b w:val="false"/>
          <w:bCs w:val="false"/>
          <w:i w:val="false"/>
          <w:iCs w:val="false"/>
          <w:color w:val="B98A2E"/>
          <w:sz w:val="21"/>
          <w:szCs w:val="21"/>
        </w:rPr>
        <w:t xml:space="preserve">[ 12 months by default for modifications and heavy extensions ]</w:t>
      </w:r>
    </w:p>
    <w:p>
      <w:pPr>
        <w:spacing w:after="110"/>
      </w:pPr>
      <w:r>
        <w:rPr>
          <w:rFonts w:ascii="Calibri" w:cs="Calibri" w:eastAsia="Calibri" w:hAnsi="Calibri"/>
          <w:b/>
          <w:bCs/>
          <w:i w:val="false"/>
          <w:iCs w:val="false"/>
          <w:color w:val="1C1917"/>
          <w:sz w:val="21"/>
          <w:szCs w:val="21"/>
        </w:rPr>
        <w:t xml:space="preserve">What would have to be true for this to go away: </w:t>
      </w:r>
      <w:r>
        <w:rPr>
          <w:rFonts w:ascii="Calibri" w:cs="Calibri" w:eastAsia="Calibri" w:hAnsi="Calibri"/>
          <w:b w:val="false"/>
          <w:bCs w:val="false"/>
          <w:i w:val="false"/>
          <w:iCs w:val="false"/>
          <w:color w:val="B98A2E"/>
          <w:sz w:val="21"/>
          <w:szCs w:val="21"/>
        </w:rPr>
        <w:t xml:space="preserve">[  ]</w:t>
      </w:r>
    </w:p>
    <w:p>
      <w:pPr>
        <w:spacing w:after="110"/>
      </w:pPr>
      <w:r>
        <w:rPr>
          <w:rFonts w:ascii="Calibri" w:cs="Calibri" w:eastAsia="Calibri" w:hAnsi="Calibri"/>
          <w:b w:val="false"/>
          <w:bCs w:val="false"/>
          <w:i/>
          <w:iCs/>
          <w:color w:val="57534E"/>
          <w:sz w:val="21"/>
          <w:szCs w:val="21"/>
        </w:rPr>
        <w:t xml:space="preserve">That last line is the most useful field on the page. It converts a permanent exception into a tracked one, and it is often answered with a vendor roadmap item that arrives before the review.</w:t>
      </w:r>
    </w:p>
    <w:p>
      <w:r>
        <w:br w:type="page"/>
      </w:r>
    </w:p>
    <w:p>
      <w:pPr>
        <w:pStyle w:val="Heading1"/>
        <w:spacing w:after="110" w:before="340"/>
      </w:pPr>
      <w:r>
        <w:rPr>
          <w:rFonts w:ascii="Cambria" w:cs="Cambria" w:eastAsia="Cambria" w:hAnsi="Cambria"/>
          <w:b/>
          <w:bCs/>
          <w:color w:val="1C1917"/>
          <w:sz w:val="32"/>
          <w:szCs w:val="32"/>
        </w:rPr>
        <w:t xml:space="preserve">5. The quarterly review</w:t>
      </w:r>
    </w:p>
    <w:p>
      <w:pPr>
        <w:spacing w:after="150"/>
      </w:pPr>
      <w:r>
        <w:rPr>
          <w:rFonts w:ascii="Calibri" w:cs="Calibri" w:eastAsia="Calibri" w:hAnsi="Calibri"/>
          <w:i/>
          <w:iCs/>
          <w:color w:val="14606B"/>
          <w:sz w:val="19"/>
          <w:szCs w:val="19"/>
        </w:rPr>
        <w:t xml:space="preserve">Ninety minutes. Without this meeting the register is an archive and the discipline is paperwork.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400"/>
      </w:tblGrid>
      <w:tr>
        <w:tc>
          <w:tcPr>
            <w:tcW w:type="dxa" w:w="1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Time</w:t>
            </w:r>
          </w:p>
        </w:tc>
        <w:tc>
          <w:tcPr>
            <w:tcW w:type="dxa" w:w="52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Item</w:t>
            </w:r>
          </w:p>
        </w:tc>
        <w:tc>
          <w:tcPr>
            <w:tcW w:type="dxa" w:w="34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Output</w:t>
            </w:r>
          </w:p>
        </w:tc>
      </w:tr>
      <w:tr>
        <w:tc>
          <w:tcPr>
            <w:tcW w:type="dxa" w:w="1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0-10</w:t>
            </w:r>
          </w:p>
        </w:tc>
        <w:tc>
          <w:tcPr>
            <w:tcW w:type="dxa" w:w="5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four numbers, with the trend and the specific items behind them</w:t>
            </w:r>
          </w:p>
        </w:tc>
        <w:tc>
          <w:tcPr>
            <w:tcW w:type="dxa" w:w="3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Read aloud, not circulated silently</w:t>
            </w:r>
          </w:p>
        </w:tc>
      </w:tr>
      <w:tr>
        <w:tc>
          <w:tcPr>
            <w:tcW w:type="dxa" w:w="1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10-45</w:t>
            </w:r>
          </w:p>
        </w:tc>
        <w:tc>
          <w:tcPr>
            <w:tcW w:type="dxa" w:w="5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Every item expiring this quarter: close, extend with a new reason, or promote</w:t>
            </w:r>
          </w:p>
        </w:tc>
        <w:tc>
          <w:tcPr>
            <w:tcW w:type="dxa" w:w="3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decision per item, recorded</w:t>
            </w:r>
          </w:p>
        </w:tc>
      </w:tr>
      <w:tr>
        <w:tc>
          <w:tcPr>
            <w:tcW w:type="dxa" w:w="1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45-60</w:t>
            </w:r>
          </w:p>
        </w:tc>
        <w:tc>
          <w:tcPr>
            <w:tcW w:type="dxa" w:w="5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Buy-out candidates: anything now present in three or more markets</w:t>
            </w:r>
          </w:p>
        </w:tc>
        <w:tc>
          <w:tcPr>
            <w:tcW w:type="dxa" w:w="3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Central takes it over, builds it once, funds it, retires the copies</w:t>
            </w:r>
          </w:p>
        </w:tc>
      </w:tr>
      <w:tr>
        <w:tc>
          <w:tcPr>
            <w:tcW w:type="dxa" w:w="1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60-75</w:t>
            </w:r>
          </w:p>
        </w:tc>
        <w:tc>
          <w:tcPr>
            <w:tcW w:type="dxa" w:w="5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New requests since the last review and their classification</w:t>
            </w:r>
          </w:p>
        </w:tc>
        <w:tc>
          <w:tcPr>
            <w:tcW w:type="dxa" w:w="3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Confirmed or reclassified in public</w:t>
            </w:r>
          </w:p>
        </w:tc>
      </w:tr>
      <w:tr>
        <w:tc>
          <w:tcPr>
            <w:tcW w:type="dxa" w:w="1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75-90</w:t>
            </w:r>
          </w:p>
        </w:tc>
        <w:tc>
          <w:tcPr>
            <w:tcW w:type="dxa" w:w="5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Upgrade rehearsal status and anything the last rehearsal surfaced</w:t>
            </w:r>
          </w:p>
        </w:tc>
        <w:tc>
          <w:tcPr>
            <w:tcW w:type="dxa" w:w="3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date for the next one</w:t>
            </w:r>
          </w:p>
        </w:tc>
      </w:tr>
    </w:tbl>
    <w:p>
      <w:pPr>
        <w:pStyle w:val="Heading2"/>
        <w:spacing w:after="70" w:before="220"/>
      </w:pPr>
      <w:r>
        <w:rPr>
          <w:rFonts w:ascii="Cambria" w:cs="Cambria" w:eastAsia="Cambria" w:hAnsi="Cambria"/>
          <w:b/>
          <w:bCs/>
          <w:color w:val="1C1917"/>
          <w:sz w:val="26"/>
          <w:szCs w:val="26"/>
        </w:rPr>
        <w:t xml:space="preserve">The three ways out</w:t>
      </w:r>
    </w:p>
    <w:p>
      <w:pPr>
        <w:pStyle w:val="ListParagraph"/>
        <w:numPr>
          <w:ilvl w:val="0"/>
          <w:numId w:val="2"/>
        </w:numPr>
        <w:spacing w:after="55"/>
      </w:pPr>
      <w:r>
        <w:rPr>
          <w:rFonts w:ascii="Calibri" w:cs="Calibri" w:eastAsia="Calibri" w:hAnsi="Calibri"/>
          <w:color w:val="57534E"/>
          <w:sz w:val="21"/>
          <w:szCs w:val="21"/>
        </w:rPr>
        <w:t xml:space="preserve">Retire. The need went away, the standard caught up, or the process changed. Test it by switching the extension off in a low-risk environment and waiting - a good share have no users left.</w:t>
      </w:r>
    </w:p>
    <w:p>
      <w:pPr>
        <w:pStyle w:val="ListParagraph"/>
        <w:numPr>
          <w:ilvl w:val="0"/>
          <w:numId w:val="2"/>
        </w:numPr>
        <w:spacing w:after="55"/>
      </w:pPr>
      <w:r>
        <w:rPr>
          <w:rFonts w:ascii="Calibri" w:cs="Calibri" w:eastAsia="Calibri" w:hAnsi="Calibri"/>
          <w:color w:val="57534E"/>
          <w:sz w:val="21"/>
          <w:szCs w:val="21"/>
        </w:rPr>
        <w:t xml:space="preserve">Extend with a new reason. Still needed, still local, still funded locally. New expiry, new justification on the record. An extension without a new reason is a rejection with better manners.</w:t>
      </w:r>
    </w:p>
    <w:p>
      <w:pPr>
        <w:pStyle w:val="ListParagraph"/>
        <w:numPr>
          <w:ilvl w:val="0"/>
          <w:numId w:val="2"/>
        </w:numPr>
        <w:spacing w:after="55"/>
      </w:pPr>
      <w:r>
        <w:rPr>
          <w:rFonts w:ascii="Calibri" w:cs="Calibri" w:eastAsia="Calibri" w:hAnsi="Calibri"/>
          <w:color w:val="57534E"/>
          <w:sz w:val="21"/>
          <w:szCs w:val="21"/>
        </w:rPr>
        <w:t xml:space="preserve">Buy out. The same extension in three or more markets is no longer an exception; it is a missing capability. Central builds it once, properly, side-by-side. Markets stop hiding extensions once they learn a well-argued one might get adopted and funded rather than confiscated.</w:t>
      </w:r>
    </w:p>
    <w:p>
      <w:pPr>
        <w:pStyle w:val="Heading2"/>
        <w:spacing w:after="70" w:before="220"/>
      </w:pPr>
      <w:r>
        <w:rPr>
          <w:rFonts w:ascii="Cambria" w:cs="Cambria" w:eastAsia="Cambria" w:hAnsi="Cambria"/>
          <w:b/>
          <w:bCs/>
          <w:color w:val="1C1917"/>
          <w:sz w:val="26"/>
          <w:szCs w:val="26"/>
        </w:rPr>
        <w:t xml:space="preserve">The four numbers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000"/>
      </w:tblGrid>
      <w:tr>
        <w:tc>
          <w:tcPr>
            <w:tcW w:type="dxa" w:w="2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Number</w:t>
            </w:r>
          </w:p>
        </w:tc>
        <w:tc>
          <w:tcPr>
            <w:tcW w:type="dxa" w:w="42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Definition</w:t>
            </w:r>
          </w:p>
        </w:tc>
        <w:tc>
          <w:tcPr>
            <w:tcW w:type="dxa" w:w="3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What it catches</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Core modifications, open</w:t>
            </w:r>
          </w:p>
        </w:tc>
        <w:tc>
          <w:tcPr>
            <w:tcW w:type="dxa" w:w="4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Count, with the quarterly trend and the names</w:t>
            </w:r>
          </w:p>
        </w:tc>
        <w:tc>
          <w:tcPr>
            <w:tcW w:type="dxa" w:w="3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quiet return of the old habit</w:t>
            </w:r>
          </w:p>
        </w:tc>
      </w:tr>
      <w:tr>
        <w:tc>
          <w:tcPr>
            <w:tcW w:type="dxa" w:w="2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Interfaces on released contracts</w:t>
            </w:r>
          </w:p>
        </w:tc>
        <w:tc>
          <w:tcPr>
            <w:tcW w:type="dxa" w:w="4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Share of live interfaces; the rest are bridges with expiry dates</w:t>
            </w:r>
          </w:p>
        </w:tc>
        <w:tc>
          <w:tcPr>
            <w:tcW w:type="dxa" w:w="3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Direct database reads accumulating unseen</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Upgrade lead time</w:t>
            </w:r>
          </w:p>
        </w:tc>
        <w:tc>
          <w:tcPr>
            <w:tcW w:type="dxa" w:w="42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Vendor release to production, rehearsed if not yet real</w:t>
            </w:r>
          </w:p>
        </w:tc>
        <w:tc>
          <w:tcPr>
            <w:tcW w:type="dxa" w:w="3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core that looks clean on paper</w:t>
            </w:r>
          </w:p>
        </w:tc>
      </w:tr>
      <w:tr>
        <w:tc>
          <w:tcPr>
            <w:tcW w:type="dxa" w:w="2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Open register, with ages</w:t>
            </w:r>
          </w:p>
        </w:tc>
        <w:tc>
          <w:tcPr>
            <w:tcW w:type="dxa" w:w="42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Item count and the age of the oldest</w:t>
            </w:r>
          </w:p>
        </w:tc>
        <w:tc>
          <w:tcPr>
            <w:tcW w:type="dxa" w:w="3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triage that stopped working - a register that only grows</w:t>
            </w:r>
          </w:p>
        </w:tc>
      </w:tr>
    </w:tbl>
    <w:p>
      <w:pPr>
        <w:spacing w:after="110"/>
      </w:pPr>
      <w:r>
        <w:rPr>
          <w:rFonts w:ascii="Calibri" w:cs="Calibri" w:eastAsia="Calibri" w:hAnsi="Calibri"/>
          <w:b w:val="false"/>
          <w:bCs w:val="false"/>
          <w:i/>
          <w:iCs/>
          <w:color w:val="57534E"/>
          <w:sz w:val="21"/>
          <w:szCs w:val="21"/>
        </w:rPr>
        <w:t xml:space="preserve">Report them monthly, to named people, with the specific items rather than only the totals.</w:t>
      </w:r>
    </w:p>
    <w:p>
      <w:pPr>
        <w:pStyle w:val="Heading2"/>
        <w:spacing w:after="70" w:before="220"/>
      </w:pPr>
      <w:r>
        <w:rPr>
          <w:rFonts w:ascii="Cambria" w:cs="Cambria" w:eastAsia="Cambria" w:hAnsi="Cambria"/>
          <w:b/>
          <w:bCs/>
          <w:color w:val="1C1917"/>
          <w:sz w:val="26"/>
          <w:szCs w:val="26"/>
        </w:rPr>
        <w:t xml:space="preserve">What to do in the first month</w:t>
      </w:r>
    </w:p>
    <w:p>
      <w:pPr>
        <w:spacing w:after="110"/>
      </w:pPr>
      <w:r>
        <w:rPr>
          <w:rFonts w:ascii="Calibri" w:cs="Calibri" w:eastAsia="Calibri" w:hAnsi="Calibri"/>
          <w:b w:val="false"/>
          <w:bCs w:val="false"/>
          <w:i w:val="false"/>
          <w:iCs w:val="false"/>
          <w:color w:val="57534E"/>
          <w:sz w:val="21"/>
          <w:szCs w:val="21"/>
        </w:rPr>
        <w:t xml:space="preserve">Publish two pages: the four places with the classification tree, and the ownership list saying which system masters each significant object. Then open the register and put the first request through it in public, so everyone sees what the route looks like when it works.</w:t>
      </w:r>
    </w:p>
    <w:p>
      <w:pPr>
        <w:spacing w:after="110"/>
      </w:pPr>
      <w:r>
        <w:rPr>
          <w:rFonts w:ascii="Calibri" w:cs="Calibri" w:eastAsia="Calibri" w:hAnsi="Calibri"/>
          <w:b w:val="false"/>
          <w:bCs w:val="false"/>
          <w:i/>
          <w:iCs/>
          <w:color w:val="57534E"/>
          <w:sz w:val="21"/>
          <w:szCs w:val="21"/>
        </w:rPr>
        <w:t xml:space="preserve">A large modification count is rarely a failure of discipline by the people who wrote them. It is the predictable result of an organization that never gave its markets a legitimate place to put what they needed. Build the place first; the discipline follows on its own.</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7534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2026-08-11T10:49:58.552Z</dcterms:created>
  <dcterms:modified xsi:type="dcterms:W3CDTF">2026-08-11T10:49:58.554Z</dcterms:modified>
</cp:coreProperties>
</file>

<file path=docProps/custom.xml><?xml version="1.0" encoding="utf-8"?>
<Properties xmlns="http://schemas.openxmlformats.org/officeDocument/2006/custom-properties" xmlns:vt="http://schemas.openxmlformats.org/officeDocument/2006/docPropsVTypes"/>
</file>