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Calibri" w:cs="Calibri" w:eastAsia="Calibri" w:hAnsi="Calibri"/>
          <w:b/>
          <w:bCs/>
          <w:color w:val="14606B"/>
          <w:spacing w:val="40"/>
          <w:sz w:val="20"/>
          <w:szCs w:val="20"/>
        </w:rPr>
        <w:t xml:space="preserve">DATA OBJECT MODEL</w:t>
      </w:r>
    </w:p>
    <w:p>
      <w:pPr>
        <w:spacing w:after="150"/>
      </w:pPr>
      <w:r>
        <w:rPr>
          <w:rFonts w:ascii="Cambria" w:cs="Cambria" w:eastAsia="Cambria" w:hAnsi="Cambria"/>
          <w:b/>
          <w:bCs/>
          <w:color w:val="1C1917"/>
          <w:sz w:val="44"/>
          <w:szCs w:val="44"/>
        </w:rPr>
        <w:t xml:space="preserve">The factsheet pack: strategy on five pages, the template, three worked objects, and the forums</w:t>
      </w:r>
    </w:p>
    <w:p>
      <w:pPr>
        <w:spacing w:after="110"/>
      </w:pPr>
      <w:r>
        <w:rPr>
          <w:rFonts w:ascii="Calibri" w:cs="Calibri" w:eastAsia="Calibri" w:hAnsi="Calibri"/>
          <w:b w:val="false"/>
          <w:bCs w:val="false"/>
          <w:i w:val="false"/>
          <w:iCs w:val="false"/>
          <w:color w:val="57534E"/>
          <w:sz w:val="21"/>
          <w:szCs w:val="21"/>
        </w:rPr>
        <w:t xml:space="preserve">Everything the model needs besides the spreadsheet: the five-page data strategy skeleton, the object factsheet template with the decision each field feeds, three fully worked factsheets, the data decision paper, the definition-writing guide with the boundary technique, terms of reference for the three forums, and the ninety-day plan.</w:t>
      </w:r>
    </w:p>
    <w:p>
      <w:pPr>
        <w:spacing w:after="110"/>
      </w:pPr>
      <w:r>
        <w:rPr>
          <w:rFonts w:ascii="Calibri" w:cs="Calibri" w:eastAsia="Calibri" w:hAnsi="Calibri"/>
          <w:b w:val="false"/>
          <w:bCs w:val="false"/>
          <w:i w:val="false"/>
          <w:iCs w:val="false"/>
          <w:color w:val="7D766E"/>
          <w:sz w:val="21"/>
          <w:szCs w:val="21"/>
        </w:rPr>
        <w:t xml:space="preserve">Companion to the object model workbook and to the article at mehdibamou.com/publications/data-strategy-object-model. Free to use and adapt.</w:t>
      </w:r>
    </w:p>
    <w:p>
      <w:r>
        <w:br w:type="page"/>
      </w:r>
    </w:p>
    <w:p>
      <w:pPr>
        <w:pStyle w:val="Heading1"/>
        <w:spacing w:after="110" w:before="340"/>
      </w:pPr>
      <w:r>
        <w:rPr>
          <w:rFonts w:ascii="Cambria" w:cs="Cambria" w:eastAsia="Cambria" w:hAnsi="Cambria"/>
          <w:b/>
          <w:bCs/>
          <w:color w:val="1C1917"/>
          <w:sz w:val="32"/>
          <w:szCs w:val="32"/>
        </w:rPr>
        <w:t xml:space="preserve">1. The data strategy, in five pages</w:t>
      </w:r>
    </w:p>
    <w:p>
      <w:pPr>
        <w:spacing w:after="150"/>
      </w:pPr>
      <w:r>
        <w:rPr>
          <w:rFonts w:ascii="Calibri" w:cs="Calibri" w:eastAsia="Calibri" w:hAnsi="Calibri"/>
          <w:i/>
          <w:iCs/>
          <w:color w:val="14606B"/>
          <w:sz w:val="19"/>
          <w:szCs w:val="19"/>
        </w:rPr>
        <w:t xml:space="preserve">If it runs longer than five pages it will be approved and never consulted. Length is not the deliverable.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gridCol w:w="3300"/>
      </w:tblGrid>
      <w:tr>
        <w:tc>
          <w:tcPr>
            <w:tcW w:type="dxa" w:w="15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Page</w:t>
            </w:r>
          </w:p>
        </w:tc>
        <w:tc>
          <w:tcPr>
            <w:tcW w:type="dxa" w:w="48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Contains</w:t>
            </w:r>
          </w:p>
        </w:tc>
        <w:tc>
          <w:tcPr>
            <w:tcW w:type="dxa" w:w="33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The test it has to pass</w:t>
            </w:r>
          </w:p>
        </w:tc>
      </w:tr>
      <w:tr>
        <w:tc>
          <w:tcPr>
            <w:tcW w:type="dxa" w:w="15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1. Why</w:t>
            </w:r>
          </w:p>
        </w:tc>
        <w:tc>
          <w:tcPr>
            <w:tcW w:type="dxa" w:w="4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Three to five sentences on what the organization has committed to, and what data has to make easy for that to happen</w:t>
            </w:r>
          </w:p>
        </w:tc>
        <w:tc>
          <w:tcPr>
            <w:tcW w:type="dxa" w:w="33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Somebody outside IT recognizes their own words in it</w:t>
            </w:r>
          </w:p>
        </w:tc>
      </w:tr>
      <w:tr>
        <w:tc>
          <w:tcPr>
            <w:tcW w:type="dxa" w:w="15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2. Principles</w:t>
            </w:r>
          </w:p>
        </w:tc>
        <w:tc>
          <w:tcPr>
            <w:tcW w:type="dxa" w:w="4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Five to seven trade-offs in X-over-Y form, each with a rationale naming a real past decision</w:t>
            </w:r>
          </w:p>
        </w:tc>
        <w:tc>
          <w:tcPr>
            <w:tcW w:type="dxa" w:w="33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Each one could have gone the other way, and someone loses an argument because of it</w:t>
            </w:r>
          </w:p>
        </w:tc>
      </w:tr>
      <w:tr>
        <w:tc>
          <w:tcPr>
            <w:tcW w:type="dxa" w:w="15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3. The object list</w:t>
            </w:r>
          </w:p>
        </w:tc>
        <w:tc>
          <w:tcPr>
            <w:tcW w:type="dxa" w:w="4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Twenty to forty objects with a master, an owner, and a one-line definition</w:t>
            </w:r>
          </w:p>
        </w:tc>
        <w:tc>
          <w:tcPr>
            <w:tcW w:type="dxa" w:w="33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No object appears twice with two masters</w:t>
            </w:r>
          </w:p>
        </w:tc>
      </w:tr>
      <w:tr>
        <w:tc>
          <w:tcPr>
            <w:tcW w:type="dxa" w:w="15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4. How it stays true</w:t>
            </w:r>
          </w:p>
        </w:tc>
        <w:tc>
          <w:tcPr>
            <w:tcW w:type="dxa" w:w="4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gate question, the attestation cadence, the three forums, the report lines</w:t>
            </w:r>
          </w:p>
        </w:tc>
        <w:tc>
          <w:tcPr>
            <w:tcW w:type="dxa" w:w="33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No new governance body, with at most one exception</w:t>
            </w:r>
          </w:p>
        </w:tc>
      </w:tr>
      <w:tr>
        <w:tc>
          <w:tcPr>
            <w:tcW w:type="dxa" w:w="15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5. The next ninety days</w:t>
            </w:r>
          </w:p>
        </w:tc>
        <w:tc>
          <w:tcPr>
            <w:tcW w:type="dxa" w:w="4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Ten factsheets, one gate question, one attestation, three report lines</w:t>
            </w:r>
          </w:p>
        </w:tc>
        <w:tc>
          <w:tcPr>
            <w:tcW w:type="dxa" w:w="33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Every line has a name and a date against it</w:t>
            </w:r>
          </w:p>
        </w:tc>
      </w:tr>
    </w:tbl>
    <w:p>
      <w:pPr>
        <w:spacing w:after="110"/>
      </w:pPr>
      <w:r>
        <w:rPr>
          <w:rFonts w:ascii="Calibri" w:cs="Calibri" w:eastAsia="Calibri" w:hAnsi="Calibri"/>
          <w:b w:val="false"/>
          <w:bCs w:val="false"/>
          <w:i/>
          <w:iCs/>
          <w:color w:val="57534E"/>
          <w:sz w:val="21"/>
          <w:szCs w:val="21"/>
        </w:rPr>
        <w:t xml:space="preserve">Everything else - platform choices, catalog products, mesh or lake or warehouse - is implementation, and belongs in a roadmap rather than in the strategy. Every one of them gets better once the five decisions exist and none of them substitutes for making them.</w:t>
      </w:r>
    </w:p>
    <w:p>
      <w:pPr>
        <w:pStyle w:val="Heading2"/>
        <w:spacing w:after="70" w:before="220"/>
      </w:pPr>
      <w:r>
        <w:rPr>
          <w:rFonts w:ascii="Cambria" w:cs="Cambria" w:eastAsia="Cambria" w:hAnsi="Cambria"/>
          <w:b/>
          <w:bCs/>
          <w:color w:val="1C1917"/>
          <w:sz w:val="26"/>
          <w:szCs w:val="26"/>
        </w:rPr>
        <w:t xml:space="preserve">The five decisions, per object</w:t>
      </w:r>
    </w:p>
    <w:p>
      <w:pPr>
        <w:pStyle w:val="ListParagraph"/>
        <w:numPr>
          <w:ilvl w:val="0"/>
          <w:numId w:val="2"/>
        </w:numPr>
        <w:spacing w:after="55"/>
      </w:pPr>
      <w:r>
        <w:rPr>
          <w:rFonts w:ascii="Calibri" w:cs="Calibri" w:eastAsia="Calibri" w:hAnsi="Calibri"/>
          <w:color w:val="57534E"/>
          <w:sz w:val="21"/>
          <w:szCs w:val="21"/>
        </w:rPr>
        <w:t xml:space="preserve">Which objects matter. Not every table. The ones two or more systems argue about.</w:t>
      </w:r>
    </w:p>
    <w:p>
      <w:pPr>
        <w:pStyle w:val="ListParagraph"/>
        <w:numPr>
          <w:ilvl w:val="0"/>
          <w:numId w:val="2"/>
        </w:numPr>
        <w:spacing w:after="55"/>
      </w:pPr>
      <w:r>
        <w:rPr>
          <w:rFonts w:ascii="Calibri" w:cs="Calibri" w:eastAsia="Calibri" w:hAnsi="Calibri"/>
          <w:color w:val="57534E"/>
          <w:sz w:val="21"/>
          <w:szCs w:val="21"/>
        </w:rPr>
        <w:t xml:space="preserve">Who masters each one. Exactly one system creates and changes it; everyone else consumes.</w:t>
      </w:r>
    </w:p>
    <w:p>
      <w:pPr>
        <w:pStyle w:val="ListParagraph"/>
        <w:numPr>
          <w:ilvl w:val="0"/>
          <w:numId w:val="2"/>
        </w:numPr>
        <w:spacing w:after="55"/>
      </w:pPr>
      <w:r>
        <w:rPr>
          <w:rFonts w:ascii="Calibri" w:cs="Calibri" w:eastAsia="Calibri" w:hAnsi="Calibri"/>
          <w:color w:val="57534E"/>
          <w:sz w:val="21"/>
          <w:szCs w:val="21"/>
        </w:rPr>
        <w:t xml:space="preserve">What each one means. One sentence, plus the boundary - what it is not.</w:t>
      </w:r>
    </w:p>
    <w:p>
      <w:pPr>
        <w:pStyle w:val="ListParagraph"/>
        <w:numPr>
          <w:ilvl w:val="0"/>
          <w:numId w:val="2"/>
        </w:numPr>
        <w:spacing w:after="55"/>
      </w:pPr>
      <w:r>
        <w:rPr>
          <w:rFonts w:ascii="Calibri" w:cs="Calibri" w:eastAsia="Calibri" w:hAnsi="Calibri"/>
          <w:color w:val="57534E"/>
          <w:sz w:val="21"/>
          <w:szCs w:val="21"/>
        </w:rPr>
        <w:t xml:space="preserve">How it moves. Contract, direction, shape, latency people can rely on.</w:t>
      </w:r>
    </w:p>
    <w:p>
      <w:pPr>
        <w:pStyle w:val="ListParagraph"/>
        <w:numPr>
          <w:ilvl w:val="0"/>
          <w:numId w:val="2"/>
        </w:numPr>
        <w:spacing w:after="55"/>
      </w:pPr>
      <w:r>
        <w:rPr>
          <w:rFonts w:ascii="Calibri" w:cs="Calibri" w:eastAsia="Calibri" w:hAnsi="Calibri"/>
          <w:color w:val="57534E"/>
          <w:sz w:val="21"/>
          <w:szCs w:val="21"/>
        </w:rPr>
        <w:t xml:space="preserve">Who answers for it. A named business owner and a named steward.</w:t>
      </w:r>
    </w:p>
    <w:p>
      <w:pPr>
        <w:pBdr>
          <w:left w:val="single" w:color="E4E0D7" w:sz="12" w:space="12"/>
        </w:pBdr>
        <w:spacing w:after="110"/>
        <w:ind w:left="340"/>
      </w:pPr>
      <w:r>
        <w:rPr>
          <w:rFonts w:ascii="Calibri" w:cs="Calibri" w:eastAsia="Calibri" w:hAnsi="Calibri"/>
          <w:color w:val="57534E"/>
          <w:sz w:val="21"/>
          <w:szCs w:val="21"/>
        </w:rPr>
        <w:t xml:space="preserve">A data strategy that cannot be consulted at the moment of a design decision is a document. The useful part is the list of objects, the name in the owner field, and whether anyone can change that name without a meeting.</w:t>
      </w:r>
    </w:p>
    <w:p>
      <w:r>
        <w:br w:type="page"/>
      </w:r>
    </w:p>
    <w:p>
      <w:pPr>
        <w:pStyle w:val="Heading1"/>
        <w:spacing w:after="110" w:before="340"/>
      </w:pPr>
      <w:r>
        <w:rPr>
          <w:rFonts w:ascii="Cambria" w:cs="Cambria" w:eastAsia="Cambria" w:hAnsi="Cambria"/>
          <w:b/>
          <w:bCs/>
          <w:color w:val="1C1917"/>
          <w:sz w:val="32"/>
          <w:szCs w:val="32"/>
        </w:rPr>
        <w:t xml:space="preserve">2. The object factsheet template</w:t>
      </w:r>
    </w:p>
    <w:p>
      <w:pPr>
        <w:spacing w:after="150"/>
      </w:pPr>
      <w:r>
        <w:rPr>
          <w:rFonts w:ascii="Calibri" w:cs="Calibri" w:eastAsia="Calibri" w:hAnsi="Calibri"/>
          <w:i/>
          <w:iCs/>
          <w:color w:val="14606B"/>
          <w:sz w:val="19"/>
          <w:szCs w:val="19"/>
        </w:rPr>
        <w:t xml:space="preserve">One page. If it runs to three you are modelling a schema, and the model will not be maintained.</w:t>
      </w:r>
    </w:p>
    <w:p>
      <w:pPr>
        <w:spacing w:after="110"/>
      </w:pPr>
      <w:r>
        <w:rPr>
          <w:rFonts w:ascii="Calibri" w:cs="Calibri" w:eastAsia="Calibri" w:hAnsi="Calibri"/>
          <w:b/>
          <w:bCs/>
          <w:i w:val="false"/>
          <w:iCs w:val="false"/>
          <w:color w:val="57534E"/>
          <w:sz w:val="21"/>
          <w:szCs w:val="21"/>
        </w:rPr>
        <w:t xml:space="preserve">Every field must feed a named decision, or it does not go on the sheet. The right-hand column is not documentation - it is the argument you make when somebody proposes a fourteenth field.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c>
          <w:tcPr>
            <w:tcW w:type="dxa" w:w="2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Field</w:t>
            </w:r>
          </w:p>
        </w:tc>
        <w:tc>
          <w:tcPr>
            <w:tcW w:type="dxa" w:w="34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Fill in with</w:t>
            </w:r>
          </w:p>
        </w:tc>
        <w:tc>
          <w:tcPr>
            <w:tcW w:type="dxa" w:w="3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The decision it feeds</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Object ID</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Stable, never reused</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Every join in the repository</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Name</w:t>
            </w:r>
          </w:p>
        </w:tc>
        <w:tc>
          <w:tcPr>
            <w:tcW w:type="dxa" w:w="3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group name</w:t>
            </w:r>
          </w:p>
        </w:tc>
        <w:tc>
          <w:tcPr>
            <w:tcW w:type="dxa" w:w="3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Nothing on its own - the aliases do the work</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Aliases</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Every name used per market and per system</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Whether a collection workshop finds the thing at all</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Definition</w:t>
            </w:r>
          </w:p>
        </w:tc>
        <w:tc>
          <w:tcPr>
            <w:tcW w:type="dxa" w:w="3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One sentence</w:t>
            </w:r>
          </w:p>
        </w:tc>
        <w:tc>
          <w:tcPr>
            <w:tcW w:type="dxa" w:w="3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Whether two teams mean the same thing</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What this is not</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Two or three exclusions</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Closes a whole category of dispute before it opens</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Business owner</w:t>
            </w:r>
          </w:p>
        </w:tc>
        <w:tc>
          <w:tcPr>
            <w:tcW w:type="dxa" w:w="3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person</w:t>
            </w:r>
          </w:p>
        </w:tc>
        <w:tc>
          <w:tcPr>
            <w:tcW w:type="dxa" w:w="3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Who approves a definition change</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Data steward</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person, part of an existing role</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Who maintains the sheet and answers questions</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Owning capability</w:t>
            </w:r>
          </w:p>
        </w:tc>
        <w:tc>
          <w:tcPr>
            <w:tcW w:type="dxa" w:w="3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One capability</w:t>
            </w:r>
          </w:p>
        </w:tc>
        <w:tc>
          <w:tcPr>
            <w:tcW w:type="dxa" w:w="3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Where the object sits in the business, and whose budget it lives in</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System of record</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Exactly one application</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Every design decision about writing this object</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Systems of reference</w:t>
            </w:r>
          </w:p>
        </w:tc>
        <w:tc>
          <w:tcPr>
            <w:tcW w:type="dxa" w:w="3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Authorized copies, each with a purpose and an expiry</w:t>
            </w:r>
          </w:p>
        </w:tc>
        <w:tc>
          <w:tcPr>
            <w:tcW w:type="dxa" w:w="3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Whether a new copy is legitimate or a violation</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Consumers</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Link table, not a list on the page</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Impact analysis for any change</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Key attributes</w:t>
            </w:r>
          </w:p>
        </w:tc>
        <w:tc>
          <w:tcPr>
            <w:tcW w:type="dxa" w:w="3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arguable subset, eight to fifteen</w:t>
            </w:r>
          </w:p>
        </w:tc>
        <w:tc>
          <w:tcPr>
            <w:tcW w:type="dxa" w:w="3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What the canonical integration shape contains</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Jurisdiction-scoped attributes</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Attribute plus the jurisdictions</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Whether a localization request is statutory or preference</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Identifier scheme</w:t>
            </w:r>
          </w:p>
        </w:tc>
        <w:tc>
          <w:tcPr>
            <w:tcW w:type="dxa" w:w="3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Plus how cross-references are held</w:t>
            </w:r>
          </w:p>
        </w:tc>
        <w:tc>
          <w:tcPr>
            <w:tcW w:type="dxa" w:w="3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Every migration and every match rule</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Lifecycle states</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Plus who can move between them</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Who is allowed to activate, block, archive</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Classification and residency</w:t>
            </w:r>
          </w:p>
        </w:tc>
        <w:tc>
          <w:tcPr>
            <w:tcW w:type="dxa" w:w="3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Tier, residency, retention, legal basis</w:t>
            </w:r>
          </w:p>
        </w:tc>
        <w:tc>
          <w:tcPr>
            <w:tcW w:type="dxa" w:w="3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Where the data may physically sit, and for how long</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Quality rules</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Rule plus current measured value</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What appears in the monthly report</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Open exceptions</w:t>
            </w:r>
          </w:p>
        </w:tc>
        <w:tc>
          <w:tcPr>
            <w:tcW w:type="dxa" w:w="3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Reference to the register, with expiry</w:t>
            </w:r>
          </w:p>
        </w:tc>
        <w:tc>
          <w:tcPr>
            <w:tcW w:type="dxa" w:w="3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quarterly review agenda</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Last attested</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Date plus who</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staleness finding</w:t>
            </w:r>
          </w:p>
        </w:tc>
      </w:tr>
    </w:tbl>
    <w:p>
      <w:r>
        <w:br w:type="page"/>
      </w:r>
    </w:p>
    <w:p>
      <w:pPr>
        <w:pStyle w:val="Heading1"/>
        <w:spacing w:after="110" w:before="340"/>
      </w:pPr>
      <w:r>
        <w:rPr>
          <w:rFonts w:ascii="Cambria" w:cs="Cambria" w:eastAsia="Cambria" w:hAnsi="Cambria"/>
          <w:b/>
          <w:bCs/>
          <w:color w:val="1C1917"/>
          <w:sz w:val="32"/>
          <w:szCs w:val="32"/>
        </w:rPr>
        <w:t xml:space="preserve">3. Three worked factsheets</w:t>
      </w:r>
    </w:p>
    <w:p>
      <w:pPr>
        <w:spacing w:after="150"/>
      </w:pPr>
      <w:r>
        <w:rPr>
          <w:rFonts w:ascii="Calibri" w:cs="Calibri" w:eastAsia="Calibri" w:hAnsi="Calibri"/>
          <w:i/>
          <w:iCs/>
          <w:color w:val="14606B"/>
          <w:sz w:val="19"/>
          <w:szCs w:val="19"/>
        </w:rPr>
        <w:t xml:space="preserve">Different shapes on purpose: one operational, one personal-data heavy, one where mastership is genuinely contested.</w:t>
      </w:r>
    </w:p>
    <w:p>
      <w:pPr>
        <w:pStyle w:val="Heading2"/>
        <w:spacing w:after="70" w:before="220"/>
      </w:pPr>
      <w:r>
        <w:rPr>
          <w:rFonts w:ascii="Cambria" w:cs="Cambria" w:eastAsia="Cambria" w:hAnsi="Cambria"/>
          <w:b/>
          <w:bCs/>
          <w:color w:val="1C1917"/>
          <w:sz w:val="26"/>
          <w:szCs w:val="26"/>
        </w:rPr>
        <w:t xml:space="preserve">OBJ-04 Supplier</w:t>
      </w:r>
    </w:p>
    <w:p>
      <w:pPr>
        <w:spacing w:after="110"/>
      </w:pPr>
      <w:r>
        <w:rPr>
          <w:rFonts w:ascii="Calibri" w:cs="Calibri" w:eastAsia="Calibri" w:hAnsi="Calibri"/>
          <w:b/>
          <w:bCs/>
          <w:i w:val="false"/>
          <w:iCs w:val="false"/>
          <w:color w:val="1C1917"/>
          <w:sz w:val="21"/>
          <w:szCs w:val="21"/>
        </w:rPr>
        <w:t xml:space="preserve">Aliases: </w:t>
      </w:r>
      <w:r>
        <w:rPr>
          <w:rFonts w:ascii="Calibri" w:cs="Calibri" w:eastAsia="Calibri" w:hAnsi="Calibri"/>
          <w:b w:val="false"/>
          <w:bCs w:val="false"/>
          <w:i w:val="false"/>
          <w:iCs w:val="false"/>
          <w:color w:val="57534E"/>
          <w:sz w:val="21"/>
          <w:szCs w:val="21"/>
        </w:rPr>
        <w:t xml:space="preserve">Vendor (core, market A), Creditor (finance), Lieferant (market C), Partner (procurement portal)</w:t>
      </w:r>
    </w:p>
    <w:p>
      <w:pPr>
        <w:spacing w:after="110"/>
      </w:pPr>
      <w:r>
        <w:rPr>
          <w:rFonts w:ascii="Calibri" w:cs="Calibri" w:eastAsia="Calibri" w:hAnsi="Calibri"/>
          <w:b/>
          <w:bCs/>
          <w:i w:val="false"/>
          <w:iCs w:val="false"/>
          <w:color w:val="1C1917"/>
          <w:sz w:val="21"/>
          <w:szCs w:val="21"/>
        </w:rPr>
        <w:t xml:space="preserve">Definition: </w:t>
      </w:r>
      <w:r>
        <w:rPr>
          <w:rFonts w:ascii="Calibri" w:cs="Calibri" w:eastAsia="Calibri" w:hAnsi="Calibri"/>
          <w:b w:val="false"/>
          <w:bCs w:val="false"/>
          <w:i w:val="false"/>
          <w:iCs w:val="false"/>
          <w:color w:val="57534E"/>
          <w:sz w:val="21"/>
          <w:szCs w:val="21"/>
        </w:rPr>
        <w:t xml:space="preserve">A legal entity we can raise a purchase order against.</w:t>
      </w:r>
    </w:p>
    <w:p>
      <w:pPr>
        <w:spacing w:after="110"/>
      </w:pPr>
      <w:r>
        <w:rPr>
          <w:rFonts w:ascii="Calibri" w:cs="Calibri" w:eastAsia="Calibri" w:hAnsi="Calibri"/>
          <w:b/>
          <w:bCs/>
          <w:i w:val="false"/>
          <w:iCs w:val="false"/>
          <w:color w:val="1C1917"/>
          <w:sz w:val="21"/>
          <w:szCs w:val="21"/>
        </w:rPr>
        <w:t xml:space="preserve">What this is not: </w:t>
      </w:r>
      <w:r>
        <w:rPr>
          <w:rFonts w:ascii="Calibri" w:cs="Calibri" w:eastAsia="Calibri" w:hAnsi="Calibri"/>
          <w:b w:val="false"/>
          <w:bCs w:val="false"/>
          <w:i w:val="false"/>
          <w:iCs w:val="false"/>
          <w:color w:val="57534E"/>
          <w:sz w:val="21"/>
          <w:szCs w:val="21"/>
        </w:rPr>
        <w:t xml:space="preserve">Not a manufacturer we buy through a distributor. Not a one-off payee. Not a carrier.</w:t>
      </w:r>
    </w:p>
    <w:p>
      <w:pPr>
        <w:spacing w:after="110"/>
      </w:pPr>
      <w:r>
        <w:rPr>
          <w:rFonts w:ascii="Calibri" w:cs="Calibri" w:eastAsia="Calibri" w:hAnsi="Calibri"/>
          <w:b/>
          <w:bCs/>
          <w:i w:val="false"/>
          <w:iCs w:val="false"/>
          <w:color w:val="1C1917"/>
          <w:sz w:val="21"/>
          <w:szCs w:val="21"/>
        </w:rPr>
        <w:t xml:space="preserve">Owner / steward / capability: </w:t>
      </w:r>
      <w:r>
        <w:rPr>
          <w:rFonts w:ascii="Calibri" w:cs="Calibri" w:eastAsia="Calibri" w:hAnsi="Calibri"/>
          <w:b w:val="false"/>
          <w:bCs w:val="false"/>
          <w:i w:val="false"/>
          <w:iCs w:val="false"/>
          <w:color w:val="57534E"/>
          <w:sz w:val="21"/>
          <w:szCs w:val="21"/>
        </w:rPr>
        <w:t xml:space="preserve">Head of procurement operations / named steward at 8 per cent of an existing role / source to contract</w:t>
      </w:r>
    </w:p>
    <w:p>
      <w:pPr>
        <w:spacing w:after="110"/>
      </w:pPr>
      <w:r>
        <w:rPr>
          <w:rFonts w:ascii="Calibri" w:cs="Calibri" w:eastAsia="Calibri" w:hAnsi="Calibri"/>
          <w:b/>
          <w:bCs/>
          <w:i w:val="false"/>
          <w:iCs w:val="false"/>
          <w:color w:val="1C1917"/>
          <w:sz w:val="21"/>
          <w:szCs w:val="21"/>
        </w:rPr>
        <w:t xml:space="preserve">System of record: </w:t>
      </w:r>
      <w:r>
        <w:rPr>
          <w:rFonts w:ascii="Calibri" w:cs="Calibri" w:eastAsia="Calibri" w:hAnsi="Calibri"/>
          <w:b w:val="false"/>
          <w:bCs w:val="false"/>
          <w:i w:val="false"/>
          <w:iCs w:val="false"/>
          <w:color w:val="57534E"/>
          <w:sz w:val="21"/>
          <w:szCs w:val="21"/>
        </w:rPr>
        <w:t xml:space="preserve">Core ERP</w:t>
      </w:r>
    </w:p>
    <w:p>
      <w:pPr>
        <w:spacing w:after="110"/>
      </w:pPr>
      <w:r>
        <w:rPr>
          <w:rFonts w:ascii="Calibri" w:cs="Calibri" w:eastAsia="Calibri" w:hAnsi="Calibri"/>
          <w:b/>
          <w:bCs/>
          <w:i w:val="false"/>
          <w:iCs w:val="false"/>
          <w:color w:val="1C1917"/>
          <w:sz w:val="21"/>
          <w:szCs w:val="21"/>
        </w:rPr>
        <w:t xml:space="preserve">Systems of reference: </w:t>
      </w:r>
      <w:r>
        <w:rPr>
          <w:rFonts w:ascii="Calibri" w:cs="Calibri" w:eastAsia="Calibri" w:hAnsi="Calibri"/>
          <w:b w:val="false"/>
          <w:bCs w:val="false"/>
          <w:i w:val="false"/>
          <w:iCs w:val="false"/>
          <w:color w:val="57534E"/>
          <w:sz w:val="21"/>
          <w:szCs w:val="21"/>
        </w:rPr>
        <w:t xml:space="preserve">Procurement portal (expires 2027-03), market D local register (expires 2026-12)</w:t>
      </w:r>
    </w:p>
    <w:p>
      <w:pPr>
        <w:spacing w:after="110"/>
      </w:pPr>
      <w:r>
        <w:rPr>
          <w:rFonts w:ascii="Calibri" w:cs="Calibri" w:eastAsia="Calibri" w:hAnsi="Calibri"/>
          <w:b/>
          <w:bCs/>
          <w:i w:val="false"/>
          <w:iCs w:val="false"/>
          <w:color w:val="1C1917"/>
          <w:sz w:val="21"/>
          <w:szCs w:val="21"/>
        </w:rPr>
        <w:t xml:space="preserve">Key attributes: </w:t>
      </w:r>
      <w:r>
        <w:rPr>
          <w:rFonts w:ascii="Calibri" w:cs="Calibri" w:eastAsia="Calibri" w:hAnsi="Calibri"/>
          <w:b w:val="false"/>
          <w:bCs w:val="false"/>
          <w:i w:val="false"/>
          <w:iCs w:val="false"/>
          <w:color w:val="57534E"/>
          <w:sz w:val="21"/>
          <w:szCs w:val="21"/>
        </w:rPr>
        <w:t xml:space="preserve">11 group, plus 3 jurisdiction-scoped: tax ID format, statutory address, payment reporting flag</w:t>
      </w:r>
    </w:p>
    <w:p>
      <w:pPr>
        <w:spacing w:after="110"/>
      </w:pPr>
      <w:r>
        <w:rPr>
          <w:rFonts w:ascii="Calibri" w:cs="Calibri" w:eastAsia="Calibri" w:hAnsi="Calibri"/>
          <w:b/>
          <w:bCs/>
          <w:i w:val="false"/>
          <w:iCs w:val="false"/>
          <w:color w:val="1C1917"/>
          <w:sz w:val="21"/>
          <w:szCs w:val="21"/>
        </w:rPr>
        <w:t xml:space="preserve">Lifecycle: </w:t>
      </w:r>
      <w:r>
        <w:rPr>
          <w:rFonts w:ascii="Calibri" w:cs="Calibri" w:eastAsia="Calibri" w:hAnsi="Calibri"/>
          <w:b w:val="false"/>
          <w:bCs w:val="false"/>
          <w:i w:val="false"/>
          <w:iCs w:val="false"/>
          <w:color w:val="57534E"/>
          <w:sz w:val="21"/>
          <w:szCs w:val="21"/>
        </w:rPr>
        <w:t xml:space="preserve">Requested, Verified, Active, Blocked, Archived. Only procurement operations can activate.</w:t>
      </w:r>
    </w:p>
    <w:p>
      <w:pPr>
        <w:spacing w:after="110"/>
      </w:pPr>
      <w:r>
        <w:rPr>
          <w:rFonts w:ascii="Calibri" w:cs="Calibri" w:eastAsia="Calibri" w:hAnsi="Calibri"/>
          <w:b/>
          <w:bCs/>
          <w:i w:val="false"/>
          <w:iCs w:val="false"/>
          <w:color w:val="1C1917"/>
          <w:sz w:val="21"/>
          <w:szCs w:val="21"/>
        </w:rPr>
        <w:t xml:space="preserve">Classification: </w:t>
      </w:r>
      <w:r>
        <w:rPr>
          <w:rFonts w:ascii="Calibri" w:cs="Calibri" w:eastAsia="Calibri" w:hAnsi="Calibri"/>
          <w:b w:val="false"/>
          <w:bCs w:val="false"/>
          <w:i w:val="false"/>
          <w:iCs w:val="false"/>
          <w:color w:val="57534E"/>
          <w:sz w:val="21"/>
          <w:szCs w:val="21"/>
        </w:rPr>
        <w:t xml:space="preserve">Internal. Residency: markets B and E in-country. Retention 10 years after last transaction.</w:t>
      </w:r>
    </w:p>
    <w:p>
      <w:pPr>
        <w:spacing w:after="110"/>
      </w:pPr>
      <w:r>
        <w:rPr>
          <w:rFonts w:ascii="Calibri" w:cs="Calibri" w:eastAsia="Calibri" w:hAnsi="Calibri"/>
          <w:b/>
          <w:bCs/>
          <w:i w:val="false"/>
          <w:iCs w:val="false"/>
          <w:color w:val="1C1917"/>
          <w:sz w:val="21"/>
          <w:szCs w:val="21"/>
        </w:rPr>
        <w:t xml:space="preserve">Quality: </w:t>
      </w:r>
      <w:r>
        <w:rPr>
          <w:rFonts w:ascii="Calibri" w:cs="Calibri" w:eastAsia="Calibri" w:hAnsi="Calibri"/>
          <w:b w:val="false"/>
          <w:bCs w:val="false"/>
          <w:i w:val="false"/>
          <w:iCs w:val="false"/>
          <w:color w:val="57534E"/>
          <w:sz w:val="21"/>
          <w:szCs w:val="21"/>
        </w:rPr>
        <w:t xml:space="preserve">Tax ID present and valid 94 per cent; duplicate rate 2.1 per cent</w:t>
      </w:r>
    </w:p>
    <w:p>
      <w:pPr>
        <w:spacing w:after="110"/>
      </w:pPr>
      <w:r>
        <w:rPr>
          <w:rFonts w:ascii="Calibri" w:cs="Calibri" w:eastAsia="Calibri" w:hAnsi="Calibri"/>
          <w:b w:val="false"/>
          <w:bCs w:val="false"/>
          <w:i/>
          <w:iCs/>
          <w:color w:val="7D766E"/>
          <w:sz w:val="21"/>
          <w:szCs w:val="21"/>
        </w:rPr>
        <w:t xml:space="preserve">Note the two local registers kept as systems of reference rather than absorbed. They were doing real work; absorbing them would have turned a clean core programme into a consolidation programme.</w:t>
      </w:r>
    </w:p>
    <w:p>
      <w:pPr>
        <w:pStyle w:val="Heading2"/>
        <w:spacing w:after="70" w:before="220"/>
      </w:pPr>
      <w:r>
        <w:rPr>
          <w:rFonts w:ascii="Cambria" w:cs="Cambria" w:eastAsia="Cambria" w:hAnsi="Cambria"/>
          <w:b/>
          <w:bCs/>
          <w:color w:val="1C1917"/>
          <w:sz w:val="26"/>
          <w:szCs w:val="26"/>
        </w:rPr>
        <w:t xml:space="preserve">OBJ-01 Customer</w:t>
      </w:r>
    </w:p>
    <w:p>
      <w:pPr>
        <w:spacing w:after="110"/>
      </w:pPr>
      <w:r>
        <w:rPr>
          <w:rFonts w:ascii="Calibri" w:cs="Calibri" w:eastAsia="Calibri" w:hAnsi="Calibri"/>
          <w:b/>
          <w:bCs/>
          <w:i w:val="false"/>
          <w:iCs w:val="false"/>
          <w:color w:val="1C1917"/>
          <w:sz w:val="21"/>
          <w:szCs w:val="21"/>
        </w:rPr>
        <w:t xml:space="preserve">Aliases: </w:t>
      </w:r>
      <w:r>
        <w:rPr>
          <w:rFonts w:ascii="Calibri" w:cs="Calibri" w:eastAsia="Calibri" w:hAnsi="Calibri"/>
          <w:b w:val="false"/>
          <w:bCs w:val="false"/>
          <w:i w:val="false"/>
          <w:iCs w:val="false"/>
          <w:color w:val="57534E"/>
          <w:sz w:val="21"/>
          <w:szCs w:val="21"/>
        </w:rPr>
        <w:t xml:space="preserve">Account (CRM), Debtor (finance), Shopper (commerce), Card holder (loyalty)</w:t>
      </w:r>
    </w:p>
    <w:p>
      <w:pPr>
        <w:spacing w:after="110"/>
      </w:pPr>
      <w:r>
        <w:rPr>
          <w:rFonts w:ascii="Calibri" w:cs="Calibri" w:eastAsia="Calibri" w:hAnsi="Calibri"/>
          <w:b/>
          <w:bCs/>
          <w:i w:val="false"/>
          <w:iCs w:val="false"/>
          <w:color w:val="1C1917"/>
          <w:sz w:val="21"/>
          <w:szCs w:val="21"/>
        </w:rPr>
        <w:t xml:space="preserve">Definition: </w:t>
      </w:r>
      <w:r>
        <w:rPr>
          <w:rFonts w:ascii="Calibri" w:cs="Calibri" w:eastAsia="Calibri" w:hAnsi="Calibri"/>
          <w:b w:val="false"/>
          <w:bCs w:val="false"/>
          <w:i w:val="false"/>
          <w:iCs w:val="false"/>
          <w:color w:val="57534E"/>
          <w:sz w:val="21"/>
          <w:szCs w:val="21"/>
        </w:rPr>
        <w:t xml:space="preserve">A person or organization that has bought from us, or has consented to be contacted with a view to buying.</w:t>
      </w:r>
    </w:p>
    <w:p>
      <w:pPr>
        <w:spacing w:after="110"/>
      </w:pPr>
      <w:r>
        <w:rPr>
          <w:rFonts w:ascii="Calibri" w:cs="Calibri" w:eastAsia="Calibri" w:hAnsi="Calibri"/>
          <w:b/>
          <w:bCs/>
          <w:i w:val="false"/>
          <w:iCs w:val="false"/>
          <w:color w:val="1C1917"/>
          <w:sz w:val="21"/>
          <w:szCs w:val="21"/>
        </w:rPr>
        <w:t xml:space="preserve">What this is not: </w:t>
      </w:r>
      <w:r>
        <w:rPr>
          <w:rFonts w:ascii="Calibri" w:cs="Calibri" w:eastAsia="Calibri" w:hAnsi="Calibri"/>
          <w:b w:val="false"/>
          <w:bCs w:val="false"/>
          <w:i w:val="false"/>
          <w:iCs w:val="false"/>
          <w:color w:val="57534E"/>
          <w:sz w:val="21"/>
          <w:szCs w:val="21"/>
        </w:rPr>
        <w:t xml:space="preserve">Not a prospect with no consent. Not a delivery recipient. Not a loyalty account, which is a separate object with its own lifecycle.</w:t>
      </w:r>
    </w:p>
    <w:p>
      <w:pPr>
        <w:spacing w:after="110"/>
      </w:pPr>
      <w:r>
        <w:rPr>
          <w:rFonts w:ascii="Calibri" w:cs="Calibri" w:eastAsia="Calibri" w:hAnsi="Calibri"/>
          <w:b/>
          <w:bCs/>
          <w:i w:val="false"/>
          <w:iCs w:val="false"/>
          <w:color w:val="1C1917"/>
          <w:sz w:val="21"/>
          <w:szCs w:val="21"/>
        </w:rPr>
        <w:t xml:space="preserve">System of record: </w:t>
      </w:r>
      <w:r>
        <w:rPr>
          <w:rFonts w:ascii="Calibri" w:cs="Calibri" w:eastAsia="Calibri" w:hAnsi="Calibri"/>
          <w:b w:val="false"/>
          <w:bCs w:val="false"/>
          <w:i w:val="false"/>
          <w:iCs w:val="false"/>
          <w:color w:val="57534E"/>
          <w:sz w:val="21"/>
          <w:szCs w:val="21"/>
        </w:rPr>
        <w:t xml:space="preserve">CRM for the identity and consent; commerce platform masters nothing and consumes everything</w:t>
      </w:r>
    </w:p>
    <w:p>
      <w:pPr>
        <w:spacing w:after="110"/>
      </w:pPr>
      <w:r>
        <w:rPr>
          <w:rFonts w:ascii="Calibri" w:cs="Calibri" w:eastAsia="Calibri" w:hAnsi="Calibri"/>
          <w:b/>
          <w:bCs/>
          <w:i w:val="false"/>
          <w:iCs w:val="false"/>
          <w:color w:val="1C1917"/>
          <w:sz w:val="21"/>
          <w:szCs w:val="21"/>
        </w:rPr>
        <w:t xml:space="preserve">Classification: </w:t>
      </w:r>
      <w:r>
        <w:rPr>
          <w:rFonts w:ascii="Calibri" w:cs="Calibri" w:eastAsia="Calibri" w:hAnsi="Calibri"/>
          <w:b w:val="false"/>
          <w:bCs w:val="false"/>
          <w:i w:val="false"/>
          <w:iCs w:val="false"/>
          <w:color w:val="57534E"/>
          <w:sz w:val="21"/>
          <w:szCs w:val="21"/>
        </w:rPr>
        <w:t xml:space="preserve">Personal data. Residency: three markets in-country. Legal basis and retention vary by jurisdiction and are recorded per market.</w:t>
      </w:r>
    </w:p>
    <w:p>
      <w:pPr>
        <w:spacing w:after="110"/>
      </w:pPr>
      <w:r>
        <w:rPr>
          <w:rFonts w:ascii="Calibri" w:cs="Calibri" w:eastAsia="Calibri" w:hAnsi="Calibri"/>
          <w:b w:val="false"/>
          <w:bCs w:val="false"/>
          <w:i/>
          <w:iCs/>
          <w:color w:val="7D766E"/>
          <w:sz w:val="21"/>
          <w:szCs w:val="21"/>
        </w:rPr>
        <w:t xml:space="preserve">The residency and legal-basis rows are why the object-to-IT-component join exists. Without it, the honest answer to "where does this market's customer data sit" is a six-week investigation.</w:t>
      </w:r>
    </w:p>
    <w:p>
      <w:pPr>
        <w:pStyle w:val="Heading2"/>
        <w:spacing w:after="70" w:before="220"/>
      </w:pPr>
      <w:r>
        <w:rPr>
          <w:rFonts w:ascii="Cambria" w:cs="Cambria" w:eastAsia="Cambria" w:hAnsi="Cambria"/>
          <w:b/>
          <w:bCs/>
          <w:color w:val="1C1917"/>
          <w:sz w:val="26"/>
          <w:szCs w:val="26"/>
        </w:rPr>
        <w:t xml:space="preserve">OBJ-07 Price</w:t>
      </w:r>
    </w:p>
    <w:p>
      <w:pPr>
        <w:spacing w:after="110"/>
      </w:pPr>
      <w:r>
        <w:rPr>
          <w:rFonts w:ascii="Calibri" w:cs="Calibri" w:eastAsia="Calibri" w:hAnsi="Calibri"/>
          <w:b/>
          <w:bCs/>
          <w:i w:val="false"/>
          <w:iCs w:val="false"/>
          <w:color w:val="1C1917"/>
          <w:sz w:val="21"/>
          <w:szCs w:val="21"/>
        </w:rPr>
        <w:t xml:space="preserve">Definition: </w:t>
      </w:r>
      <w:r>
        <w:rPr>
          <w:rFonts w:ascii="Calibri" w:cs="Calibri" w:eastAsia="Calibri" w:hAnsi="Calibri"/>
          <w:b w:val="false"/>
          <w:bCs w:val="false"/>
          <w:i w:val="false"/>
          <w:iCs w:val="false"/>
          <w:color w:val="57534E"/>
          <w:sz w:val="21"/>
          <w:szCs w:val="21"/>
        </w:rPr>
        <w:t xml:space="preserve">The amount we ask for a material in a market on a date, before customer-specific conditions.</w:t>
      </w:r>
    </w:p>
    <w:p>
      <w:pPr>
        <w:spacing w:after="110"/>
      </w:pPr>
      <w:r>
        <w:rPr>
          <w:rFonts w:ascii="Calibri" w:cs="Calibri" w:eastAsia="Calibri" w:hAnsi="Calibri"/>
          <w:b/>
          <w:bCs/>
          <w:i w:val="false"/>
          <w:iCs w:val="false"/>
          <w:color w:val="1C1917"/>
          <w:sz w:val="21"/>
          <w:szCs w:val="21"/>
        </w:rPr>
        <w:t xml:space="preserve">What this is not: </w:t>
      </w:r>
      <w:r>
        <w:rPr>
          <w:rFonts w:ascii="Calibri" w:cs="Calibri" w:eastAsia="Calibri" w:hAnsi="Calibri"/>
          <w:b w:val="false"/>
          <w:bCs w:val="false"/>
          <w:i w:val="false"/>
          <w:iCs w:val="false"/>
          <w:color w:val="57534E"/>
          <w:sz w:val="21"/>
          <w:szCs w:val="21"/>
        </w:rPr>
        <w:t xml:space="preserve">Not a cost. Not a promotion, which is its own object. Not the invoiced amount.</w:t>
      </w:r>
    </w:p>
    <w:p>
      <w:pPr>
        <w:spacing w:after="110"/>
      </w:pPr>
      <w:r>
        <w:rPr>
          <w:rFonts w:ascii="Calibri" w:cs="Calibri" w:eastAsia="Calibri" w:hAnsi="Calibri"/>
          <w:b/>
          <w:bCs/>
          <w:i w:val="false"/>
          <w:iCs w:val="false"/>
          <w:color w:val="1C1917"/>
          <w:sz w:val="21"/>
          <w:szCs w:val="21"/>
        </w:rPr>
        <w:t xml:space="preserve">System of record: </w:t>
      </w:r>
      <w:r>
        <w:rPr>
          <w:rFonts w:ascii="Calibri" w:cs="Calibri" w:eastAsia="Calibri" w:hAnsi="Calibri"/>
          <w:b w:val="false"/>
          <w:bCs w:val="false"/>
          <w:i w:val="false"/>
          <w:iCs w:val="false"/>
          <w:color w:val="57534E"/>
          <w:sz w:val="21"/>
          <w:szCs w:val="21"/>
        </w:rPr>
        <w:t xml:space="preserve">Core ERP today; moving to the side-by-side pricing service in Q4, board decision ADR-092</w:t>
      </w:r>
    </w:p>
    <w:p>
      <w:pPr>
        <w:spacing w:after="110"/>
      </w:pPr>
      <w:r>
        <w:rPr>
          <w:rFonts w:ascii="Calibri" w:cs="Calibri" w:eastAsia="Calibri" w:hAnsi="Calibri"/>
          <w:b/>
          <w:bCs/>
          <w:i w:val="false"/>
          <w:iCs w:val="false"/>
          <w:color w:val="1C1917"/>
          <w:sz w:val="21"/>
          <w:szCs w:val="21"/>
        </w:rPr>
        <w:t xml:space="preserve">Mastership move: </w:t>
      </w:r>
      <w:r>
        <w:rPr>
          <w:rFonts w:ascii="Calibri" w:cs="Calibri" w:eastAsia="Calibri" w:hAnsi="Calibri"/>
          <w:b w:val="false"/>
          <w:bCs w:val="false"/>
          <w:i w:val="false"/>
          <w:iCs w:val="false"/>
          <w:color w:val="57534E"/>
          <w:sz w:val="21"/>
          <w:szCs w:val="21"/>
        </w:rPr>
        <w:t xml:space="preserve">Dual-write window opens at cutover, expires 8 weeks later, registered as EXC-11</w:t>
      </w:r>
    </w:p>
    <w:p>
      <w:pPr>
        <w:spacing w:after="110"/>
      </w:pPr>
      <w:r>
        <w:rPr>
          <w:rFonts w:ascii="Calibri" w:cs="Calibri" w:eastAsia="Calibri" w:hAnsi="Calibri"/>
          <w:b w:val="false"/>
          <w:bCs w:val="false"/>
          <w:i/>
          <w:iCs/>
          <w:color w:val="7D766E"/>
          <w:sz w:val="21"/>
          <w:szCs w:val="21"/>
        </w:rPr>
        <w:t xml:space="preserve">This is the contested one, and it is the shape most mastership moves take: a decision with a date, a dual-write window with an expiry, and the old master listed as a system of reference until the window closes. A window with no written end date is how three weeks becomes two years.</w:t>
      </w:r>
    </w:p>
    <w:p>
      <w:r>
        <w:br w:type="page"/>
      </w:r>
    </w:p>
    <w:p>
      <w:pPr>
        <w:pStyle w:val="Heading1"/>
        <w:spacing w:after="110" w:before="340"/>
      </w:pPr>
      <w:r>
        <w:rPr>
          <w:rFonts w:ascii="Cambria" w:cs="Cambria" w:eastAsia="Cambria" w:hAnsi="Cambria"/>
          <w:b/>
          <w:bCs/>
          <w:color w:val="1C1917"/>
          <w:sz w:val="32"/>
          <w:szCs w:val="32"/>
        </w:rPr>
        <w:t xml:space="preserve">4. Writing definitions that hold</w:t>
      </w:r>
    </w:p>
    <w:p>
      <w:pPr>
        <w:spacing w:after="150"/>
      </w:pPr>
      <w:r>
        <w:rPr>
          <w:rFonts w:ascii="Calibri" w:cs="Calibri" w:eastAsia="Calibri" w:hAnsi="Calibri"/>
          <w:i/>
          <w:iCs/>
          <w:color w:val="14606B"/>
          <w:sz w:val="19"/>
          <w:szCs w:val="19"/>
        </w:rPr>
        <w:t xml:space="preserve">The steward drafts, the architect writes the boundary. They catch different things.</w:t>
      </w:r>
    </w:p>
    <w:p>
      <w:pPr>
        <w:spacing w:after="55" w:before="170"/>
      </w:pPr>
      <w:r>
        <w:rPr>
          <w:rFonts w:ascii="Calibri" w:cs="Calibri" w:eastAsia="Calibri" w:hAnsi="Calibri"/>
          <w:b/>
          <w:bCs/>
          <w:color w:val="14606B"/>
          <w:sz w:val="22"/>
          <w:szCs w:val="22"/>
        </w:rPr>
        <w:t xml:space="preserve">The method, in four steps</w:t>
      </w:r>
    </w:p>
    <w:p>
      <w:pPr>
        <w:pStyle w:val="ListParagraph"/>
        <w:numPr>
          <w:ilvl w:val="0"/>
          <w:numId w:val="2"/>
        </w:numPr>
        <w:spacing w:after="55"/>
      </w:pPr>
      <w:r>
        <w:rPr>
          <w:rFonts w:ascii="Calibri" w:cs="Calibri" w:eastAsia="Calibri" w:hAnsi="Calibri"/>
          <w:color w:val="57534E"/>
          <w:sz w:val="21"/>
          <w:szCs w:val="21"/>
        </w:rPr>
        <w:t xml:space="preserve">Look at the data first. Pull two hundred rows from the system that thinks it masters the object and read them. This is humbling, fast, and prevents a definition that describes how people wish the object worked.</w:t>
      </w:r>
    </w:p>
    <w:p>
      <w:pPr>
        <w:pStyle w:val="ListParagraph"/>
        <w:numPr>
          <w:ilvl w:val="0"/>
          <w:numId w:val="2"/>
        </w:numPr>
        <w:spacing w:after="55"/>
      </w:pPr>
      <w:r>
        <w:rPr>
          <w:rFonts w:ascii="Calibri" w:cs="Calibri" w:eastAsia="Calibri" w:hAnsi="Calibri"/>
          <w:color w:val="57534E"/>
          <w:sz w:val="21"/>
          <w:szCs w:val="21"/>
        </w:rPr>
        <w:t xml:space="preserve">Write one sentence in the form: a &lt;object&gt; is a &lt;thing&gt; that &lt;the distinguishing property&gt;. No sub-clauses, no "and/or".</w:t>
      </w:r>
    </w:p>
    <w:p>
      <w:pPr>
        <w:pStyle w:val="ListParagraph"/>
        <w:numPr>
          <w:ilvl w:val="0"/>
          <w:numId w:val="2"/>
        </w:numPr>
        <w:spacing w:after="55"/>
      </w:pPr>
      <w:r>
        <w:rPr>
          <w:rFonts w:ascii="Calibri" w:cs="Calibri" w:eastAsia="Calibri" w:hAnsi="Calibri"/>
          <w:color w:val="57534E"/>
          <w:sz w:val="21"/>
          <w:szCs w:val="21"/>
        </w:rPr>
        <w:t xml:space="preserve">Write two or three exclusions, each naming a real thing somebody has argued belongs. This is the boundary, and it is the half that does the work.</w:t>
      </w:r>
    </w:p>
    <w:p>
      <w:pPr>
        <w:pStyle w:val="ListParagraph"/>
        <w:numPr>
          <w:ilvl w:val="0"/>
          <w:numId w:val="2"/>
        </w:numPr>
        <w:spacing w:after="55"/>
      </w:pPr>
      <w:r>
        <w:rPr>
          <w:rFonts w:ascii="Calibri" w:cs="Calibri" w:eastAsia="Calibri" w:hAnsi="Calibri"/>
          <w:color w:val="57534E"/>
          <w:sz w:val="21"/>
          <w:szCs w:val="21"/>
        </w:rPr>
        <w:t xml:space="preserve">Cite the systems that implement it, so that drift is visible. A definition with no system reference decays silently.</w:t>
      </w:r>
    </w:p>
    <w:p>
      <w:pPr>
        <w:spacing w:after="55" w:before="170"/>
      </w:pPr>
      <w:r>
        <w:rPr>
          <w:rFonts w:ascii="Calibri" w:cs="Calibri" w:eastAsia="Calibri" w:hAnsi="Calibri"/>
          <w:b/>
          <w:bCs/>
          <w:color w:val="14606B"/>
          <w:sz w:val="22"/>
          <w:szCs w:val="22"/>
        </w:rPr>
        <w:t xml:space="preserve">Tells that a definition is not ready</w:t>
      </w:r>
    </w:p>
    <w:p>
      <w:pPr>
        <w:pStyle w:val="ListParagraph"/>
        <w:numPr>
          <w:ilvl w:val="0"/>
          <w:numId w:val="2"/>
        </w:numPr>
        <w:spacing w:after="55"/>
      </w:pPr>
      <w:r>
        <w:rPr>
          <w:rFonts w:ascii="Calibri" w:cs="Calibri" w:eastAsia="Calibri" w:hAnsi="Calibri"/>
          <w:color w:val="57534E"/>
          <w:sz w:val="21"/>
          <w:szCs w:val="21"/>
        </w:rPr>
        <w:t xml:space="preserve">It contains "typically", "generally", or "usually". Those words are unresolved arguments in disguise.</w:t>
      </w:r>
    </w:p>
    <w:p>
      <w:pPr>
        <w:pStyle w:val="ListParagraph"/>
        <w:numPr>
          <w:ilvl w:val="0"/>
          <w:numId w:val="2"/>
        </w:numPr>
        <w:spacing w:after="55"/>
      </w:pPr>
      <w:r>
        <w:rPr>
          <w:rFonts w:ascii="Calibri" w:cs="Calibri" w:eastAsia="Calibri" w:hAnsi="Calibri"/>
          <w:color w:val="57534E"/>
          <w:sz w:val="21"/>
          <w:szCs w:val="21"/>
        </w:rPr>
        <w:t xml:space="preserve">It is longer than two lines. Length is where two definitions hide inside one.</w:t>
      </w:r>
    </w:p>
    <w:p>
      <w:pPr>
        <w:pStyle w:val="ListParagraph"/>
        <w:numPr>
          <w:ilvl w:val="0"/>
          <w:numId w:val="2"/>
        </w:numPr>
        <w:spacing w:after="55"/>
      </w:pPr>
      <w:r>
        <w:rPr>
          <w:rFonts w:ascii="Calibri" w:cs="Calibri" w:eastAsia="Calibri" w:hAnsi="Calibri"/>
          <w:color w:val="57534E"/>
          <w:sz w:val="21"/>
          <w:szCs w:val="21"/>
        </w:rPr>
        <w:t xml:space="preserve">Nobody can name a thing it excludes. Then it excludes nothing and settles nothing.</w:t>
      </w:r>
    </w:p>
    <w:p>
      <w:pPr>
        <w:pStyle w:val="ListParagraph"/>
        <w:numPr>
          <w:ilvl w:val="0"/>
          <w:numId w:val="2"/>
        </w:numPr>
        <w:spacing w:after="55"/>
      </w:pPr>
      <w:r>
        <w:rPr>
          <w:rFonts w:ascii="Calibri" w:cs="Calibri" w:eastAsia="Calibri" w:hAnsi="Calibri"/>
          <w:color w:val="57534E"/>
          <w:sz w:val="21"/>
          <w:szCs w:val="21"/>
        </w:rPr>
        <w:t xml:space="preserve">The steward and an architect describe it differently in the same meeting. That is not a wording problem, it is two objects.</w:t>
      </w:r>
    </w:p>
    <w:p>
      <w:pPr>
        <w:spacing w:after="55" w:before="170"/>
      </w:pPr>
      <w:r>
        <w:rPr>
          <w:rFonts w:ascii="Calibri" w:cs="Calibri" w:eastAsia="Calibri" w:hAnsi="Calibri"/>
          <w:b/>
          <w:bCs/>
          <w:color w:val="14606B"/>
          <w:sz w:val="22"/>
          <w:szCs w:val="22"/>
        </w:rPr>
        <w:t xml:space="preserve">When two markets genuinely disagree</w:t>
      </w:r>
    </w:p>
    <w:p>
      <w:pPr>
        <w:spacing w:after="110"/>
      </w:pPr>
      <w:r>
        <w:rPr>
          <w:rFonts w:ascii="Calibri" w:cs="Calibri" w:eastAsia="Calibri" w:hAnsi="Calibri"/>
          <w:b w:val="false"/>
          <w:bCs w:val="false"/>
          <w:i w:val="false"/>
          <w:iCs w:val="false"/>
          <w:color w:val="57534E"/>
          <w:sz w:val="21"/>
          <w:szCs w:val="21"/>
        </w:rPr>
        <w:t xml:space="preserve">Then it is either two objects, or one object with a jurisdiction-scoped variation. Both are fine and both are cheap. What is not fine is one name covering two meanings, which is how two reports end up disagreeing and how three months get spent finding out why.</w:t>
      </w:r>
    </w:p>
    <w:p>
      <w:r>
        <w:br w:type="page"/>
      </w:r>
    </w:p>
    <w:p>
      <w:pPr>
        <w:pStyle w:val="Heading1"/>
        <w:spacing w:after="110" w:before="340"/>
      </w:pPr>
      <w:r>
        <w:rPr>
          <w:rFonts w:ascii="Cambria" w:cs="Cambria" w:eastAsia="Cambria" w:hAnsi="Cambria"/>
          <w:b/>
          <w:bCs/>
          <w:color w:val="1C1917"/>
          <w:sz w:val="32"/>
          <w:szCs w:val="32"/>
        </w:rPr>
        <w:t xml:space="preserve">5. Data decision paper</w:t>
      </w:r>
    </w:p>
    <w:p>
      <w:pPr>
        <w:spacing w:after="150"/>
      </w:pPr>
      <w:r>
        <w:rPr>
          <w:rFonts w:ascii="Calibri" w:cs="Calibri" w:eastAsia="Calibri" w:hAnsi="Calibri"/>
          <w:i/>
          <w:iCs/>
          <w:color w:val="14606B"/>
          <w:sz w:val="19"/>
          <w:szCs w:val="19"/>
        </w:rPr>
        <w:t xml:space="preserve">One page, submitted two days before the board. Used for new objects, mastership changes, and cross-domain definition changes.</w:t>
      </w:r>
    </w:p>
    <w:p>
      <w:pPr>
        <w:spacing w:after="110"/>
      </w:pPr>
      <w:r>
        <w:rPr>
          <w:rFonts w:ascii="Calibri" w:cs="Calibri" w:eastAsia="Calibri" w:hAnsi="Calibri"/>
          <w:b/>
          <w:bCs/>
          <w:i w:val="false"/>
          <w:iCs w:val="false"/>
          <w:color w:val="1C1917"/>
          <w:sz w:val="21"/>
          <w:szCs w:val="21"/>
        </w:rPr>
        <w:t xml:space="preserve">Reference: </w:t>
      </w:r>
      <w:r>
        <w:rPr>
          <w:rFonts w:ascii="Calibri" w:cs="Calibri" w:eastAsia="Calibri" w:hAnsi="Calibri"/>
          <w:b w:val="false"/>
          <w:bCs w:val="false"/>
          <w:i w:val="false"/>
          <w:iCs w:val="false"/>
          <w:color w:val="B98A2E"/>
          <w:sz w:val="21"/>
          <w:szCs w:val="21"/>
        </w:rPr>
        <w:t xml:space="preserve">[ DEC-000 ]</w:t>
      </w:r>
    </w:p>
    <w:p>
      <w:pPr>
        <w:spacing w:after="110"/>
      </w:pPr>
      <w:r>
        <w:rPr>
          <w:rFonts w:ascii="Calibri" w:cs="Calibri" w:eastAsia="Calibri" w:hAnsi="Calibri"/>
          <w:b/>
          <w:bCs/>
          <w:i w:val="false"/>
          <w:iCs w:val="false"/>
          <w:color w:val="1C1917"/>
          <w:sz w:val="21"/>
          <w:szCs w:val="21"/>
        </w:rPr>
        <w:t xml:space="preserve">Object: </w:t>
      </w:r>
      <w:r>
        <w:rPr>
          <w:rFonts w:ascii="Calibri" w:cs="Calibri" w:eastAsia="Calibri" w:hAnsi="Calibri"/>
          <w:b w:val="false"/>
          <w:bCs w:val="false"/>
          <w:i w:val="false"/>
          <w:iCs w:val="false"/>
          <w:color w:val="B98A2E"/>
          <w:sz w:val="21"/>
          <w:szCs w:val="21"/>
        </w:rPr>
        <w:t xml:space="preserve">[ OBJ-00 name ]</w:t>
      </w:r>
    </w:p>
    <w:p>
      <w:pPr>
        <w:spacing w:after="110"/>
      </w:pPr>
      <w:r>
        <w:rPr>
          <w:rFonts w:ascii="Calibri" w:cs="Calibri" w:eastAsia="Calibri" w:hAnsi="Calibri"/>
          <w:b/>
          <w:bCs/>
          <w:i w:val="false"/>
          <w:iCs w:val="false"/>
          <w:color w:val="1C1917"/>
          <w:sz w:val="21"/>
          <w:szCs w:val="21"/>
        </w:rPr>
        <w:t xml:space="preserve">Type: </w:t>
      </w:r>
      <w:r>
        <w:rPr>
          <w:rFonts w:ascii="Calibri" w:cs="Calibri" w:eastAsia="Calibri" w:hAnsi="Calibri"/>
          <w:b w:val="false"/>
          <w:bCs w:val="false"/>
          <w:i w:val="false"/>
          <w:iCs w:val="false"/>
          <w:color w:val="B98A2E"/>
          <w:sz w:val="21"/>
          <w:szCs w:val="21"/>
        </w:rPr>
        <w:t xml:space="preserve">[ new object / mastership change / definition change / exception ]</w:t>
      </w:r>
    </w:p>
    <w:p>
      <w:pPr>
        <w:spacing w:after="110"/>
      </w:pPr>
      <w:r>
        <w:rPr>
          <w:rFonts w:ascii="Calibri" w:cs="Calibri" w:eastAsia="Calibri" w:hAnsi="Calibri"/>
          <w:b/>
          <w:bCs/>
          <w:i w:val="false"/>
          <w:iCs w:val="false"/>
          <w:color w:val="1C1917"/>
          <w:sz w:val="21"/>
          <w:szCs w:val="21"/>
        </w:rPr>
        <w:t xml:space="preserve">Author and date: </w:t>
      </w:r>
      <w:r>
        <w:rPr>
          <w:rFonts w:ascii="Calibri" w:cs="Calibri" w:eastAsia="Calibri" w:hAnsi="Calibri"/>
          <w:b w:val="false"/>
          <w:bCs w:val="false"/>
          <w:i w:val="false"/>
          <w:iCs w:val="false"/>
          <w:color w:val="B98A2E"/>
          <w:sz w:val="21"/>
          <w:szCs w:val="21"/>
        </w:rPr>
        <w:t xml:space="preserve">[  ]</w:t>
      </w:r>
    </w:p>
    <w:p>
      <w:pPr>
        <w:pStyle w:val="Heading2"/>
        <w:spacing w:after="70" w:before="220"/>
      </w:pPr>
      <w:r>
        <w:rPr>
          <w:rFonts w:ascii="Cambria" w:cs="Cambria" w:eastAsia="Cambria" w:hAnsi="Cambria"/>
          <w:b/>
          <w:bCs/>
          <w:color w:val="1C1917"/>
          <w:sz w:val="26"/>
          <w:szCs w:val="26"/>
        </w:rPr>
        <w:t xml:space="preserve">The ask, in one sentence</w:t>
      </w:r>
    </w:p>
    <w:p>
      <w:pPr>
        <w:spacing w:after="110"/>
      </w:pPr>
      <w:r>
        <w:rPr>
          <w:rFonts w:ascii="Calibri" w:cs="Calibri" w:eastAsia="Calibri" w:hAnsi="Calibri"/>
          <w:b w:val="false"/>
          <w:bCs w:val="false"/>
          <w:i/>
          <w:iCs/>
          <w:color w:val="7D766E"/>
          <w:sz w:val="21"/>
          <w:szCs w:val="21"/>
        </w:rPr>
        <w:t xml:space="preserve">A specific decidable thing, not "endorse the direction".</w:t>
      </w:r>
    </w:p>
    <w:p>
      <w:pPr>
        <w:spacing w:after="110"/>
      </w:pPr>
      <w:r>
        <w:rPr>
          <w:rFonts w:ascii="Calibri" w:cs="Calibri" w:eastAsia="Calibri" w:hAnsi="Calibri"/>
          <w:b/>
          <w:bCs/>
          <w:i w:val="false"/>
          <w:iCs w:val="false"/>
          <w:color w:val="1C1917"/>
          <w:sz w:val="21"/>
          <w:szCs w:val="21"/>
        </w:rPr>
        <w:t xml:space="preserve">Ask: </w:t>
      </w:r>
      <w:r>
        <w:rPr>
          <w:rFonts w:ascii="Calibri" w:cs="Calibri" w:eastAsia="Calibri" w:hAnsi="Calibri"/>
          <w:b w:val="false"/>
          <w:bCs w:val="false"/>
          <w:i w:val="false"/>
          <w:iCs w:val="false"/>
          <w:color w:val="B98A2E"/>
          <w:sz w:val="21"/>
          <w:szCs w:val="21"/>
        </w:rPr>
        <w:t xml:space="preserve">[  ]</w:t>
      </w:r>
    </w:p>
    <w:p>
      <w:pPr>
        <w:pStyle w:val="Heading2"/>
        <w:spacing w:after="70" w:before="220"/>
      </w:pPr>
      <w:r>
        <w:rPr>
          <w:rFonts w:ascii="Cambria" w:cs="Cambria" w:eastAsia="Cambria" w:hAnsi="Cambria"/>
          <w:b/>
          <w:bCs/>
          <w:color w:val="1C1917"/>
          <w:sz w:val="26"/>
          <w:szCs w:val="26"/>
        </w:rPr>
        <w:t xml:space="preserve">Current state</w:t>
      </w:r>
    </w:p>
    <w:p>
      <w:pPr>
        <w:spacing w:after="110"/>
      </w:pPr>
      <w:r>
        <w:rPr>
          <w:rFonts w:ascii="Calibri" w:cs="Calibri" w:eastAsia="Calibri" w:hAnsi="Calibri"/>
          <w:b/>
          <w:bCs/>
          <w:i w:val="false"/>
          <w:iCs w:val="false"/>
          <w:color w:val="1C1917"/>
          <w:sz w:val="21"/>
          <w:szCs w:val="21"/>
        </w:rPr>
        <w:t xml:space="preserve">Who masters it today: </w:t>
      </w:r>
      <w:r>
        <w:rPr>
          <w:rFonts w:ascii="Calibri" w:cs="Calibri" w:eastAsia="Calibri" w:hAnsi="Calibri"/>
          <w:b w:val="false"/>
          <w:bCs w:val="false"/>
          <w:i w:val="false"/>
          <w:iCs w:val="false"/>
          <w:color w:val="B98A2E"/>
          <w:sz w:val="21"/>
          <w:szCs w:val="21"/>
        </w:rPr>
        <w:t xml:space="preserve">[  ]</w:t>
      </w:r>
    </w:p>
    <w:p>
      <w:pPr>
        <w:spacing w:after="110"/>
      </w:pPr>
      <w:r>
        <w:rPr>
          <w:rFonts w:ascii="Calibri" w:cs="Calibri" w:eastAsia="Calibri" w:hAnsi="Calibri"/>
          <w:b/>
          <w:bCs/>
          <w:i w:val="false"/>
          <w:iCs w:val="false"/>
          <w:color w:val="1C1917"/>
          <w:sz w:val="21"/>
          <w:szCs w:val="21"/>
        </w:rPr>
        <w:t xml:space="preserve">Who else writes to it today: </w:t>
      </w:r>
      <w:r>
        <w:rPr>
          <w:rFonts w:ascii="Calibri" w:cs="Calibri" w:eastAsia="Calibri" w:hAnsi="Calibri"/>
          <w:b w:val="false"/>
          <w:bCs w:val="false"/>
          <w:i w:val="false"/>
          <w:iCs w:val="false"/>
          <w:color w:val="B98A2E"/>
          <w:sz w:val="21"/>
          <w:szCs w:val="21"/>
        </w:rPr>
        <w:t xml:space="preserve">[ the honest answer, including the ones that should not ]</w:t>
      </w:r>
    </w:p>
    <w:p>
      <w:pPr>
        <w:spacing w:after="110"/>
      </w:pPr>
      <w:r>
        <w:rPr>
          <w:rFonts w:ascii="Calibri" w:cs="Calibri" w:eastAsia="Calibri" w:hAnsi="Calibri"/>
          <w:b/>
          <w:bCs/>
          <w:i w:val="false"/>
          <w:iCs w:val="false"/>
          <w:color w:val="1C1917"/>
          <w:sz w:val="21"/>
          <w:szCs w:val="21"/>
        </w:rPr>
        <w:t xml:space="preserve">What is going wrong because of that: </w:t>
      </w:r>
      <w:r>
        <w:rPr>
          <w:rFonts w:ascii="Calibri" w:cs="Calibri" w:eastAsia="Calibri" w:hAnsi="Calibri"/>
          <w:b w:val="false"/>
          <w:bCs w:val="false"/>
          <w:i w:val="false"/>
          <w:iCs w:val="false"/>
          <w:color w:val="B98A2E"/>
          <w:sz w:val="21"/>
          <w:szCs w:val="21"/>
        </w:rPr>
        <w:t xml:space="preserve">[  ]</w:t>
      </w:r>
    </w:p>
    <w:p>
      <w:pPr>
        <w:pStyle w:val="Heading2"/>
        <w:spacing w:after="70" w:before="220"/>
      </w:pPr>
      <w:r>
        <w:rPr>
          <w:rFonts w:ascii="Cambria" w:cs="Cambria" w:eastAsia="Cambria" w:hAnsi="Cambria"/>
          <w:b/>
          <w:bCs/>
          <w:color w:val="1C1917"/>
          <w:sz w:val="26"/>
          <w:szCs w:val="26"/>
        </w:rPr>
        <w:t xml:space="preserve">Proposal</w:t>
      </w:r>
    </w:p>
    <w:p>
      <w:pPr>
        <w:spacing w:after="110"/>
      </w:pPr>
      <w:r>
        <w:rPr>
          <w:rFonts w:ascii="Calibri" w:cs="Calibri" w:eastAsia="Calibri" w:hAnsi="Calibri"/>
          <w:b/>
          <w:bCs/>
          <w:i w:val="false"/>
          <w:iCs w:val="false"/>
          <w:color w:val="1C1917"/>
          <w:sz w:val="21"/>
          <w:szCs w:val="21"/>
        </w:rPr>
        <w:t xml:space="preserve">New master: </w:t>
      </w:r>
      <w:r>
        <w:rPr>
          <w:rFonts w:ascii="Calibri" w:cs="Calibri" w:eastAsia="Calibri" w:hAnsi="Calibri"/>
          <w:b w:val="false"/>
          <w:bCs w:val="false"/>
          <w:i w:val="false"/>
          <w:iCs w:val="false"/>
          <w:color w:val="B98A2E"/>
          <w:sz w:val="21"/>
          <w:szCs w:val="21"/>
        </w:rPr>
        <w:t xml:space="preserve">[  ]</w:t>
      </w:r>
    </w:p>
    <w:p>
      <w:pPr>
        <w:spacing w:after="110"/>
      </w:pPr>
      <w:r>
        <w:rPr>
          <w:rFonts w:ascii="Calibri" w:cs="Calibri" w:eastAsia="Calibri" w:hAnsi="Calibri"/>
          <w:b/>
          <w:bCs/>
          <w:i w:val="false"/>
          <w:iCs w:val="false"/>
          <w:color w:val="1C1917"/>
          <w:sz w:val="21"/>
          <w:szCs w:val="21"/>
        </w:rPr>
        <w:t xml:space="preserve">Systems of reference, with expiry: </w:t>
      </w:r>
      <w:r>
        <w:rPr>
          <w:rFonts w:ascii="Calibri" w:cs="Calibri" w:eastAsia="Calibri" w:hAnsi="Calibri"/>
          <w:b w:val="false"/>
          <w:bCs w:val="false"/>
          <w:i w:val="false"/>
          <w:iCs w:val="false"/>
          <w:color w:val="B98A2E"/>
          <w:sz w:val="21"/>
          <w:szCs w:val="21"/>
        </w:rPr>
        <w:t xml:space="preserve">[  ]</w:t>
      </w:r>
    </w:p>
    <w:p>
      <w:pPr>
        <w:spacing w:after="110"/>
      </w:pPr>
      <w:r>
        <w:rPr>
          <w:rFonts w:ascii="Calibri" w:cs="Calibri" w:eastAsia="Calibri" w:hAnsi="Calibri"/>
          <w:b/>
          <w:bCs/>
          <w:i w:val="false"/>
          <w:iCs w:val="false"/>
          <w:color w:val="1C1917"/>
          <w:sz w:val="21"/>
          <w:szCs w:val="21"/>
        </w:rPr>
        <w:t xml:space="preserve">What moves, and when: </w:t>
      </w:r>
      <w:r>
        <w:rPr>
          <w:rFonts w:ascii="Calibri" w:cs="Calibri" w:eastAsia="Calibri" w:hAnsi="Calibri"/>
          <w:b w:val="false"/>
          <w:bCs w:val="false"/>
          <w:i w:val="false"/>
          <w:iCs w:val="false"/>
          <w:color w:val="B98A2E"/>
          <w:sz w:val="21"/>
          <w:szCs w:val="21"/>
        </w:rPr>
        <w:t xml:space="preserve">[  ]</w:t>
      </w:r>
    </w:p>
    <w:p>
      <w:pPr>
        <w:spacing w:after="110"/>
      </w:pPr>
      <w:r>
        <w:rPr>
          <w:rFonts w:ascii="Calibri" w:cs="Calibri" w:eastAsia="Calibri" w:hAnsi="Calibri"/>
          <w:b/>
          <w:bCs/>
          <w:i w:val="false"/>
          <w:iCs w:val="false"/>
          <w:color w:val="1C1917"/>
          <w:sz w:val="21"/>
          <w:szCs w:val="21"/>
        </w:rPr>
        <w:t xml:space="preserve">Dual-write window and its expiry: </w:t>
      </w:r>
      <w:r>
        <w:rPr>
          <w:rFonts w:ascii="Calibri" w:cs="Calibri" w:eastAsia="Calibri" w:hAnsi="Calibri"/>
          <w:b w:val="false"/>
          <w:bCs w:val="false"/>
          <w:i w:val="false"/>
          <w:iCs w:val="false"/>
          <w:color w:val="B98A2E"/>
          <w:sz w:val="21"/>
          <w:szCs w:val="21"/>
        </w:rPr>
        <w:t xml:space="preserve">[  ]</w:t>
      </w:r>
    </w:p>
    <w:p>
      <w:pPr>
        <w:pStyle w:val="Heading2"/>
        <w:spacing w:after="70" w:before="220"/>
      </w:pPr>
      <w:r>
        <w:rPr>
          <w:rFonts w:ascii="Cambria" w:cs="Cambria" w:eastAsia="Cambria" w:hAnsi="Cambria"/>
          <w:b/>
          <w:bCs/>
          <w:color w:val="1C1917"/>
          <w:sz w:val="26"/>
          <w:szCs w:val="26"/>
        </w:rPr>
        <w:t xml:space="preserve">Impact, generated from the model</w:t>
      </w:r>
    </w:p>
    <w:p>
      <w:pPr>
        <w:spacing w:after="110"/>
      </w:pPr>
      <w:r>
        <w:rPr>
          <w:rFonts w:ascii="Calibri" w:cs="Calibri" w:eastAsia="Calibri" w:hAnsi="Calibri"/>
          <w:b w:val="false"/>
          <w:bCs w:val="false"/>
          <w:i/>
          <w:iCs/>
          <w:color w:val="7D766E"/>
          <w:sz w:val="21"/>
          <w:szCs w:val="21"/>
        </w:rPr>
        <w:t xml:space="preserve">Do not write this section by hand. It comes out of the join tables, and if it cannot be generated, the model is not ready for the decision.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5000"/>
      </w:tblGrid>
      <w:tr>
        <w:tc>
          <w:tcPr>
            <w:tcW w:type="dxa" w:w="3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Affected</w:t>
            </w:r>
          </w:p>
        </w:tc>
        <w:tc>
          <w:tcPr>
            <w:tcW w:type="dxa" w:w="1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Count</w:t>
            </w:r>
          </w:p>
        </w:tc>
        <w:tc>
          <w:tcPr>
            <w:tcW w:type="dxa" w:w="5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Named in</w:t>
            </w:r>
          </w:p>
        </w:tc>
      </w:tr>
      <w:tr>
        <w:tc>
          <w:tcPr>
            <w:tcW w:type="dxa" w:w="3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Applications</w:t>
            </w:r>
          </w:p>
        </w:tc>
        <w:tc>
          <w:tcPr>
            <w:tcW w:type="dxa" w:w="1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n ]</w:t>
            </w:r>
          </w:p>
        </w:tc>
        <w:tc>
          <w:tcPr>
            <w:tcW w:type="dxa" w:w="5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appendix, from the object-application join</w:t>
            </w:r>
          </w:p>
        </w:tc>
      </w:tr>
      <w:tr>
        <w:tc>
          <w:tcPr>
            <w:tcW w:type="dxa" w:w="3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Interfaces</w:t>
            </w:r>
          </w:p>
        </w:tc>
        <w:tc>
          <w:tcPr>
            <w:tcW w:type="dxa" w:w="1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n ]</w:t>
            </w:r>
          </w:p>
        </w:tc>
        <w:tc>
          <w:tcPr>
            <w:tcW w:type="dxa" w:w="5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appendix, from the object-interface join</w:t>
            </w:r>
          </w:p>
        </w:tc>
      </w:tr>
      <w:tr>
        <w:tc>
          <w:tcPr>
            <w:tcW w:type="dxa" w:w="3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IT components</w:t>
            </w:r>
          </w:p>
        </w:tc>
        <w:tc>
          <w:tcPr>
            <w:tcW w:type="dxa" w:w="1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n ]</w:t>
            </w:r>
          </w:p>
        </w:tc>
        <w:tc>
          <w:tcPr>
            <w:tcW w:type="dxa" w:w="5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appendix, including regions</w:t>
            </w:r>
          </w:p>
        </w:tc>
      </w:tr>
      <w:tr>
        <w:tc>
          <w:tcPr>
            <w:tcW w:type="dxa" w:w="3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Markets</w:t>
            </w:r>
          </w:p>
        </w:tc>
        <w:tc>
          <w:tcPr>
            <w:tcW w:type="dxa" w:w="1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n ]</w:t>
            </w:r>
          </w:p>
        </w:tc>
        <w:tc>
          <w:tcPr>
            <w:tcW w:type="dxa" w:w="5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appendix</w:t>
            </w:r>
          </w:p>
        </w:tc>
      </w:tr>
    </w:tbl>
    <w:p>
      <w:pPr>
        <w:pStyle w:val="Heading2"/>
        <w:spacing w:after="70" w:before="220"/>
      </w:pPr>
      <w:r>
        <w:rPr>
          <w:rFonts w:ascii="Cambria" w:cs="Cambria" w:eastAsia="Cambria" w:hAnsi="Cambria"/>
          <w:b/>
          <w:bCs/>
          <w:color w:val="1C1917"/>
          <w:sz w:val="26"/>
          <w:szCs w:val="26"/>
        </w:rPr>
        <w:t xml:space="preserve">Cost, and who carries it</w:t>
      </w:r>
    </w:p>
    <w:p>
      <w:pPr>
        <w:spacing w:after="110"/>
      </w:pPr>
      <w:r>
        <w:rPr>
          <w:rFonts w:ascii="Calibri" w:cs="Calibri" w:eastAsia="Calibri" w:hAnsi="Calibri"/>
          <w:b/>
          <w:bCs/>
          <w:i w:val="false"/>
          <w:iCs w:val="false"/>
          <w:color w:val="1C1917"/>
          <w:sz w:val="21"/>
          <w:szCs w:val="21"/>
        </w:rPr>
        <w:t xml:space="preserve">Build effort: </w:t>
      </w:r>
      <w:r>
        <w:rPr>
          <w:rFonts w:ascii="Calibri" w:cs="Calibri" w:eastAsia="Calibri" w:hAnsi="Calibri"/>
          <w:b w:val="false"/>
          <w:bCs w:val="false"/>
          <w:i w:val="false"/>
          <w:iCs w:val="false"/>
          <w:color w:val="B98A2E"/>
          <w:sz w:val="21"/>
          <w:szCs w:val="21"/>
        </w:rPr>
        <w:t xml:space="preserve">[  ]</w:t>
      </w:r>
    </w:p>
    <w:p>
      <w:pPr>
        <w:spacing w:after="110"/>
      </w:pPr>
      <w:r>
        <w:rPr>
          <w:rFonts w:ascii="Calibri" w:cs="Calibri" w:eastAsia="Calibri" w:hAnsi="Calibri"/>
          <w:b/>
          <w:bCs/>
          <w:i w:val="false"/>
          <w:iCs w:val="false"/>
          <w:color w:val="1C1917"/>
          <w:sz w:val="21"/>
          <w:szCs w:val="21"/>
        </w:rPr>
        <w:t xml:space="preserve">Who pays: </w:t>
      </w:r>
      <w:r>
        <w:rPr>
          <w:rFonts w:ascii="Calibri" w:cs="Calibri" w:eastAsia="Calibri" w:hAnsi="Calibri"/>
          <w:b w:val="false"/>
          <w:bCs w:val="false"/>
          <w:i w:val="false"/>
          <w:iCs w:val="false"/>
          <w:color w:val="B98A2E"/>
          <w:sz w:val="21"/>
          <w:szCs w:val="21"/>
        </w:rPr>
        <w:t xml:space="preserve">[ the team losing mastership rarely pays, and saying so early prevents an ambush ]</w:t>
      </w:r>
    </w:p>
    <w:p>
      <w:pPr>
        <w:pStyle w:val="Heading2"/>
        <w:spacing w:after="70" w:before="220"/>
      </w:pPr>
      <w:r>
        <w:rPr>
          <w:rFonts w:ascii="Cambria" w:cs="Cambria" w:eastAsia="Cambria" w:hAnsi="Cambria"/>
          <w:b/>
          <w:bCs/>
          <w:color w:val="1C1917"/>
          <w:sz w:val="26"/>
          <w:szCs w:val="26"/>
        </w:rPr>
        <w:t xml:space="preserve">What we are not deciding today</w:t>
      </w:r>
    </w:p>
    <w:p>
      <w:pPr>
        <w:spacing w:after="110"/>
      </w:pPr>
      <w:r>
        <w:rPr>
          <w:rFonts w:ascii="Calibri" w:cs="Calibri" w:eastAsia="Calibri" w:hAnsi="Calibri"/>
          <w:b w:val="false"/>
          <w:bCs w:val="false"/>
          <w:i/>
          <w:iCs/>
          <w:color w:val="7D766E"/>
          <w:sz w:val="21"/>
          <w:szCs w:val="21"/>
        </w:rPr>
        <w:t xml:space="preserve">One line. It keeps a board from expanding a decision by accident, which is the most common way a forty-minute item becomes ninety.</w:t>
      </w:r>
    </w:p>
    <w:p>
      <w:r>
        <w:br w:type="page"/>
      </w:r>
    </w:p>
    <w:p>
      <w:pPr>
        <w:pStyle w:val="Heading1"/>
        <w:spacing w:after="110" w:before="340"/>
      </w:pPr>
      <w:r>
        <w:rPr>
          <w:rFonts w:ascii="Cambria" w:cs="Cambria" w:eastAsia="Cambria" w:hAnsi="Cambria"/>
          <w:b/>
          <w:bCs/>
          <w:color w:val="1C1917"/>
          <w:sz w:val="32"/>
          <w:szCs w:val="32"/>
        </w:rPr>
        <w:t xml:space="preserve">6. Terms of reference for the three forums</w:t>
      </w:r>
    </w:p>
    <w:p>
      <w:pPr>
        <w:spacing w:after="150"/>
      </w:pPr>
      <w:r>
        <w:rPr>
          <w:rFonts w:ascii="Calibri" w:cs="Calibri" w:eastAsia="Calibri" w:hAnsi="Calibri"/>
          <w:i/>
          <w:iCs/>
          <w:color w:val="14606B"/>
          <w:sz w:val="19"/>
          <w:szCs w:val="19"/>
        </w:rPr>
        <w:t xml:space="preserve">Two of them already exist. Only the owners' circle is new, and architecture should not chair 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600"/>
        <w:gridCol w:w="2700"/>
      </w:tblGrid>
      <w:tr>
        <w:tc>
          <w:tcPr>
            <w:tcW w:type="dxa" w:w="1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
            </w:r>
          </w:p>
        </w:tc>
        <w:tc>
          <w:tcPr>
            <w:tcW w:type="dxa" w:w="27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Design forum</w:t>
            </w:r>
          </w:p>
        </w:tc>
        <w:tc>
          <w:tcPr>
            <w:tcW w:type="dxa" w:w="2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Architecture board</w:t>
            </w:r>
          </w:p>
        </w:tc>
        <w:tc>
          <w:tcPr>
            <w:tcW w:type="dxa" w:w="27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Data owners' circle</w:t>
            </w:r>
          </w:p>
        </w:tc>
      </w:tr>
      <w:tr>
        <w:tc>
          <w:tcPr>
            <w:tcW w:type="dxa" w:w="1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Cadence</w:t>
            </w:r>
          </w:p>
        </w:tc>
        <w:tc>
          <w:tcPr>
            <w:tcW w:type="dxa" w:w="27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Weekly, 60 to 90 minutes</w:t>
            </w:r>
          </w:p>
        </w:tc>
        <w:tc>
          <w:tcPr>
            <w:tcW w:type="dxa" w:w="2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Monthly</w:t>
            </w:r>
          </w:p>
        </w:tc>
        <w:tc>
          <w:tcPr>
            <w:tcW w:type="dxa" w:w="27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Quarterly, 40 minutes</w:t>
            </w:r>
          </w:p>
        </w:tc>
      </w:tr>
      <w:tr>
        <w:tc>
          <w:tcPr>
            <w:tcW w:type="dxa" w:w="1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Chair</w:t>
            </w:r>
          </w:p>
        </w:tc>
        <w:tc>
          <w:tcPr>
            <w:tcW w:type="dxa" w:w="27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Architect</w:t>
            </w:r>
          </w:p>
        </w:tc>
        <w:tc>
          <w:tcPr>
            <w:tcW w:type="dxa" w:w="2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Existing chair</w:t>
            </w:r>
          </w:p>
        </w:tc>
        <w:tc>
          <w:tcPr>
            <w:tcW w:type="dxa" w:w="27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business. Architecture attends to answer questions</w:t>
            </w:r>
          </w:p>
        </w:tc>
      </w:tr>
      <w:tr>
        <w:tc>
          <w:tcPr>
            <w:tcW w:type="dxa" w:w="1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Decides</w:t>
            </w:r>
          </w:p>
        </w:tc>
        <w:tc>
          <w:tcPr>
            <w:tcW w:type="dxa" w:w="27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Attribute additions inside an agreed object, contract shapes, identifier schemes, quality thresholds</w:t>
            </w:r>
          </w:p>
        </w:tc>
        <w:tc>
          <w:tcPr>
            <w:tcW w:type="dxa" w:w="2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New objects, mastership changes, cross-domain definition changes, exceptions with expiry</w:t>
            </w:r>
          </w:p>
        </w:tc>
        <w:tc>
          <w:tcPr>
            <w:tcW w:type="dxa" w:w="27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Definitions and boundaries, quality thresholds, classification and retention, attestation results</w:t>
            </w:r>
          </w:p>
        </w:tc>
      </w:tr>
      <w:tr>
        <w:tc>
          <w:tcPr>
            <w:tcW w:type="dxa" w:w="1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Input</w:t>
            </w:r>
          </w:p>
        </w:tc>
        <w:tc>
          <w:tcPr>
            <w:tcW w:type="dxa" w:w="27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design sketch and the affected factsheet</w:t>
            </w:r>
          </w:p>
        </w:tc>
        <w:tc>
          <w:tcPr>
            <w:tcW w:type="dxa" w:w="2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data decision paper, two days ahead</w:t>
            </w:r>
          </w:p>
        </w:tc>
        <w:tc>
          <w:tcPr>
            <w:tcW w:type="dxa" w:w="27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attestation summary and any definition changes</w:t>
            </w:r>
          </w:p>
        </w:tc>
      </w:tr>
      <w:tr>
        <w:tc>
          <w:tcPr>
            <w:tcW w:type="dxa" w:w="1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Output</w:t>
            </w:r>
          </w:p>
        </w:tc>
        <w:tc>
          <w:tcPr>
            <w:tcW w:type="dxa" w:w="27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line in the decision log and an updated factsheet</w:t>
            </w:r>
          </w:p>
        </w:tc>
        <w:tc>
          <w:tcPr>
            <w:tcW w:type="dxa" w:w="2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numbered decision, and a mandate that becomes somebody's key result</w:t>
            </w:r>
          </w:p>
        </w:tc>
        <w:tc>
          <w:tcPr>
            <w:tcW w:type="dxa" w:w="27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Approved definitions, and findings routed to named owners</w:t>
            </w:r>
          </w:p>
        </w:tc>
      </w:tr>
      <w:tr>
        <w:tc>
          <w:tcPr>
            <w:tcW w:type="dxa" w:w="1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Why it exists</w:t>
            </w:r>
          </w:p>
        </w:tc>
        <w:tc>
          <w:tcPr>
            <w:tcW w:type="dxa" w:w="27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Most data decisions should die here</w:t>
            </w:r>
          </w:p>
        </w:tc>
        <w:tc>
          <w:tcPr>
            <w:tcW w:type="dxa" w:w="2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Because mastership moves cost between teams</w:t>
            </w:r>
          </w:p>
        </w:tc>
        <w:tc>
          <w:tcPr>
            <w:tcW w:type="dxa" w:w="27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Because if architecture chairs definitions, the business stops correcting them</w:t>
            </w:r>
          </w:p>
        </w:tc>
      </w:tr>
    </w:tbl>
    <w:p>
      <w:pPr>
        <w:pStyle w:val="Heading2"/>
        <w:spacing w:after="70" w:before="220"/>
      </w:pPr>
      <w:r>
        <w:rPr>
          <w:rFonts w:ascii="Cambria" w:cs="Cambria" w:eastAsia="Cambria" w:hAnsi="Cambria"/>
          <w:b/>
          <w:bCs/>
          <w:color w:val="1C1917"/>
          <w:sz w:val="26"/>
          <w:szCs w:val="26"/>
        </w:rPr>
        <w:t xml:space="preserve">The two escalation triggers, published in advance</w:t>
      </w:r>
    </w:p>
    <w:p>
      <w:pPr>
        <w:pStyle w:val="ListParagraph"/>
        <w:numPr>
          <w:ilvl w:val="0"/>
          <w:numId w:val="2"/>
        </w:numPr>
        <w:spacing w:after="55"/>
      </w:pPr>
      <w:r>
        <w:rPr>
          <w:rFonts w:ascii="Calibri" w:cs="Calibri" w:eastAsia="Calibri" w:hAnsi="Calibri"/>
          <w:color w:val="57534E"/>
          <w:sz w:val="21"/>
          <w:szCs w:val="21"/>
        </w:rPr>
        <w:t xml:space="preserve">A mastership change always goes to the board. Not because it is technically difficult, but because it moves cost and accountability from one team to another, and decisions that move cost need a room where both teams are present and the outcome is written down.</w:t>
      </w:r>
    </w:p>
    <w:p>
      <w:pPr>
        <w:pStyle w:val="ListParagraph"/>
        <w:numPr>
          <w:ilvl w:val="0"/>
          <w:numId w:val="2"/>
        </w:numPr>
        <w:spacing w:after="55"/>
      </w:pPr>
      <w:r>
        <w:rPr>
          <w:rFonts w:ascii="Calibri" w:cs="Calibri" w:eastAsia="Calibri" w:hAnsi="Calibri"/>
          <w:color w:val="57534E"/>
          <w:sz w:val="21"/>
          <w:szCs w:val="21"/>
        </w:rPr>
        <w:t xml:space="preserve">A definition change that crosses a domain goes to the board. Within a domain, the steward decides. Across domains somebody has to arbitrate, and it should not be whoever shouted last.</w:t>
      </w:r>
    </w:p>
    <w:p>
      <w:pPr>
        <w:pStyle w:val="Heading2"/>
        <w:spacing w:after="70" w:before="220"/>
      </w:pPr>
      <w:r>
        <w:rPr>
          <w:rFonts w:ascii="Cambria" w:cs="Cambria" w:eastAsia="Cambria" w:hAnsi="Cambria"/>
          <w:b/>
          <w:bCs/>
          <w:color w:val="1C1917"/>
          <w:sz w:val="26"/>
          <w:szCs w:val="26"/>
        </w:rPr>
        <w:t xml:space="preserve">Who can say no</w:t>
      </w:r>
    </w:p>
    <w:p>
      <w:pPr>
        <w:spacing w:after="110"/>
      </w:pPr>
      <w:r>
        <w:rPr>
          <w:rFonts w:ascii="Calibri" w:cs="Calibri" w:eastAsia="Calibri" w:hAnsi="Calibri"/>
          <w:b w:val="false"/>
          <w:bCs w:val="false"/>
          <w:i w:val="false"/>
          <w:iCs w:val="false"/>
          <w:color w:val="57534E"/>
          <w:sz w:val="21"/>
          <w:szCs w:val="21"/>
        </w:rPr>
        <w:t xml:space="preserve">Instead of a responsibility matrix, four sentences people actually remember:</w:t>
      </w:r>
    </w:p>
    <w:p>
      <w:pPr>
        <w:pStyle w:val="ListParagraph"/>
        <w:numPr>
          <w:ilvl w:val="0"/>
          <w:numId w:val="2"/>
        </w:numPr>
        <w:spacing w:after="55"/>
      </w:pPr>
      <w:r>
        <w:rPr>
          <w:rFonts w:ascii="Calibri" w:cs="Calibri" w:eastAsia="Calibri" w:hAnsi="Calibri"/>
          <w:color w:val="57534E"/>
          <w:sz w:val="21"/>
          <w:szCs w:val="21"/>
        </w:rPr>
        <w:t xml:space="preserve">The steward can refuse a definition change.</w:t>
      </w:r>
    </w:p>
    <w:p>
      <w:pPr>
        <w:pStyle w:val="ListParagraph"/>
        <w:numPr>
          <w:ilvl w:val="0"/>
          <w:numId w:val="2"/>
        </w:numPr>
        <w:spacing w:after="55"/>
      </w:pPr>
      <w:r>
        <w:rPr>
          <w:rFonts w:ascii="Calibri" w:cs="Calibri" w:eastAsia="Calibri" w:hAnsi="Calibri"/>
          <w:color w:val="57534E"/>
          <w:sz w:val="21"/>
          <w:szCs w:val="21"/>
        </w:rPr>
        <w:t xml:space="preserve">The object owner can refuse a new consumer.</w:t>
      </w:r>
    </w:p>
    <w:p>
      <w:pPr>
        <w:pStyle w:val="ListParagraph"/>
        <w:numPr>
          <w:ilvl w:val="0"/>
          <w:numId w:val="2"/>
        </w:numPr>
        <w:spacing w:after="55"/>
      </w:pPr>
      <w:r>
        <w:rPr>
          <w:rFonts w:ascii="Calibri" w:cs="Calibri" w:eastAsia="Calibri" w:hAnsi="Calibri"/>
          <w:color w:val="57534E"/>
          <w:sz w:val="21"/>
          <w:szCs w:val="21"/>
        </w:rPr>
        <w:t xml:space="preserve">The owning capability can refuse a lifecycle change.</w:t>
      </w:r>
    </w:p>
    <w:p>
      <w:pPr>
        <w:pStyle w:val="ListParagraph"/>
        <w:numPr>
          <w:ilvl w:val="0"/>
          <w:numId w:val="2"/>
        </w:numPr>
        <w:spacing w:after="55"/>
      </w:pPr>
      <w:r>
        <w:rPr>
          <w:rFonts w:ascii="Calibri" w:cs="Calibri" w:eastAsia="Calibri" w:hAnsi="Calibri"/>
          <w:color w:val="57534E"/>
          <w:sz w:val="21"/>
          <w:szCs w:val="21"/>
        </w:rPr>
        <w:t xml:space="preserve">Only the board can move mastership.</w:t>
      </w:r>
    </w:p>
    <w:p>
      <w:r>
        <w:br w:type="page"/>
      </w:r>
    </w:p>
    <w:p>
      <w:pPr>
        <w:pStyle w:val="Heading1"/>
        <w:spacing w:after="110" w:before="340"/>
      </w:pPr>
      <w:r>
        <w:rPr>
          <w:rFonts w:ascii="Cambria" w:cs="Cambria" w:eastAsia="Cambria" w:hAnsi="Cambria"/>
          <w:b/>
          <w:bCs/>
          <w:color w:val="1C1917"/>
          <w:sz w:val="32"/>
          <w:szCs w:val="32"/>
        </w:rPr>
        <w:t xml:space="preserve">7. The first ninety days</w:t>
      </w:r>
    </w:p>
    <w:p>
      <w:pPr>
        <w:spacing w:after="150"/>
      </w:pPr>
      <w:r>
        <w:rPr>
          <w:rFonts w:ascii="Calibri" w:cs="Calibri" w:eastAsia="Calibri" w:hAnsi="Calibri"/>
          <w:i/>
          <w:iCs/>
          <w:color w:val="14606B"/>
          <w:sz w:val="19"/>
          <w:szCs w:val="19"/>
        </w:rPr>
        <w:t xml:space="preserve">Every line has a name and a date against it, or it is a wish.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400"/>
      </w:tblGrid>
      <w:tr>
        <w:tc>
          <w:tcPr>
            <w:tcW w:type="dxa" w:w="1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Weeks</w:t>
            </w:r>
          </w:p>
        </w:tc>
        <w:tc>
          <w:tcPr>
            <w:tcW w:type="dxa" w:w="52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Do</w:t>
            </w:r>
          </w:p>
        </w:tc>
        <w:tc>
          <w:tcPr>
            <w:tcW w:type="dxa" w:w="34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Do not</w:t>
            </w:r>
          </w:p>
        </w:tc>
      </w:tr>
      <w:tr>
        <w:tc>
          <w:tcPr>
            <w:tcW w:type="dxa" w:w="1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1-2</w:t>
            </w:r>
          </w:p>
        </w:tc>
        <w:tc>
          <w:tcPr>
            <w:tcW w:type="dxa" w:w="5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List candidate objects from the interfaces you already have. Anything two systems exchange is a domain object whether or not anyone named it</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Do not run a workshop yet</w:t>
            </w:r>
          </w:p>
        </w:tc>
      </w:tr>
      <w:tr>
        <w:tc>
          <w:tcPr>
            <w:tcW w:type="dxa" w:w="1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3-4</w:t>
            </w:r>
          </w:p>
        </w:tc>
        <w:tc>
          <w:tcPr>
            <w:tcW w:type="dxa" w:w="5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Name a master for the top ten. Publish the list. Take the arguments in public</w:t>
            </w:r>
          </w:p>
        </w:tc>
        <w:tc>
          <w:tcPr>
            <w:tcW w:type="dxa" w:w="3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Do not make mastership decisions privately - they read as arbitrary and get relitigated forever</w:t>
            </w:r>
          </w:p>
        </w:tc>
      </w:tr>
      <w:tr>
        <w:tc>
          <w:tcPr>
            <w:tcW w:type="dxa" w:w="1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5-8</w:t>
            </w:r>
          </w:p>
        </w:tc>
        <w:tc>
          <w:tcPr>
            <w:tcW w:type="dxa" w:w="5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Write ten factsheets, including aliases and what the object is not. One page each</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Do not exceed fifteen objects, and do not write a definition before somebody has looked at real values</w:t>
            </w:r>
          </w:p>
        </w:tc>
      </w:tr>
      <w:tr>
        <w:tc>
          <w:tcPr>
            <w:tcW w:type="dxa" w:w="1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9-10</w:t>
            </w:r>
          </w:p>
        </w:tc>
        <w:tc>
          <w:tcPr>
            <w:tcW w:type="dxa" w:w="5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Add the gate question. Tell project managers why, once, in plain language</w:t>
            </w:r>
          </w:p>
        </w:tc>
        <w:tc>
          <w:tcPr>
            <w:tcW w:type="dxa" w:w="3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Do not create a data review board</w:t>
            </w:r>
          </w:p>
        </w:tc>
      </w:tr>
      <w:tr>
        <w:tc>
          <w:tcPr>
            <w:tcW w:type="dxa" w:w="1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11-12</w:t>
            </w:r>
          </w:p>
        </w:tc>
        <w:tc>
          <w:tcPr>
            <w:tcW w:type="dxa" w:w="5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First attestation. Add three lines to the monthly report that already goes out</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Do not build a new report</w:t>
            </w:r>
          </w:p>
        </w:tc>
      </w:tr>
    </w:tbl>
    <w:p>
      <w:pPr>
        <w:pStyle w:val="Heading2"/>
        <w:spacing w:after="70" w:before="220"/>
      </w:pPr>
      <w:r>
        <w:rPr>
          <w:rFonts w:ascii="Cambria" w:cs="Cambria" w:eastAsia="Cambria" w:hAnsi="Cambria"/>
          <w:b/>
          <w:bCs/>
          <w:color w:val="1C1917"/>
          <w:sz w:val="26"/>
          <w:szCs w:val="26"/>
        </w:rPr>
        <w:t xml:space="preserve">The three report lines</w:t>
      </w:r>
    </w:p>
    <w:p>
      <w:pPr>
        <w:pStyle w:val="ListParagraph"/>
        <w:numPr>
          <w:ilvl w:val="0"/>
          <w:numId w:val="2"/>
        </w:numPr>
        <w:spacing w:after="55"/>
      </w:pPr>
      <w:r>
        <w:rPr>
          <w:rFonts w:ascii="Calibri" w:cs="Calibri" w:eastAsia="Calibri" w:hAnsi="Calibri"/>
          <w:color w:val="57534E"/>
          <w:sz w:val="21"/>
          <w:szCs w:val="21"/>
        </w:rPr>
        <w:t xml:space="preserve">Domain objects: n</w:t>
      </w:r>
    </w:p>
    <w:p>
      <w:pPr>
        <w:pStyle w:val="ListParagraph"/>
        <w:numPr>
          <w:ilvl w:val="0"/>
          <w:numId w:val="2"/>
        </w:numPr>
        <w:spacing w:after="55"/>
      </w:pPr>
      <w:r>
        <w:rPr>
          <w:rFonts w:ascii="Calibri" w:cs="Calibri" w:eastAsia="Calibri" w:hAnsi="Calibri"/>
          <w:color w:val="57534E"/>
          <w:sz w:val="21"/>
          <w:szCs w:val="21"/>
        </w:rPr>
        <w:t xml:space="preserve">Objects with a confirmed single master: n of n</w:t>
      </w:r>
    </w:p>
    <w:p>
      <w:pPr>
        <w:pStyle w:val="ListParagraph"/>
        <w:numPr>
          <w:ilvl w:val="0"/>
          <w:numId w:val="2"/>
        </w:numPr>
        <w:spacing w:after="55"/>
      </w:pPr>
      <w:r>
        <w:rPr>
          <w:rFonts w:ascii="Calibri" w:cs="Calibri" w:eastAsia="Calibri" w:hAnsi="Calibri"/>
          <w:color w:val="57534E"/>
          <w:sz w:val="21"/>
          <w:szCs w:val="21"/>
        </w:rPr>
        <w:t xml:space="preserve">Objects attested this quarter: n of n, oldest attestation d days</w:t>
      </w:r>
    </w:p>
    <w:p>
      <w:pPr>
        <w:spacing w:after="110"/>
      </w:pPr>
      <w:r>
        <w:rPr>
          <w:rFonts w:ascii="Calibri" w:cs="Calibri" w:eastAsia="Calibri" w:hAnsi="Calibri"/>
          <w:b w:val="false"/>
          <w:bCs w:val="false"/>
          <w:i/>
          <w:iCs/>
          <w:color w:val="57534E"/>
          <w:sz w:val="21"/>
          <w:szCs w:val="21"/>
        </w:rPr>
        <w:t xml:space="preserve">Small numbers, published, moving in the right direction. The third line is the leading indicator for the whole model - an object that has not been attested in fourteen months has an owner who has stopped reading.</w:t>
      </w:r>
    </w:p>
    <w:p>
      <w:pPr>
        <w:pStyle w:val="Heading2"/>
        <w:spacing w:after="70" w:before="220"/>
      </w:pPr>
      <w:r>
        <w:rPr>
          <w:rFonts w:ascii="Cambria" w:cs="Cambria" w:eastAsia="Cambria" w:hAnsi="Cambria"/>
          <w:b/>
          <w:bCs/>
          <w:color w:val="1C1917"/>
          <w:sz w:val="26"/>
          <w:szCs w:val="26"/>
        </w:rPr>
        <w:t xml:space="preserve">What this costs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00"/>
      </w:tblGrid>
      <w:tr>
        <w:tc>
          <w:tcPr>
            <w:tcW w:type="dxa" w:w="2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Cost</w:t>
            </w:r>
          </w:p>
        </w:tc>
        <w:tc>
          <w:tcPr>
            <w:tcW w:type="dxa" w:w="32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Size</w:t>
            </w:r>
          </w:p>
        </w:tc>
        <w:tc>
          <w:tcPr>
            <w:tcW w:type="dxa" w:w="38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Note</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Object owner time</w:t>
            </w:r>
          </w:p>
        </w:tc>
        <w:tc>
          <w:tcPr>
            <w:tcW w:type="dxa" w:w="3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20 minutes per object, quarterly</w:t>
            </w:r>
          </w:p>
        </w:tc>
        <w:tc>
          <w:tcPr>
            <w:tcW w:type="dxa" w:w="3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Less once the habit forms</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Steward</w:t>
            </w:r>
          </w:p>
        </w:tc>
        <w:tc>
          <w:tcPr>
            <w:tcW w:type="dxa" w:w="3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5 to 10 per cent of an existing job</w:t>
            </w:r>
          </w:p>
        </w:tc>
        <w:tc>
          <w:tcPr>
            <w:tcW w:type="dxa" w:w="3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Not a new role. Drawn from people who already know the data</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Project process</w:t>
            </w:r>
          </w:p>
        </w:tc>
        <w:tc>
          <w:tcPr>
            <w:tcW w:type="dxa" w:w="3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One question on a form already being filled in</w:t>
            </w:r>
          </w:p>
        </w:tc>
        <w:tc>
          <w:tcPr>
            <w:tcW w:type="dxa" w:w="3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That is the entire project-side cost</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The mastership argument</w:t>
            </w:r>
          </w:p>
        </w:tc>
        <w:tc>
          <w:tcPr>
            <w:tcW w:type="dxa" w:w="3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Once per object</w:t>
            </w:r>
          </w:p>
        </w:tc>
        <w:tc>
          <w:tcPr>
            <w:tcW w:type="dxa" w:w="3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Unpleasant, finite, and the whole point</w:t>
            </w:r>
          </w:p>
        </w:tc>
      </w:tr>
    </w:tbl>
    <w:p>
      <w:pPr>
        <w:spacing w:after="110"/>
      </w:pPr>
      <w:r>
        <w:rPr>
          <w:rFonts w:ascii="Calibri" w:cs="Calibri" w:eastAsia="Calibri" w:hAnsi="Calibri"/>
          <w:b w:val="false"/>
          <w:bCs w:val="false"/>
          <w:i/>
          <w:iCs/>
          <w:color w:val="57534E"/>
          <w:sz w:val="21"/>
          <w:szCs w:val="21"/>
        </w:rPr>
        <w:t xml:space="preserve">What it does not cost: a catalog product, a data office, a mesh, a lake, or a transformation programme. Buying one before making the five decisions produces an expensive, well-documented mess.</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7534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2026-08-11T12:56:40.503Z</dcterms:created>
  <dcterms:modified xsi:type="dcterms:W3CDTF">2026-08-11T12:56:40.504Z</dcterms:modified>
</cp:coreProperties>
</file>

<file path=docProps/custom.xml><?xml version="1.0" encoding="utf-8"?>
<Properties xmlns="http://schemas.openxmlformats.org/officeDocument/2006/custom-properties" xmlns:vt="http://schemas.openxmlformats.org/officeDocument/2006/docPropsVTypes"/>
</file>