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</w:pPr>
      <w:r>
        <w:rPr>
          <w:rFonts w:ascii="Calibri" w:cs="Calibri" w:eastAsia="Calibri" w:hAnsi="Calibri"/>
          <w:b/>
          <w:bCs/>
          <w:color w:val="14606B"/>
          <w:spacing w:val="40"/>
          <w:sz w:val="20"/>
          <w:szCs w:val="20"/>
        </w:rPr>
        <w:t xml:space="preserve">PORTFOLIO QUALITY REPORTING</w:t>
      </w:r>
    </w:p>
    <w:p>
      <w:pPr>
        <w:spacing w:after="150"/>
      </w:pPr>
      <w:r>
        <w:rPr>
          <w:rFonts w:ascii="Cambria" w:cs="Cambria" w:eastAsia="Cambria" w:hAnsi="Cambria"/>
          <w:b/>
          <w:bCs/>
          <w:color w:val="1C1917"/>
          <w:sz w:val="46"/>
          <w:szCs w:val="46"/>
        </w:rPr>
        <w:t xml:space="preserve">Check definitions, report template, and the notes that go with it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7534E"/>
          <w:sz w:val="21"/>
          <w:szCs w:val="21"/>
        </w:rPr>
        <w:t xml:space="preserve">Everything the monthly report needs besides the numbers: what each check means and where it produces false positives, the one-page report layout, three covering notes for the three rungs of the escalation ladder, a remediation ticket format, and the ladder itself - published once, before it is ever used.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D766E"/>
          <w:sz w:val="21"/>
          <w:szCs w:val="21"/>
        </w:rPr>
        <w:t xml:space="preserve">Companion to the quality report pack and to the article at mehdibamou.com/publications/portfolio-quality-report. Free to use and adapt.</w:t>
      </w:r>
    </w:p>
    <w:p>
      <w:r>
        <w:br w:type="page"/>
      </w:r>
    </w:p>
    <w:p>
      <w:pPr>
        <w:pStyle w:val="Heading1"/>
        <w:spacing w:after="110" w:before="340"/>
      </w:pPr>
      <w:r>
        <w:rPr>
          <w:rFonts w:ascii="Cambria" w:cs="Cambria" w:eastAsia="Cambria" w:hAnsi="Cambria"/>
          <w:b/>
          <w:bCs/>
          <w:color w:val="1C1917"/>
          <w:sz w:val="32"/>
          <w:szCs w:val="32"/>
        </w:rPr>
        <w:t xml:space="preserve">1. Check definitions</w:t>
      </w:r>
    </w:p>
    <w:p>
      <w:pPr>
        <w:spacing w:after="150"/>
      </w:pPr>
      <w:r>
        <w:rPr>
          <w:rFonts w:ascii="Calibri" w:cs="Calibri" w:eastAsia="Calibri" w:hAnsi="Calibri"/>
          <w:i/>
          <w:iCs/>
          <w:color w:val="14606B"/>
          <w:sz w:val="19"/>
          <w:szCs w:val="19"/>
        </w:rPr>
        <w:t xml:space="preserve">Publish these once. When a check changes, publish the old and new numbers side by side for one month.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1700"/>
        <w:gridCol w:w="2800"/>
      </w:tblGrid>
      <w:tr>
        <w:tc>
          <w:tcPr>
            <w:tcW w:type="dxa" w:w="1900"/>
            <w:shd w:fill="1460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3200"/>
            <w:shd w:fill="1460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1700"/>
            <w:shd w:fill="1460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Finding when</w:t>
            </w:r>
          </w:p>
        </w:tc>
        <w:tc>
          <w:tcPr>
            <w:tcW w:type="dxa" w:w="2800"/>
            <w:shd w:fill="1460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Known false positive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Completeness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Share of Active records with no blank in the mandatory fields.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Any blank field in an Active record.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Records in Plan state - exclude them rather than failing them.</w:t>
            </w:r>
          </w:p>
        </w:tc>
      </w:tr>
      <w:tr>
        <w:tc>
          <w:tcPr>
            <w:tcW w:type="dxa" w:w="19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IT owner missing</w:t>
            </w:r>
          </w:p>
        </w:tc>
        <w:tc>
          <w:tcPr>
            <w:tcW w:type="dxa" w:w="32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Active records where the IT owner field does not resolve to a person.</w:t>
            </w:r>
          </w:p>
        </w:tc>
        <w:tc>
          <w:tcPr>
            <w:tcW w:type="dxa" w:w="17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Blank or a team mailbox.</w:t>
            </w:r>
          </w:p>
        </w:tc>
        <w:tc>
          <w:tcPr>
            <w:tcW w:type="dxa" w:w="28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A team inbox used deliberately during a handover - still a finding, with a date.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Business owner missing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Active records where the business owner does not resolve to a person.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Blank.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A vacant role; the finding then belongs to the domain lead, not the record.</w:t>
            </w:r>
          </w:p>
        </w:tc>
      </w:tr>
      <w:tr>
        <w:tc>
          <w:tcPr>
            <w:tcW w:type="dxa" w:w="19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Stale record</w:t>
            </w:r>
          </w:p>
        </w:tc>
        <w:tc>
          <w:tcPr>
            <w:tcW w:type="dxa" w:w="32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Today minus the later of last attested and last modified.</w:t>
            </w:r>
          </w:p>
        </w:tc>
        <w:tc>
          <w:tcPr>
            <w:tcW w:type="dxa" w:w="17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Over the stale window (90 to 180 days).</w:t>
            </w:r>
          </w:p>
        </w:tc>
        <w:tc>
          <w:tcPr>
            <w:tcW w:type="dxa" w:w="28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Genuinely static systems - stale means unexamined, not wrong.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Duplicate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Fuzzy name match across Active records; also one-record-per-market violations.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Similarity over the threshold.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Two real instances of one product - a human checks before any merge.</w:t>
            </w:r>
          </w:p>
        </w:tc>
      </w:tr>
      <w:tr>
        <w:tc>
          <w:tcPr>
            <w:tcW w:type="dxa" w:w="19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Orphan</w:t>
            </w:r>
          </w:p>
        </w:tc>
        <w:tc>
          <w:tcPr>
            <w:tcW w:type="dxa" w:w="32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Active records with no capability and no relationship in the link table.</w:t>
            </w:r>
          </w:p>
        </w:tc>
        <w:tc>
          <w:tcPr>
            <w:tcW w:type="dxa" w:w="17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Zero relationships.</w:t>
            </w:r>
          </w:p>
        </w:tc>
        <w:tc>
          <w:tcPr>
            <w:tcW w:type="dxa" w:w="28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Records created this month mid-collection - age them a fortnight.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Lifecycle contradiction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Active record whose component is past end of support; retired record still a successor target; phase-out with no successor.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Any contradiction.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Vendor support extended by contract - record the new date, do not silence the check.</w:t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b w:val="false"/>
          <w:bCs w:val="false"/>
          <w:i/>
          <w:iCs/>
          <w:color w:val="57534E"/>
          <w:sz w:val="21"/>
          <w:szCs w:val="21"/>
        </w:rPr>
        <w:t xml:space="preserve">Adding an eighth check follows the same rule as adding a field: name the decision it feeds, or leave it out.</w:t>
      </w:r>
    </w:p>
    <w:p>
      <w:r>
        <w:br w:type="page"/>
      </w:r>
    </w:p>
    <w:p>
      <w:pPr>
        <w:pStyle w:val="Heading1"/>
        <w:spacing w:after="110" w:before="340"/>
      </w:pPr>
      <w:r>
        <w:rPr>
          <w:rFonts w:ascii="Cambria" w:cs="Cambria" w:eastAsia="Cambria" w:hAnsi="Cambria"/>
          <w:b/>
          <w:bCs/>
          <w:color w:val="1C1917"/>
          <w:sz w:val="32"/>
          <w:szCs w:val="32"/>
        </w:rPr>
        <w:t xml:space="preserve">2. The one-page report</w:t>
      </w:r>
    </w:p>
    <w:p>
      <w:pPr>
        <w:spacing w:after="150"/>
      </w:pPr>
      <w:r>
        <w:rPr>
          <w:rFonts w:ascii="Calibri" w:cs="Calibri" w:eastAsia="Calibri" w:hAnsi="Calibri"/>
          <w:i/>
          <w:iCs/>
          <w:color w:val="14606B"/>
          <w:sz w:val="19"/>
          <w:szCs w:val="19"/>
        </w:rPr>
        <w:t xml:space="preserve">Four blocks, in this order. If it does not fit one page, block three is too long and you have a campaign, not a report.</w:t>
      </w:r>
    </w:p>
    <w:p>
      <w:pPr>
        <w:pStyle w:val="Heading2"/>
        <w:spacing w:after="70" w:before="220"/>
      </w:pPr>
      <w:r>
        <w:rPr>
          <w:rFonts w:ascii="Cambria" w:cs="Cambria" w:eastAsia="Cambria" w:hAnsi="Cambria"/>
          <w:b/>
          <w:bCs/>
          <w:color w:val="1C1917"/>
          <w:sz w:val="26"/>
          <w:szCs w:val="26"/>
        </w:rPr>
        <w:t xml:space="preserve">Block 1 - headline</w:t>
      </w:r>
    </w:p>
    <w:p>
      <w:pPr>
        <w:spacing w:after="11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Completeness: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xx% (delta from last month) ]</w:t>
      </w:r>
    </w:p>
    <w:p>
      <w:pPr>
        <w:spacing w:after="11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Open findings: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n, of which n over 30 days ]</w:t>
      </w:r>
    </w:p>
    <w:p>
      <w:pPr>
        <w:spacing w:after="11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Closed since last report: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n ]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/>
          <w:iCs/>
          <w:color w:val="57534E"/>
          <w:sz w:val="21"/>
          <w:szCs w:val="21"/>
        </w:rPr>
        <w:t xml:space="preserve">The third number is the one that changes behaviour - it makes effort visible, not only the gap.</w:t>
      </w:r>
    </w:p>
    <w:p>
      <w:pPr>
        <w:pStyle w:val="Heading2"/>
        <w:spacing w:after="70" w:before="220"/>
      </w:pPr>
      <w:r>
        <w:rPr>
          <w:rFonts w:ascii="Cambria" w:cs="Cambria" w:eastAsia="Cambria" w:hAnsi="Cambria"/>
          <w:b/>
          <w:bCs/>
          <w:color w:val="1C1917"/>
          <w:sz w:val="26"/>
          <w:szCs w:val="26"/>
        </w:rPr>
        <w:t xml:space="preserve">Block 2 - by domain, sorted by open findings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700"/>
        <w:gridCol w:w="1900"/>
        <w:gridCol w:w="1900"/>
      </w:tblGrid>
      <w:tr>
        <w:tc>
          <w:tcPr>
            <w:tcW w:type="dxa" w:w="2600"/>
            <w:shd w:fill="1460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1500"/>
            <w:shd w:fill="1460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Records</w:t>
            </w:r>
          </w:p>
        </w:tc>
        <w:tc>
          <w:tcPr>
            <w:tcW w:type="dxa" w:w="1700"/>
            <w:shd w:fill="1460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Complete</w:t>
            </w:r>
          </w:p>
        </w:tc>
        <w:tc>
          <w:tcPr>
            <w:tcW w:type="dxa" w:w="1900"/>
            <w:shd w:fill="1460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Open findings</w:t>
            </w:r>
          </w:p>
        </w:tc>
        <w:tc>
          <w:tcPr>
            <w:tcW w:type="dxa" w:w="1900"/>
            <w:shd w:fill="1460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Oldest (days)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[ domain ]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[ n ]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[ xx% ]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[ n ]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[ n ]</w:t>
            </w:r>
          </w:p>
        </w:tc>
      </w:tr>
      <w:tr>
        <w:tc>
          <w:tcPr>
            <w:tcW w:type="dxa" w:w="26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[ domain ]</w:t>
            </w:r>
          </w:p>
        </w:tc>
        <w:tc>
          <w:tcPr>
            <w:tcW w:type="dxa" w:w="15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[ n ]</w:t>
            </w:r>
          </w:p>
        </w:tc>
        <w:tc>
          <w:tcPr>
            <w:tcW w:type="dxa" w:w="17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[ xx% ]</w:t>
            </w:r>
          </w:p>
        </w:tc>
        <w:tc>
          <w:tcPr>
            <w:tcW w:type="dxa" w:w="19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[ n ]</w:t>
            </w:r>
          </w:p>
        </w:tc>
        <w:tc>
          <w:tcPr>
            <w:tcW w:type="dxa" w:w="19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[ n ]</w:t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b w:val="false"/>
          <w:bCs w:val="false"/>
          <w:i/>
          <w:iCs/>
          <w:color w:val="57534E"/>
          <w:sz w:val="21"/>
          <w:szCs w:val="21"/>
        </w:rPr>
        <w:t xml:space="preserve">Sorted by the problem, never alphabetically. The top row is where the conversation starts and the bottom row gets the meeting back.</w:t>
      </w:r>
    </w:p>
    <w:p>
      <w:pPr>
        <w:pStyle w:val="Heading2"/>
        <w:spacing w:after="70" w:before="220"/>
      </w:pPr>
      <w:r>
        <w:rPr>
          <w:rFonts w:ascii="Cambria" w:cs="Cambria" w:eastAsia="Cambria" w:hAnsi="Cambria"/>
          <w:b/>
          <w:bCs/>
          <w:color w:val="1C1917"/>
          <w:sz w:val="26"/>
          <w:szCs w:val="26"/>
        </w:rPr>
        <w:t xml:space="preserve">Block 3 - findings, grouped by owner</w:t>
      </w:r>
    </w:p>
    <w:p>
      <w:pPr>
        <w:spacing w:after="11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Owner name: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what is wrong - which record - due date ]</w:t>
      </w:r>
    </w:p>
    <w:p>
      <w:pPr>
        <w:spacing w:after="11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Owner name: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what is wrong - which record - due date ]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/>
          <w:iCs/>
          <w:color w:val="57534E"/>
          <w:sz w:val="21"/>
          <w:szCs w:val="21"/>
        </w:rPr>
        <w:t xml:space="preserve">Ten to fifteen lines maximum. The full list is attached, not pasted.</w:t>
      </w:r>
    </w:p>
    <w:p>
      <w:pPr>
        <w:pStyle w:val="Heading2"/>
        <w:spacing w:after="70" w:before="220"/>
      </w:pPr>
      <w:r>
        <w:rPr>
          <w:rFonts w:ascii="Cambria" w:cs="Cambria" w:eastAsia="Cambria" w:hAnsi="Cambria"/>
          <w:b/>
          <w:bCs/>
          <w:color w:val="1C1917"/>
          <w:sz w:val="26"/>
          <w:szCs w:val="26"/>
        </w:rPr>
        <w:t xml:space="preserve">Block 4 - two sentences of interpretation</w:t>
      </w:r>
    </w:p>
    <w:p>
      <w:pPr>
        <w:spacing w:after="11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Interpretation: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what moved, what stalled, what you are doing about it - not analysis ]</w:t>
      </w:r>
    </w:p>
    <w:p>
      <w:pPr>
        <w:pStyle w:val="Heading2"/>
        <w:spacing w:after="70" w:before="220"/>
      </w:pPr>
      <w:r>
        <w:rPr>
          <w:rFonts w:ascii="Cambria" w:cs="Cambria" w:eastAsia="Cambria" w:hAnsi="Cambria"/>
          <w:b/>
          <w:bCs/>
          <w:color w:val="1C1917"/>
          <w:sz w:val="26"/>
          <w:szCs w:val="26"/>
        </w:rPr>
        <w:t xml:space="preserve">Recipients</w:t>
      </w:r>
    </w:p>
    <w:p>
      <w:pPr>
        <w:spacing w:after="11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To: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four named people who can unblock things - never a mailbox ]</w:t>
      </w:r>
    </w:p>
    <w:p>
      <w:r>
        <w:br w:type="page"/>
      </w:r>
    </w:p>
    <w:p>
      <w:pPr>
        <w:pStyle w:val="Heading1"/>
        <w:spacing w:after="110" w:before="340"/>
      </w:pPr>
      <w:r>
        <w:rPr>
          <w:rFonts w:ascii="Cambria" w:cs="Cambria" w:eastAsia="Cambria" w:hAnsi="Cambria"/>
          <w:b/>
          <w:bCs/>
          <w:color w:val="1C1917"/>
          <w:sz w:val="32"/>
          <w:szCs w:val="32"/>
        </w:rPr>
        <w:t xml:space="preserve">3. The three covering notes</w:t>
      </w:r>
    </w:p>
    <w:p>
      <w:pPr>
        <w:spacing w:after="150"/>
      </w:pPr>
      <w:r>
        <w:rPr>
          <w:rFonts w:ascii="Calibri" w:cs="Calibri" w:eastAsia="Calibri" w:hAnsi="Calibri"/>
          <w:i/>
          <w:iCs/>
          <w:color w:val="14606B"/>
          <w:sz w:val="19"/>
          <w:szCs w:val="19"/>
        </w:rPr>
        <w:t xml:space="preserve">Short, specific, and free of adjectives about people.</w:t>
      </w:r>
    </w:p>
    <w:p>
      <w:pPr>
        <w:pStyle w:val="Heading2"/>
        <w:spacing w:after="70" w:before="220"/>
      </w:pPr>
      <w:r>
        <w:rPr>
          <w:rFonts w:ascii="Cambria" w:cs="Cambria" w:eastAsia="Cambria" w:hAnsi="Cambria"/>
          <w:b/>
          <w:bCs/>
          <w:color w:val="1C1917"/>
          <w:sz w:val="26"/>
          <w:szCs w:val="26"/>
        </w:rPr>
        <w:t xml:space="preserve">Month one - the monthly send</w:t>
      </w:r>
    </w:p>
    <w:p>
      <w:pPr>
        <w:pBdr>
          <w:left w:val="single" w:color="E4E0D7" w:sz="12" w:space="12"/>
        </w:pBdr>
        <w:spacing w:after="110"/>
        <w:ind w:left="340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Subject: Portfolio quality - [ month ]</w:t>
      </w:r>
    </w:p>
    <w:p>
      <w:pPr>
        <w:pBdr>
          <w:left w:val="single" w:color="E4E0D7" w:sz="12" w:space="12"/>
        </w:pBdr>
        <w:spacing w:after="110"/>
        <w:ind w:left="340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Completeness is at [ xx% ], up [ n ] points. Eleven findings closed since the last report - thank you. Fourteen are open; yours are listed under your name below, each with a date. Two are over thirty days old and I have flagged them separately. One sentence on the trend: [ interpretation ]. The full list and the checks behind it are in the attached pack.</w:t>
      </w:r>
    </w:p>
    <w:p>
      <w:pPr>
        <w:pStyle w:val="Heading2"/>
        <w:spacing w:after="70" w:before="220"/>
      </w:pPr>
      <w:r>
        <w:rPr>
          <w:rFonts w:ascii="Cambria" w:cs="Cambria" w:eastAsia="Cambria" w:hAnsi="Cambria"/>
          <w:b/>
          <w:bCs/>
          <w:color w:val="1C1917"/>
          <w:sz w:val="26"/>
          <w:szCs w:val="26"/>
        </w:rPr>
        <w:t xml:space="preserve">Month two - the one-line nudge</w:t>
      </w:r>
    </w:p>
    <w:p>
      <w:pPr>
        <w:spacing w:after="150"/>
      </w:pPr>
      <w:r>
        <w:rPr>
          <w:rFonts w:ascii="Calibri" w:cs="Calibri" w:eastAsia="Calibri" w:hAnsi="Calibri"/>
          <w:i/>
          <w:iCs/>
          <w:color w:val="14606B"/>
          <w:sz w:val="19"/>
          <w:szCs w:val="19"/>
        </w:rPr>
        <w:t xml:space="preserve">Direct message to the owner. No attachment, no cc, no report.</w:t>
      </w:r>
    </w:p>
    <w:p>
      <w:pPr>
        <w:pBdr>
          <w:left w:val="single" w:color="E4E0D7" w:sz="12" w:space="12"/>
        </w:pBdr>
        <w:spacing w:after="110"/>
        <w:ind w:left="340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[ Name ] - APP-014 still has no business owner, raised on [ date ]. Is it you, or should it go to [ domain lead ]? One line back is enough.</w:t>
      </w:r>
    </w:p>
    <w:p>
      <w:pPr>
        <w:pStyle w:val="Heading2"/>
        <w:spacing w:after="70" w:before="220"/>
      </w:pPr>
      <w:r>
        <w:rPr>
          <w:rFonts w:ascii="Cambria" w:cs="Cambria" w:eastAsia="Cambria" w:hAnsi="Cambria"/>
          <w:b/>
          <w:bCs/>
          <w:color w:val="1C1917"/>
          <w:sz w:val="26"/>
          <w:szCs w:val="26"/>
        </w:rPr>
        <w:t xml:space="preserve">Month three - the domain lead note</w:t>
      </w:r>
    </w:p>
    <w:p>
      <w:pPr>
        <w:spacing w:after="150"/>
      </w:pPr>
      <w:r>
        <w:rPr>
          <w:rFonts w:ascii="Calibri" w:cs="Calibri" w:eastAsia="Calibri" w:hAnsi="Calibri"/>
          <w:i/>
          <w:iCs/>
          <w:color w:val="14606B"/>
          <w:sz w:val="19"/>
          <w:szCs w:val="19"/>
        </w:rPr>
        <w:t xml:space="preserve">Names the finding, never the person's character.</w:t>
      </w:r>
    </w:p>
    <w:p>
      <w:pPr>
        <w:pBdr>
          <w:left w:val="single" w:color="E4E0D7" w:sz="12" w:space="12"/>
        </w:pBdr>
        <w:spacing w:after="110"/>
        <w:ind w:left="340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[ Lead ] - three findings in [ domain ] have been open past sixty days: [ list, one line each ]. Two are blocked on a vacant role rather than on the owners, which is why I am bringing them to you rather than chasing further. Can we agree a date, or agree that these records are deliberately parked?</w:t>
      </w:r>
    </w:p>
    <w:p>
      <w:pPr>
        <w:pStyle w:val="Heading2"/>
        <w:spacing w:after="70" w:before="220"/>
      </w:pPr>
      <w:r>
        <w:rPr>
          <w:rFonts w:ascii="Cambria" w:cs="Cambria" w:eastAsia="Cambria" w:hAnsi="Cambria"/>
          <w:b/>
          <w:bCs/>
          <w:color w:val="1C1917"/>
          <w:sz w:val="26"/>
          <w:szCs w:val="26"/>
        </w:rPr>
        <w:t xml:space="preserve">Month four - the board item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7534E"/>
          <w:sz w:val="21"/>
          <w:szCs w:val="21"/>
        </w:rPr>
        <w:t xml:space="preserve">Two minutes on the agenda as a standing item, with the record IDs, the ages, and the ask. This step is rare, because the earlier ones work - and it stays rare only if you actually use it when you said you would.</w:t>
      </w:r>
    </w:p>
    <w:p>
      <w:r>
        <w:br w:type="page"/>
      </w:r>
    </w:p>
    <w:p>
      <w:pPr>
        <w:pStyle w:val="Heading1"/>
        <w:spacing w:after="110" w:before="340"/>
      </w:pPr>
      <w:r>
        <w:rPr>
          <w:rFonts w:ascii="Cambria" w:cs="Cambria" w:eastAsia="Cambria" w:hAnsi="Cambria"/>
          <w:b/>
          <w:bCs/>
          <w:color w:val="1C1917"/>
          <w:sz w:val="32"/>
          <w:szCs w:val="32"/>
        </w:rPr>
        <w:t xml:space="preserve">4. Remediation ticket format</w:t>
      </w:r>
    </w:p>
    <w:p>
      <w:pPr>
        <w:spacing w:after="150"/>
      </w:pPr>
      <w:r>
        <w:rPr>
          <w:rFonts w:ascii="Calibri" w:cs="Calibri" w:eastAsia="Calibri" w:hAnsi="Calibri"/>
          <w:i/>
          <w:iCs/>
          <w:color w:val="14606B"/>
          <w:sz w:val="19"/>
          <w:szCs w:val="19"/>
        </w:rPr>
        <w:t xml:space="preserve">For teams that want findings in their own tracker rather than in a report.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00"/>
      </w:tblGrid>
      <w:tr>
        <w:tc>
          <w:tcPr>
            <w:tcW w:type="dxa" w:w="2200"/>
            <w:shd w:fill="1460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400"/>
            <w:shd w:fill="1460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Title</w:t>
            </w:r>
          </w:p>
        </w:tc>
        <w:tc>
          <w:tcPr>
            <w:tcW w:type="dxa" w:w="7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[ Check ]: [ record ID ] - [ what is wrong ]</w:t>
            </w:r>
          </w:p>
        </w:tc>
      </w:tr>
      <w:tr>
        <w:tc>
          <w:tcPr>
            <w:tcW w:type="dxa" w:w="22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4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Rule that produced it, the current value, and the value that closes it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Assignee</w:t>
            </w:r>
          </w:p>
        </w:tc>
        <w:tc>
          <w:tcPr>
            <w:tcW w:type="dxa" w:w="7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The named owner, resolved from the record</w:t>
            </w:r>
          </w:p>
        </w:tc>
      </w:tr>
      <w:tr>
        <w:tc>
          <w:tcPr>
            <w:tcW w:type="dxa" w:w="22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Due date</w:t>
            </w:r>
          </w:p>
        </w:tc>
        <w:tc>
          <w:tcPr>
            <w:tcW w:type="dxa" w:w="74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15 working days for a single field, 30 when a decision is needed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Definition of done</w:t>
            </w:r>
          </w:p>
        </w:tc>
        <w:tc>
          <w:tcPr>
            <w:tcW w:type="dxa" w:w="7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The record changed - not a reply, not a promise</w:t>
            </w:r>
          </w:p>
        </w:tc>
      </w:tr>
      <w:tr>
        <w:tc>
          <w:tcPr>
            <w:tcW w:type="dxa" w:w="22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Label</w:t>
            </w:r>
          </w:p>
        </w:tc>
        <w:tc>
          <w:tcPr>
            <w:tcW w:type="dxa" w:w="74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portfolio-quality plus the check name, so the tracker can count them</w:t>
            </w:r>
          </w:p>
        </w:tc>
      </w:tr>
    </w:tbl>
    <w:p>
      <w:pPr>
        <w:pStyle w:val="Heading1"/>
        <w:spacing w:after="110" w:before="340"/>
      </w:pPr>
      <w:r>
        <w:rPr>
          <w:rFonts w:ascii="Cambria" w:cs="Cambria" w:eastAsia="Cambria" w:hAnsi="Cambria"/>
          <w:b/>
          <w:bCs/>
          <w:color w:val="1C1917"/>
          <w:sz w:val="32"/>
          <w:szCs w:val="32"/>
        </w:rPr>
        <w:t xml:space="preserve">5. The escalation ladder</w:t>
      </w:r>
    </w:p>
    <w:p>
      <w:pPr>
        <w:spacing w:after="150"/>
      </w:pPr>
      <w:r>
        <w:rPr>
          <w:rFonts w:ascii="Calibri" w:cs="Calibri" w:eastAsia="Calibri" w:hAnsi="Calibri"/>
          <w:i/>
          <w:iCs/>
          <w:color w:val="14606B"/>
          <w:sz w:val="19"/>
          <w:szCs w:val="19"/>
        </w:rPr>
        <w:t xml:space="preserve">Circulate this once, before the first report. Nobody should discover the ladder by being on it.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400"/>
        <w:gridCol w:w="2600"/>
      </w:tblGrid>
      <w:tr>
        <w:tc>
          <w:tcPr>
            <w:tcW w:type="dxa" w:w="1600"/>
            <w:shd w:fill="1460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5400"/>
            <w:shd w:fill="1460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2600"/>
            <w:shd w:fill="1460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Who sees it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Month 1</w:t>
            </w:r>
          </w:p>
        </w:tc>
        <w:tc>
          <w:tcPr>
            <w:tcW w:type="dxa" w:w="5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The finding appears in the report under the owner's name, with a due date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Owner, domain lead, report recipients</w:t>
            </w:r>
          </w:p>
        </w:tc>
      </w:tr>
      <w:tr>
        <w:tc>
          <w:tcPr>
            <w:tcW w:type="dxa" w:w="16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Month 2</w:t>
            </w:r>
          </w:p>
        </w:tc>
        <w:tc>
          <w:tcPr>
            <w:tcW w:type="dxa" w:w="54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A one-line direct message to the owner</w:t>
            </w:r>
          </w:p>
        </w:tc>
        <w:tc>
          <w:tcPr>
            <w:tcW w:type="dxa" w:w="26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Owner only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Month 3</w:t>
            </w:r>
          </w:p>
        </w:tc>
        <w:tc>
          <w:tcPr>
            <w:tcW w:type="dxa" w:w="5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A note to the domain lead naming the finding and the blocker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Owner and domain lead</w:t>
            </w:r>
          </w:p>
        </w:tc>
      </w:tr>
      <w:tr>
        <w:tc>
          <w:tcPr>
            <w:tcW w:type="dxa" w:w="16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Month 4</w:t>
            </w:r>
          </w:p>
        </w:tc>
        <w:tc>
          <w:tcPr>
            <w:tcW w:type="dxa" w:w="54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A two-minute standing item at the architecture board</w:t>
            </w:r>
          </w:p>
        </w:tc>
        <w:tc>
          <w:tcPr>
            <w:tcW w:type="dxa" w:w="26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Board</w:t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b w:val="false"/>
          <w:bCs w:val="false"/>
          <w:i/>
          <w:iCs/>
          <w:color w:val="57534E"/>
          <w:sz w:val="21"/>
          <w:szCs w:val="21"/>
        </w:rPr>
        <w:t xml:space="preserve">Two rules that keep the ladder usable: it escalates findings, not people, and it stops the moment the record changes.</w:t>
      </w:r>
    </w:p>
    <w:p>
      <w:pPr>
        <w:pBdr>
          <w:bottom w:val="single" w:color="E4E0D7" w:sz="6"/>
        </w:pBdr>
        <w:spacing w:after="180"/>
      </w:pP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D766E"/>
          <w:sz w:val="21"/>
          <w:szCs w:val="21"/>
        </w:rPr>
        <w:t xml:space="preserve">mehdibamou.com - free to use and adapt</w:t>
      </w:r>
    </w:p>
    <w:sectPr>
      <w:pgSz w:w="11906" w:h="16838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57534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2026-08-09T12:57:21.603Z</dcterms:created>
  <dcterms:modified xsi:type="dcterms:W3CDTF">2026-08-09T12:57:21.608Z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