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4606B"/>
          <w:spacing w:val="40"/>
          <w:sz w:val="20"/>
          <w:szCs w:val="20"/>
        </w:rPr>
        <w:t xml:space="preserve">DECISION RECORDS</w:t>
      </w:r>
    </w:p>
    <w:p>
      <w:pPr>
        <w:spacing w:after="150"/>
      </w:pPr>
      <w:r>
        <w:rPr>
          <w:rFonts w:ascii="Cambria" w:cs="Cambria" w:eastAsia="Cambria" w:hAnsi="Cambria"/>
          <w:b/>
          <w:bCs/>
          <w:color w:val="1C1917"/>
          <w:sz w:val="44"/>
          <w:szCs w:val="44"/>
        </w:rPr>
        <w:t xml:space="preserve">The template, the six kinds, six worked records, and the filing rules</w:t>
      </w:r>
    </w:p>
    <w:p>
      <w:pPr>
        <w:spacing w:after="110"/>
      </w:pPr>
      <w:r>
        <w:rPr>
          <w:rFonts w:ascii="Calibri" w:cs="Calibri" w:eastAsia="Calibri" w:hAnsi="Calibri"/>
          <w:b w:val="false"/>
          <w:bCs w:val="false"/>
          <w:i w:val="false"/>
          <w:iCs w:val="false"/>
          <w:color w:val="57534E"/>
          <w:sz w:val="21"/>
          <w:szCs w:val="21"/>
        </w:rPr>
        <w:t xml:space="preserve">Everything needed to start recording decisions and keep doing it: the one-page template, the test for which kind you are writing, six complete worked records from genuinely different situations, the filing and numbering conventions, the status lifecycle, the backfill triage, and the single line that goes into the definition of done.</w:t>
      </w:r>
    </w:p>
    <w:p>
      <w:pPr>
        <w:spacing w:after="110"/>
      </w:pPr>
      <w:r>
        <w:rPr>
          <w:rFonts w:ascii="Calibri" w:cs="Calibri" w:eastAsia="Calibri" w:hAnsi="Calibri"/>
          <w:b w:val="false"/>
          <w:bCs w:val="false"/>
          <w:i w:val="false"/>
          <w:iCs w:val="false"/>
          <w:color w:val="7D766E"/>
          <w:sz w:val="21"/>
          <w:szCs w:val="21"/>
        </w:rPr>
        <w:t xml:space="preserve">Companion to the decision and register workbook, and to the article at mehdibamou.com/publications/decision-records. Free to use and adapt.</w:t>
      </w:r>
    </w:p>
    <w:p>
      <w:r>
        <w:br w:type="page"/>
      </w:r>
    </w:p>
    <w:p>
      <w:pPr>
        <w:pStyle w:val="Heading1"/>
        <w:spacing w:after="110" w:before="340"/>
      </w:pPr>
      <w:r>
        <w:rPr>
          <w:rFonts w:ascii="Cambria" w:cs="Cambria" w:eastAsia="Cambria" w:hAnsi="Cambria"/>
          <w:b/>
          <w:bCs/>
          <w:color w:val="1C1917"/>
          <w:sz w:val="32"/>
          <w:szCs w:val="32"/>
        </w:rPr>
        <w:t xml:space="preserve">1. The template</w:t>
      </w:r>
    </w:p>
    <w:p>
      <w:pPr>
        <w:spacing w:after="150"/>
      </w:pPr>
      <w:r>
        <w:rPr>
          <w:rFonts w:ascii="Calibri" w:cs="Calibri" w:eastAsia="Calibri" w:hAnsi="Calibri"/>
          <w:i/>
          <w:iCs/>
          <w:color w:val="14606B"/>
          <w:sz w:val="19"/>
          <w:szCs w:val="19"/>
        </w:rPr>
        <w:t xml:space="preserve">Eight fields. Four carry the value, four take a minute. If it runs past twenty minutes, the decision has not been made yet.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00"/>
      </w:tblGrid>
      <w:tr>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Field</w:t>
            </w:r>
          </w:p>
        </w:tc>
        <w:tc>
          <w:tcPr>
            <w:tcW w:type="dxa" w:w="3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goes in it</w:t>
            </w:r>
          </w:p>
        </w:tc>
        <w:tc>
          <w:tcPr>
            <w:tcW w:type="dxa" w:w="4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Why it is there</w:t>
            </w:r>
          </w:p>
        </w:tc>
      </w:tr>
      <w:tr>
        <w:tc>
          <w:tcPr>
            <w:tcW w:type="dxa" w:w="2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Chose</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decision in one sentence, past tense. The decision, not the topic</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"We will master supplier in the core", not "supplier mastership"</w:t>
            </w:r>
          </w:p>
        </w:tc>
      </w:tr>
      <w:tr>
        <w:tc>
          <w:tcPr>
            <w:tcW w:type="dxa" w:w="2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Rejected</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alternatives genuinely considered, named</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So the next person can tell whether their idea was examined and dismissed, or never occurred to anybody. Both are common and need different conversations</w:t>
            </w:r>
          </w:p>
        </w:tc>
      </w:tr>
      <w:tr>
        <w:tc>
          <w:tcPr>
            <w:tcW w:type="dxa" w:w="2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Why</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reason as it was at the time, including the constraints true then</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 the justification you would give today</w:t>
            </w:r>
          </w:p>
        </w:tc>
      </w:tr>
      <w:tr>
        <w:tc>
          <w:tcPr>
            <w:tcW w:type="dxa" w:w="2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Cost we accept</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consequence being taken on</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decision with no stated cost was a preference</w:t>
            </w:r>
          </w:p>
        </w:tc>
      </w:tr>
      <w:tr>
        <w:tc>
          <w:tcPr>
            <w:tcW w:type="dxa" w:w="2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ID</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Stable, per register, never reused</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So it can be cited in a design, a gate paper, or a contract</w:t>
            </w:r>
          </w:p>
        </w:tc>
      </w:tr>
      <w:tr>
        <w:tc>
          <w:tcPr>
            <w:tcW w:type="dxa" w:w="2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Date</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decision date, not the writing date</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Matters in audited environments</w:t>
            </w:r>
          </w:p>
        </w:tc>
      </w:tr>
      <w:tr>
        <w:tc>
          <w:tcPr>
            <w:tcW w:type="dxa" w:w="2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Decided by</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person, and in regulated settings their role and authority</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 observer records the outcome and loses the reason</w:t>
            </w:r>
          </w:p>
        </w:tc>
      </w:tr>
      <w:tr>
        <w:tc>
          <w:tcPr>
            <w:tcW w:type="dxa" w:w="2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Status</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Proposed, accepted, superseded, rejected</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Superseded records stay and point forward</w:t>
            </w:r>
          </w:p>
        </w:tc>
      </w:tr>
      <w:tr>
        <w:tc>
          <w:tcPr>
            <w:tcW w:type="dxa" w:w="2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Links</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Applications, objects, domains, interfaces, projects touched</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Without these it is findable only by somebody who already knows it exists</w:t>
            </w:r>
          </w:p>
        </w:tc>
      </w:tr>
    </w:tbl>
    <w:p>
      <w:pPr>
        <w:pBdr>
          <w:left w:val="single" w:color="E4E0D7" w:sz="12" w:space="12"/>
        </w:pBdr>
        <w:spacing w:after="110"/>
        <w:ind w:left="340"/>
      </w:pPr>
      <w:r>
        <w:rPr>
          <w:rFonts w:ascii="Calibri" w:cs="Calibri" w:eastAsia="Calibri" w:hAnsi="Calibri"/>
          <w:color w:val="57534E"/>
          <w:sz w:val="21"/>
          <w:szCs w:val="21"/>
        </w:rPr>
        <w:t xml:space="preserve">The test for a finished record: could somebody who was not in the room reconstruct the reasoning well enough to disagree with it on the merits? If they can only accept it or resent it, the record has failed.</w:t>
      </w:r>
    </w:p>
    <w:p>
      <w:pPr>
        <w:pStyle w:val="Heading2"/>
        <w:spacing w:after="70" w:before="220"/>
      </w:pPr>
      <w:r>
        <w:rPr>
          <w:rFonts w:ascii="Cambria" w:cs="Cambria" w:eastAsia="Cambria" w:hAnsi="Cambria"/>
          <w:b/>
          <w:bCs/>
          <w:color w:val="1C1917"/>
          <w:sz w:val="26"/>
          <w:szCs w:val="26"/>
        </w:rPr>
        <w:t xml:space="preserve">Blank template</w:t>
      </w:r>
    </w:p>
    <w:p>
      <w:pPr>
        <w:spacing w:after="90"/>
      </w:pPr>
      <w:r>
        <w:rPr>
          <w:rFonts w:ascii="Calibri" w:cs="Calibri" w:eastAsia="Calibri" w:hAnsi="Calibri"/>
          <w:b/>
          <w:bCs/>
          <w:i w:val="false"/>
          <w:iCs w:val="false"/>
          <w:color w:val="1C1917"/>
          <w:sz w:val="21"/>
          <w:szCs w:val="21"/>
        </w:rPr>
        <w:t xml:space="preserve">ID: </w:t>
      </w:r>
      <w:r>
        <w:rPr>
          <w:rFonts w:ascii="Calibri" w:cs="Calibri" w:eastAsia="Calibri" w:hAnsi="Calibri"/>
          <w:b w:val="false"/>
          <w:bCs w:val="false"/>
          <w:i w:val="false"/>
          <w:iCs w:val="false"/>
          <w:color w:val="B98A2E"/>
          <w:sz w:val="21"/>
          <w:szCs w:val="21"/>
        </w:rPr>
        <w:t xml:space="preserve">[ REG-000 ]</w:t>
      </w:r>
    </w:p>
    <w:p>
      <w:pPr>
        <w:spacing w:after="90"/>
      </w:pPr>
      <w:r>
        <w:rPr>
          <w:rFonts w:ascii="Calibri" w:cs="Calibri" w:eastAsia="Calibri" w:hAnsi="Calibri"/>
          <w:b/>
          <w:bCs/>
          <w:i w:val="false"/>
          <w:iCs w:val="false"/>
          <w:color w:val="1C1917"/>
          <w:sz w:val="21"/>
          <w:szCs w:val="21"/>
        </w:rPr>
        <w:t xml:space="preserve">Date: </w:t>
      </w:r>
      <w:r>
        <w:rPr>
          <w:rFonts w:ascii="Calibri" w:cs="Calibri" w:eastAsia="Calibri" w:hAnsi="Calibri"/>
          <w:b w:val="false"/>
          <w:bCs w:val="false"/>
          <w:i w:val="false"/>
          <w:iCs w:val="false"/>
          <w:color w:val="B98A2E"/>
          <w:sz w:val="21"/>
          <w:szCs w:val="21"/>
        </w:rPr>
        <w:t xml:space="preserve">[  ]</w:t>
      </w:r>
    </w:p>
    <w:p>
      <w:pPr>
        <w:spacing w:after="90"/>
      </w:pPr>
      <w:r>
        <w:rPr>
          <w:rFonts w:ascii="Calibri" w:cs="Calibri" w:eastAsia="Calibri" w:hAnsi="Calibri"/>
          <w:b/>
          <w:bCs/>
          <w:i w:val="false"/>
          <w:iCs w:val="false"/>
          <w:color w:val="1C1917"/>
          <w:sz w:val="21"/>
          <w:szCs w:val="21"/>
        </w:rPr>
        <w:t xml:space="preserve">Decided by: </w:t>
      </w:r>
      <w:r>
        <w:rPr>
          <w:rFonts w:ascii="Calibri" w:cs="Calibri" w:eastAsia="Calibri" w:hAnsi="Calibri"/>
          <w:b w:val="false"/>
          <w:bCs w:val="false"/>
          <w:i w:val="false"/>
          <w:iCs w:val="false"/>
          <w:color w:val="B98A2E"/>
          <w:sz w:val="21"/>
          <w:szCs w:val="21"/>
        </w:rPr>
        <w:t xml:space="preserve">[  ]</w:t>
      </w:r>
    </w:p>
    <w:p>
      <w:pPr>
        <w:spacing w:after="90"/>
      </w:pPr>
      <w:r>
        <w:rPr>
          <w:rFonts w:ascii="Calibri" w:cs="Calibri" w:eastAsia="Calibri" w:hAnsi="Calibri"/>
          <w:b/>
          <w:bCs/>
          <w:i w:val="false"/>
          <w:iCs w:val="false"/>
          <w:color w:val="1C1917"/>
          <w:sz w:val="21"/>
          <w:szCs w:val="21"/>
        </w:rPr>
        <w:t xml:space="preserve">Chose: </w:t>
      </w:r>
      <w:r>
        <w:rPr>
          <w:rFonts w:ascii="Calibri" w:cs="Calibri" w:eastAsia="Calibri" w:hAnsi="Calibri"/>
          <w:b w:val="false"/>
          <w:bCs w:val="false"/>
          <w:i w:val="false"/>
          <w:iCs w:val="false"/>
          <w:color w:val="B98A2E"/>
          <w:sz w:val="21"/>
          <w:szCs w:val="21"/>
        </w:rPr>
        <w:t xml:space="preserve">[  ]</w:t>
      </w:r>
    </w:p>
    <w:p>
      <w:pPr>
        <w:spacing w:after="90"/>
      </w:pPr>
      <w:r>
        <w:rPr>
          <w:rFonts w:ascii="Calibri" w:cs="Calibri" w:eastAsia="Calibri" w:hAnsi="Calibri"/>
          <w:b/>
          <w:bCs/>
          <w:i w:val="false"/>
          <w:iCs w:val="false"/>
          <w:color w:val="1C1917"/>
          <w:sz w:val="21"/>
          <w:szCs w:val="21"/>
        </w:rPr>
        <w:t xml:space="preserve">Rejected: </w:t>
      </w:r>
      <w:r>
        <w:rPr>
          <w:rFonts w:ascii="Calibri" w:cs="Calibri" w:eastAsia="Calibri" w:hAnsi="Calibri"/>
          <w:b w:val="false"/>
          <w:bCs w:val="false"/>
          <w:i w:val="false"/>
          <w:iCs w:val="false"/>
          <w:color w:val="B98A2E"/>
          <w:sz w:val="21"/>
          <w:szCs w:val="21"/>
        </w:rPr>
        <w:t xml:space="preserve">[  ]</w:t>
      </w:r>
    </w:p>
    <w:p>
      <w:pPr>
        <w:spacing w:after="90"/>
      </w:pPr>
      <w:r>
        <w:rPr>
          <w:rFonts w:ascii="Calibri" w:cs="Calibri" w:eastAsia="Calibri" w:hAnsi="Calibri"/>
          <w:b/>
          <w:bCs/>
          <w:i w:val="false"/>
          <w:iCs w:val="false"/>
          <w:color w:val="1C1917"/>
          <w:sz w:val="21"/>
          <w:szCs w:val="21"/>
        </w:rPr>
        <w:t xml:space="preserve">Why: </w:t>
      </w:r>
      <w:r>
        <w:rPr>
          <w:rFonts w:ascii="Calibri" w:cs="Calibri" w:eastAsia="Calibri" w:hAnsi="Calibri"/>
          <w:b w:val="false"/>
          <w:bCs w:val="false"/>
          <w:i w:val="false"/>
          <w:iCs w:val="false"/>
          <w:color w:val="B98A2E"/>
          <w:sz w:val="21"/>
          <w:szCs w:val="21"/>
        </w:rPr>
        <w:t xml:space="preserve">[  ]</w:t>
      </w:r>
    </w:p>
    <w:p>
      <w:pPr>
        <w:spacing w:after="90"/>
      </w:pPr>
      <w:r>
        <w:rPr>
          <w:rFonts w:ascii="Calibri" w:cs="Calibri" w:eastAsia="Calibri" w:hAnsi="Calibri"/>
          <w:b/>
          <w:bCs/>
          <w:i w:val="false"/>
          <w:iCs w:val="false"/>
          <w:color w:val="1C1917"/>
          <w:sz w:val="21"/>
          <w:szCs w:val="21"/>
        </w:rPr>
        <w:t xml:space="preserve">Cost we accept: </w:t>
      </w:r>
      <w:r>
        <w:rPr>
          <w:rFonts w:ascii="Calibri" w:cs="Calibri" w:eastAsia="Calibri" w:hAnsi="Calibri"/>
          <w:b w:val="false"/>
          <w:bCs w:val="false"/>
          <w:i w:val="false"/>
          <w:iCs w:val="false"/>
          <w:color w:val="B98A2E"/>
          <w:sz w:val="21"/>
          <w:szCs w:val="21"/>
        </w:rPr>
        <w:t xml:space="preserve">[  ]</w:t>
      </w:r>
    </w:p>
    <w:p>
      <w:pPr>
        <w:spacing w:after="90"/>
      </w:pPr>
      <w:r>
        <w:rPr>
          <w:rFonts w:ascii="Calibri" w:cs="Calibri" w:eastAsia="Calibri" w:hAnsi="Calibri"/>
          <w:b/>
          <w:bCs/>
          <w:i w:val="false"/>
          <w:iCs w:val="false"/>
          <w:color w:val="1C1917"/>
          <w:sz w:val="21"/>
          <w:szCs w:val="21"/>
        </w:rPr>
        <w:t xml:space="preserve">Status: </w:t>
      </w:r>
      <w:r>
        <w:rPr>
          <w:rFonts w:ascii="Calibri" w:cs="Calibri" w:eastAsia="Calibri" w:hAnsi="Calibri"/>
          <w:b w:val="false"/>
          <w:bCs w:val="false"/>
          <w:i w:val="false"/>
          <w:iCs w:val="false"/>
          <w:color w:val="B98A2E"/>
          <w:sz w:val="21"/>
          <w:szCs w:val="21"/>
        </w:rPr>
        <w:t xml:space="preserve">[ proposed / accepted / superseded / rejected ]</w:t>
      </w:r>
    </w:p>
    <w:p>
      <w:pPr>
        <w:spacing w:after="90"/>
      </w:pPr>
      <w:r>
        <w:rPr>
          <w:rFonts w:ascii="Calibri" w:cs="Calibri" w:eastAsia="Calibri" w:hAnsi="Calibri"/>
          <w:b/>
          <w:bCs/>
          <w:i w:val="false"/>
          <w:iCs w:val="false"/>
          <w:color w:val="1C1917"/>
          <w:sz w:val="21"/>
          <w:szCs w:val="21"/>
        </w:rPr>
        <w:t xml:space="preserve">Links: </w:t>
      </w:r>
      <w:r>
        <w:rPr>
          <w:rFonts w:ascii="Calibri" w:cs="Calibri" w:eastAsia="Calibri" w:hAnsi="Calibri"/>
          <w:b w:val="false"/>
          <w:bCs w:val="false"/>
          <w:i w:val="false"/>
          <w:iCs w:val="false"/>
          <w:color w:val="B98A2E"/>
          <w:sz w:val="21"/>
          <w:szCs w:val="21"/>
        </w:rPr>
        <w:t xml:space="preserve">[  ]</w:t>
      </w:r>
    </w:p>
    <w:p>
      <w:pPr>
        <w:spacing w:after="90"/>
      </w:pPr>
      <w:r>
        <w:rPr>
          <w:rFonts w:ascii="Calibri" w:cs="Calibri" w:eastAsia="Calibri" w:hAnsi="Calibri"/>
          <w:b/>
          <w:bCs/>
          <w:i w:val="false"/>
          <w:iCs w:val="false"/>
          <w:color w:val="1C1917"/>
          <w:sz w:val="21"/>
          <w:szCs w:val="21"/>
        </w:rPr>
        <w:t xml:space="preserve">Review or expiry: </w:t>
      </w:r>
      <w:r>
        <w:rPr>
          <w:rFonts w:ascii="Calibri" w:cs="Calibri" w:eastAsia="Calibri" w:hAnsi="Calibri"/>
          <w:b w:val="false"/>
          <w:bCs w:val="false"/>
          <w:i w:val="false"/>
          <w:iCs w:val="false"/>
          <w:color w:val="B98A2E"/>
          <w:sz w:val="21"/>
          <w:szCs w:val="21"/>
        </w:rPr>
        <w:t xml:space="preserve">[ only for kinds that carry a clock ]</w:t>
      </w:r>
    </w:p>
    <w:p>
      <w:r>
        <w:br w:type="page"/>
      </w:r>
    </w:p>
    <w:p>
      <w:pPr>
        <w:pStyle w:val="Heading1"/>
        <w:spacing w:after="110" w:before="340"/>
      </w:pPr>
      <w:r>
        <w:rPr>
          <w:rFonts w:ascii="Cambria" w:cs="Cambria" w:eastAsia="Cambria" w:hAnsi="Cambria"/>
          <w:b/>
          <w:bCs/>
          <w:color w:val="1C1917"/>
          <w:sz w:val="32"/>
          <w:szCs w:val="32"/>
        </w:rPr>
        <w:t xml:space="preserve">2. Which kind am I writing</w:t>
      </w:r>
    </w:p>
    <w:p>
      <w:pPr>
        <w:spacing w:after="150"/>
      </w:pPr>
      <w:r>
        <w:rPr>
          <w:rFonts w:ascii="Calibri" w:cs="Calibri" w:eastAsia="Calibri" w:hAnsi="Calibri"/>
          <w:i/>
          <w:iCs/>
          <w:color w:val="14606B"/>
          <w:sz w:val="19"/>
          <w:szCs w:val="19"/>
        </w:rPr>
        <w:t xml:space="preserve">The shape never changes. What varies is what the decision binds and how long it lives, and those two decide where it is filed.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900"/>
        <w:gridCol w:w="2200"/>
        <w:gridCol w:w="1600"/>
      </w:tblGrid>
      <w:tr>
        <w:tc>
          <w:tcPr>
            <w:tcW w:type="dxa" w:w="15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Kind</w:t>
            </w:r>
          </w:p>
        </w:tc>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Binds</w:t>
            </w:r>
          </w:p>
        </w:tc>
        <w:tc>
          <w:tcPr>
            <w:tcW w:type="dxa" w:w="19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Lifetime</w:t>
            </w:r>
          </w:p>
        </w:tc>
        <w:tc>
          <w:tcPr>
            <w:tcW w:type="dxa" w:w="2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Filed in</w:t>
            </w:r>
          </w:p>
        </w:tc>
        <w:tc>
          <w:tcPr>
            <w:tcW w:type="dxa" w:w="1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Decided by</w:t>
            </w:r>
          </w:p>
        </w:tc>
      </w:tr>
      <w:tr>
        <w:tc>
          <w:tcPr>
            <w:tcW w:type="dxa" w:w="15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Direction</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Future designs</w:t>
            </w:r>
          </w:p>
        </w:tc>
        <w:tc>
          <w:tcPr>
            <w:tcW w:type="dxa" w:w="19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Until superseded</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decision log</w:t>
            </w:r>
          </w:p>
        </w:tc>
        <w:tc>
          <w:tcPr>
            <w:tcW w:type="dxa" w:w="1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Board or design forum</w:t>
            </w:r>
          </w:p>
        </w:tc>
      </w:tr>
      <w:tr>
        <w:tc>
          <w:tcPr>
            <w:tcW w:type="dxa" w:w="15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Exception</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permitted violation of a rule still in force</w:t>
            </w:r>
          </w:p>
        </w:tc>
        <w:tc>
          <w:tcPr>
            <w:tcW w:type="dxa" w:w="19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To an expiry date</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exception register</w:t>
            </w:r>
          </w:p>
        </w:tc>
        <w:tc>
          <w:tcPr>
            <w:tcW w:type="dxa" w:w="1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body that set the rule</w:t>
            </w:r>
          </w:p>
        </w:tc>
      </w:tr>
      <w:tr>
        <w:tc>
          <w:tcPr>
            <w:tcW w:type="dxa" w:w="15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Classification</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value on a repository record</w:t>
            </w:r>
          </w:p>
        </w:tc>
        <w:tc>
          <w:tcPr>
            <w:tcW w:type="dxa" w:w="19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Until the fact changes</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 the record, rationale field plus change log</w:t>
            </w:r>
          </w:p>
        </w:tc>
        <w:tc>
          <w:tcPr>
            <w:tcW w:type="dxa" w:w="1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record's owner</w:t>
            </w:r>
          </w:p>
        </w:tc>
      </w:tr>
      <w:tr>
        <w:tc>
          <w:tcPr>
            <w:tcW w:type="dxa" w:w="15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Assessment</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judgement at a point in time</w:t>
            </w:r>
          </w:p>
        </w:tc>
        <w:tc>
          <w:tcPr>
            <w:tcW w:type="dxa" w:w="19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To the next cycle</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 the record, with rater and date</w:t>
            </w:r>
          </w:p>
        </w:tc>
        <w:tc>
          <w:tcPr>
            <w:tcW w:type="dxa" w:w="1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named rater</w:t>
            </w:r>
          </w:p>
        </w:tc>
      </w:tr>
      <w:tr>
        <w:tc>
          <w:tcPr>
            <w:tcW w:type="dxa" w:w="15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Disposition</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What we will do about a gap or request</w:t>
            </w:r>
          </w:p>
        </w:tc>
        <w:tc>
          <w:tcPr>
            <w:tcW w:type="dxa" w:w="19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Until done or review date</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register owning that flow</w:t>
            </w:r>
          </w:p>
        </w:tc>
        <w:tc>
          <w:tcPr>
            <w:tcW w:type="dxa" w:w="1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domain architect</w:t>
            </w:r>
          </w:p>
        </w:tc>
      </w:tr>
      <w:tr>
        <w:tc>
          <w:tcPr>
            <w:tcW w:type="dxa" w:w="15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Selection</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purchase, and a contract</w:t>
            </w:r>
          </w:p>
        </w:tc>
        <w:tc>
          <w:tcPr>
            <w:tcW w:type="dxa" w:w="19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contract term</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Decision log and procurement file</w:t>
            </w:r>
          </w:p>
        </w:tc>
        <w:tc>
          <w:tcPr>
            <w:tcW w:type="dxa" w:w="1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Steering body, on architecture's evidence</w:t>
            </w:r>
          </w:p>
        </w:tc>
      </w:tr>
    </w:tbl>
    <w:p>
      <w:pPr>
        <w:pStyle w:val="Heading2"/>
        <w:spacing w:after="70" w:before="220"/>
      </w:pPr>
      <w:r>
        <w:rPr>
          <w:rFonts w:ascii="Cambria" w:cs="Cambria" w:eastAsia="Cambria" w:hAnsi="Cambria"/>
          <w:b/>
          <w:bCs/>
          <w:color w:val="1C1917"/>
          <w:sz w:val="26"/>
          <w:szCs w:val="26"/>
        </w:rPr>
        <w:t xml:space="preserve">Two questions people ask immediately</w:t>
      </w:r>
    </w:p>
    <w:p>
      <w:pPr>
        <w:pStyle w:val="ListParagraph"/>
        <w:numPr>
          <w:ilvl w:val="0"/>
          <w:numId w:val="2"/>
        </w:numPr>
        <w:spacing w:after="55"/>
      </w:pPr>
      <w:r>
        <w:rPr>
          <w:rFonts w:ascii="Calibri" w:cs="Calibri" w:eastAsia="Calibri" w:hAnsi="Calibri"/>
          <w:color w:val="57534E"/>
          <w:sz w:val="21"/>
          <w:szCs w:val="21"/>
        </w:rPr>
        <w:t xml:space="preserve">Why not one register? Because the clocks differ. A register whose entries expire on four different clocks cannot be reviewed as one thing, and a review you cannot run is a register that rots.</w:t>
      </w:r>
    </w:p>
    <w:p>
      <w:pPr>
        <w:pStyle w:val="ListParagraph"/>
        <w:numPr>
          <w:ilvl w:val="0"/>
          <w:numId w:val="2"/>
        </w:numPr>
        <w:spacing w:after="55"/>
      </w:pPr>
      <w:r>
        <w:rPr>
          <w:rFonts w:ascii="Calibri" w:cs="Calibri" w:eastAsia="Calibri" w:hAnsi="Calibri"/>
          <w:color w:val="57534E"/>
          <w:sz w:val="21"/>
          <w:szCs w:val="21"/>
        </w:rPr>
        <w:t xml:space="preserve">Why not a template per kind? Because then nobody can mine them. The highest-return use of a log is reading a year of it for the same argument arriving three times, which tells you which principle you are missing.</w:t>
      </w:r>
    </w:p>
    <w:p>
      <w:pPr>
        <w:pStyle w:val="Heading2"/>
        <w:spacing w:after="70" w:before="220"/>
      </w:pPr>
      <w:r>
        <w:rPr>
          <w:rFonts w:ascii="Cambria" w:cs="Cambria" w:eastAsia="Cambria" w:hAnsi="Cambria"/>
          <w:b/>
          <w:bCs/>
          <w:color w:val="1C1917"/>
          <w:sz w:val="26"/>
          <w:szCs w:val="26"/>
        </w:rPr>
        <w:t xml:space="preserve">The scope test</w:t>
      </w:r>
    </w:p>
    <w:p>
      <w:pPr>
        <w:pBdr>
          <w:left w:val="single" w:color="E4E0D7" w:sz="12" w:space="12"/>
        </w:pBdr>
        <w:spacing w:after="110"/>
        <w:ind w:left="340"/>
      </w:pPr>
      <w:r>
        <w:rPr>
          <w:rFonts w:ascii="Calibri" w:cs="Calibri" w:eastAsia="Calibri" w:hAnsi="Calibri"/>
          <w:color w:val="57534E"/>
          <w:sz w:val="21"/>
          <w:szCs w:val="21"/>
        </w:rPr>
        <w:t xml:space="preserve">If two competent people with the same information could have decided differently, it is a decision and it needs a record. If there was only one possible answer, it is a fact, and it belongs in a field.</w:t>
      </w:r>
    </w:p>
    <w:p>
      <w:r>
        <w:br w:type="page"/>
      </w:r>
    </w:p>
    <w:p>
      <w:pPr>
        <w:pStyle w:val="Heading1"/>
        <w:spacing w:after="110" w:before="340"/>
      </w:pPr>
      <w:r>
        <w:rPr>
          <w:rFonts w:ascii="Cambria" w:cs="Cambria" w:eastAsia="Cambria" w:hAnsi="Cambria"/>
          <w:b/>
          <w:bCs/>
          <w:color w:val="1C1917"/>
          <w:sz w:val="32"/>
          <w:szCs w:val="32"/>
        </w:rPr>
        <w:t xml:space="preserve">3. Six worked records</w:t>
      </w:r>
    </w:p>
    <w:p>
      <w:pPr>
        <w:spacing w:after="150"/>
      </w:pPr>
      <w:r>
        <w:rPr>
          <w:rFonts w:ascii="Calibri" w:cs="Calibri" w:eastAsia="Calibri" w:hAnsi="Calibri"/>
          <w:i/>
          <w:iCs/>
          <w:color w:val="14606B"/>
          <w:sz w:val="19"/>
          <w:szCs w:val="19"/>
        </w:rPr>
        <w:t xml:space="preserve">Different kinds, different situations. Compressed, but this is the structure as used.</w:t>
      </w:r>
    </w:p>
    <w:p>
      <w:pPr>
        <w:spacing w:after="55" w:before="170"/>
      </w:pPr>
      <w:r>
        <w:rPr>
          <w:rFonts w:ascii="Calibri" w:cs="Calibri" w:eastAsia="Calibri" w:hAnsi="Calibri"/>
          <w:b/>
          <w:bCs/>
          <w:color w:val="14606B"/>
          <w:sz w:val="22"/>
          <w:szCs w:val="22"/>
        </w:rPr>
        <w:t xml:space="preserve">A classification call</w:t>
      </w:r>
    </w:p>
    <w:p>
      <w:pPr>
        <w:spacing w:after="60" w:before="200"/>
      </w:pPr>
      <w:r>
        <w:rPr>
          <w:rFonts w:ascii="Calibri" w:cs="Calibri" w:eastAsia="Calibri" w:hAnsi="Calibri"/>
          <w:b/>
          <w:bCs/>
          <w:color w:val="14606B"/>
          <w:spacing w:val="20"/>
          <w:sz w:val="20"/>
          <w:szCs w:val="20"/>
        </w:rPr>
        <w:t xml:space="preserve">CLS-014</w:t>
      </w:r>
      <w:r>
        <w:rPr>
          <w:rFonts w:ascii="Calibri" w:cs="Calibri" w:eastAsia="Calibri" w:hAnsi="Calibri"/>
          <w:color w:val="7D766E"/>
          <w:sz w:val="18"/>
          <w:szCs w:val="18"/>
        </w:rPr>
        <w:t xml:space="preserve">   classification  -  2026-02-11  -  portfolio owner</w:t>
      </w:r>
    </w:p>
    <w:p>
      <w:pPr>
        <w:spacing w:after="90"/>
      </w:pPr>
      <w:r>
        <w:rPr>
          <w:rFonts w:ascii="Calibri" w:cs="Calibri" w:eastAsia="Calibri" w:hAnsi="Calibri"/>
          <w:b/>
          <w:bCs/>
          <w:i w:val="false"/>
          <w:iCs w:val="false"/>
          <w:color w:val="1C1917"/>
          <w:sz w:val="21"/>
          <w:szCs w:val="21"/>
        </w:rPr>
        <w:t xml:space="preserve">Chose: </w:t>
      </w:r>
      <w:r>
        <w:rPr>
          <w:rFonts w:ascii="Calibri" w:cs="Calibri" w:eastAsia="Calibri" w:hAnsi="Calibri"/>
          <w:b w:val="false"/>
          <w:bCs w:val="false"/>
          <w:i w:val="false"/>
          <w:iCs w:val="false"/>
          <w:color w:val="57534E"/>
          <w:sz w:val="21"/>
          <w:szCs w:val="21"/>
        </w:rPr>
        <w:t xml:space="preserve">The group reporting layer is recorded as one application, not as three IT components.</w:t>
      </w:r>
    </w:p>
    <w:p>
      <w:pPr>
        <w:spacing w:after="90"/>
      </w:pPr>
      <w:r>
        <w:rPr>
          <w:rFonts w:ascii="Calibri" w:cs="Calibri" w:eastAsia="Calibri" w:hAnsi="Calibri"/>
          <w:b/>
          <w:bCs/>
          <w:i w:val="false"/>
          <w:iCs w:val="false"/>
          <w:color w:val="1C1917"/>
          <w:sz w:val="21"/>
          <w:szCs w:val="21"/>
        </w:rPr>
        <w:t xml:space="preserve">Rejected: </w:t>
      </w:r>
      <w:r>
        <w:rPr>
          <w:rFonts w:ascii="Calibri" w:cs="Calibri" w:eastAsia="Calibri" w:hAnsi="Calibri"/>
          <w:b w:val="false"/>
          <w:bCs w:val="false"/>
          <w:i w:val="false"/>
          <w:iCs w:val="false"/>
          <w:color w:val="57534E"/>
          <w:sz w:val="21"/>
          <w:szCs w:val="21"/>
        </w:rPr>
        <w:t xml:space="preserve">Recording the query engine, the semantic layer and the scheduler separately as components under a notional parent.</w:t>
      </w:r>
    </w:p>
    <w:p>
      <w:pPr>
        <w:spacing w:after="90"/>
      </w:pPr>
      <w:r>
        <w:rPr>
          <w:rFonts w:ascii="Calibri" w:cs="Calibri" w:eastAsia="Calibri" w:hAnsi="Calibri"/>
          <w:b/>
          <w:bCs/>
          <w:i w:val="false"/>
          <w:iCs w:val="false"/>
          <w:color w:val="1C1917"/>
          <w:sz w:val="21"/>
          <w:szCs w:val="21"/>
        </w:rPr>
        <w:t xml:space="preserve">Why: </w:t>
      </w:r>
      <w:r>
        <w:rPr>
          <w:rFonts w:ascii="Calibri" w:cs="Calibri" w:eastAsia="Calibri" w:hAnsi="Calibri"/>
          <w:b w:val="false"/>
          <w:bCs w:val="false"/>
          <w:i w:val="false"/>
          <w:iCs w:val="false"/>
          <w:color w:val="57534E"/>
          <w:sz w:val="21"/>
          <w:szCs w:val="21"/>
        </w:rPr>
        <w:t xml:space="preserve">Business users interact with it directly to do their work, which is the line we apply everywhere. The three parts have no independent lifecycle and no separate owner.</w:t>
      </w:r>
    </w:p>
    <w:p>
      <w:pPr>
        <w:spacing w:after="90"/>
      </w:pPr>
      <w:r>
        <w:rPr>
          <w:rFonts w:ascii="Calibri" w:cs="Calibri" w:eastAsia="Calibri" w:hAnsi="Calibri"/>
          <w:b/>
          <w:bCs/>
          <w:i w:val="false"/>
          <w:iCs w:val="false"/>
          <w:color w:val="1C1917"/>
          <w:sz w:val="21"/>
          <w:szCs w:val="21"/>
        </w:rPr>
        <w:t xml:space="preserve">Cost we accept: </w:t>
      </w:r>
      <w:r>
        <w:rPr>
          <w:rFonts w:ascii="Calibri" w:cs="Calibri" w:eastAsia="Calibri" w:hAnsi="Calibri"/>
          <w:b w:val="false"/>
          <w:bCs w:val="false"/>
          <w:i w:val="false"/>
          <w:iCs w:val="false"/>
          <w:color w:val="57534E"/>
          <w:sz w:val="21"/>
          <w:szCs w:val="21"/>
        </w:rPr>
        <w:t xml:space="preserve">We lose per-part end-of-support reporting; those dates move to a note on the record until the components model is extended.</w:t>
      </w:r>
    </w:p>
    <w:p>
      <w:pPr>
        <w:spacing w:after="90"/>
      </w:pPr>
      <w:r>
        <w:rPr>
          <w:rFonts w:ascii="Calibri" w:cs="Calibri" w:eastAsia="Calibri" w:hAnsi="Calibri"/>
          <w:b/>
          <w:bCs/>
          <w:i w:val="false"/>
          <w:iCs w:val="false"/>
          <w:color w:val="1C1917"/>
          <w:sz w:val="21"/>
          <w:szCs w:val="21"/>
        </w:rPr>
        <w:t xml:space="preserve">Status: </w:t>
      </w:r>
      <w:r>
        <w:rPr>
          <w:rFonts w:ascii="Calibri" w:cs="Calibri" w:eastAsia="Calibri" w:hAnsi="Calibri"/>
          <w:b w:val="false"/>
          <w:bCs w:val="false"/>
          <w:i w:val="false"/>
          <w:iCs w:val="false"/>
          <w:color w:val="57534E"/>
          <w:sz w:val="21"/>
          <w:szCs w:val="21"/>
        </w:rPr>
        <w:t xml:space="preserve">Active. Review when the semantic layer is replaced.</w:t>
      </w:r>
    </w:p>
    <w:p>
      <w:pPr>
        <w:spacing w:after="90"/>
      </w:pPr>
      <w:r>
        <w:rPr>
          <w:rFonts w:ascii="Calibri" w:cs="Calibri" w:eastAsia="Calibri" w:hAnsi="Calibri"/>
          <w:b/>
          <w:bCs/>
          <w:i w:val="false"/>
          <w:iCs w:val="false"/>
          <w:color w:val="1C1917"/>
          <w:sz w:val="21"/>
          <w:szCs w:val="21"/>
        </w:rPr>
        <w:t xml:space="preserve">Links: </w:t>
      </w:r>
      <w:r>
        <w:rPr>
          <w:rFonts w:ascii="Calibri" w:cs="Calibri" w:eastAsia="Calibri" w:hAnsi="Calibri"/>
          <w:b w:val="false"/>
          <w:bCs w:val="false"/>
          <w:i w:val="false"/>
          <w:iCs w:val="false"/>
          <w:color w:val="57534E"/>
          <w:sz w:val="21"/>
          <w:szCs w:val="21"/>
        </w:rPr>
        <w:t xml:space="preserve">APP-077, CAP-062, ITC-031</w:t>
      </w:r>
    </w:p>
    <w:p>
      <w:pPr>
        <w:spacing w:after="110"/>
      </w:pPr>
      <w:r>
        <w:rPr>
          <w:rFonts w:ascii="Calibri" w:cs="Calibri" w:eastAsia="Calibri" w:hAnsi="Calibri"/>
          <w:b w:val="false"/>
          <w:bCs w:val="false"/>
          <w:i/>
          <w:iCs/>
          <w:color w:val="7D766E"/>
          <w:sz w:val="21"/>
          <w:szCs w:val="21"/>
        </w:rPr>
        <w:t xml:space="preserve">Four minutes to write. It changes the application count, who receives the attestation, whose budget carries it, and how it appears in every quality report from now on.</w:t>
      </w:r>
    </w:p>
    <w:p>
      <w:pPr>
        <w:spacing w:after="55" w:before="170"/>
      </w:pPr>
      <w:r>
        <w:rPr>
          <w:rFonts w:ascii="Calibri" w:cs="Calibri" w:eastAsia="Calibri" w:hAnsi="Calibri"/>
          <w:b/>
          <w:bCs/>
          <w:color w:val="14606B"/>
          <w:sz w:val="22"/>
          <w:szCs w:val="22"/>
        </w:rPr>
        <w:t xml:space="preserve">A mastership move, which is two records</w:t>
      </w:r>
    </w:p>
    <w:p>
      <w:pPr>
        <w:spacing w:after="60" w:before="200"/>
      </w:pPr>
      <w:r>
        <w:rPr>
          <w:rFonts w:ascii="Calibri" w:cs="Calibri" w:eastAsia="Calibri" w:hAnsi="Calibri"/>
          <w:b/>
          <w:bCs/>
          <w:color w:val="14606B"/>
          <w:spacing w:val="20"/>
          <w:sz w:val="20"/>
          <w:szCs w:val="20"/>
        </w:rPr>
        <w:t xml:space="preserve">ADR-092</w:t>
      </w:r>
      <w:r>
        <w:rPr>
          <w:rFonts w:ascii="Calibri" w:cs="Calibri" w:eastAsia="Calibri" w:hAnsi="Calibri"/>
          <w:color w:val="7D766E"/>
          <w:sz w:val="18"/>
          <w:szCs w:val="18"/>
        </w:rPr>
        <w:t xml:space="preserve">   direction  -  2026-06-09  -  architecture board</w:t>
      </w:r>
    </w:p>
    <w:p>
      <w:pPr>
        <w:spacing w:after="90"/>
      </w:pPr>
      <w:r>
        <w:rPr>
          <w:rFonts w:ascii="Calibri" w:cs="Calibri" w:eastAsia="Calibri" w:hAnsi="Calibri"/>
          <w:b/>
          <w:bCs/>
          <w:i w:val="false"/>
          <w:iCs w:val="false"/>
          <w:color w:val="1C1917"/>
          <w:sz w:val="21"/>
          <w:szCs w:val="21"/>
        </w:rPr>
        <w:t xml:space="preserve">Chose: </w:t>
      </w:r>
      <w:r>
        <w:rPr>
          <w:rFonts w:ascii="Calibri" w:cs="Calibri" w:eastAsia="Calibri" w:hAnsi="Calibri"/>
          <w:b w:val="false"/>
          <w:bCs w:val="false"/>
          <w:i w:val="false"/>
          <w:iCs w:val="false"/>
          <w:color w:val="57534E"/>
          <w:sz w:val="21"/>
          <w:szCs w:val="21"/>
        </w:rPr>
        <w:t xml:space="preserve">Price becomes mastered by the side-by-side pricing service from the Q4 cutover.</w:t>
      </w:r>
    </w:p>
    <w:p>
      <w:pPr>
        <w:spacing w:after="90"/>
      </w:pPr>
      <w:r>
        <w:rPr>
          <w:rFonts w:ascii="Calibri" w:cs="Calibri" w:eastAsia="Calibri" w:hAnsi="Calibri"/>
          <w:b/>
          <w:bCs/>
          <w:i w:val="false"/>
          <w:iCs w:val="false"/>
          <w:color w:val="1C1917"/>
          <w:sz w:val="21"/>
          <w:szCs w:val="21"/>
        </w:rPr>
        <w:t xml:space="preserve">Rejected: </w:t>
      </w:r>
      <w:r>
        <w:rPr>
          <w:rFonts w:ascii="Calibri" w:cs="Calibri" w:eastAsia="Calibri" w:hAnsi="Calibri"/>
          <w:b w:val="false"/>
          <w:bCs w:val="false"/>
          <w:i w:val="false"/>
          <w:iCs w:val="false"/>
          <w:color w:val="57534E"/>
          <w:sz w:val="21"/>
          <w:szCs w:val="21"/>
        </w:rPr>
        <w:t xml:space="preserve">Keeping mastership in the core and extending the condition technique. Mastering price in commerce was raised and dismissed because commerce is a consumer in every other object.</w:t>
      </w:r>
    </w:p>
    <w:p>
      <w:pPr>
        <w:spacing w:after="90"/>
      </w:pPr>
      <w:r>
        <w:rPr>
          <w:rFonts w:ascii="Calibri" w:cs="Calibri" w:eastAsia="Calibri" w:hAnsi="Calibri"/>
          <w:b/>
          <w:bCs/>
          <w:i w:val="false"/>
          <w:iCs w:val="false"/>
          <w:color w:val="1C1917"/>
          <w:sz w:val="21"/>
          <w:szCs w:val="21"/>
        </w:rPr>
        <w:t xml:space="preserve">Why: </w:t>
      </w:r>
      <w:r>
        <w:rPr>
          <w:rFonts w:ascii="Calibri" w:cs="Calibri" w:eastAsia="Calibri" w:hAnsi="Calibri"/>
          <w:b w:val="false"/>
          <w:bCs w:val="false"/>
          <w:i w:val="false"/>
          <w:iCs w:val="false"/>
          <w:color w:val="57534E"/>
          <w:sz w:val="21"/>
          <w:szCs w:val="21"/>
        </w:rPr>
        <w:t xml:space="preserve">The pricing rules the business needs cannot be expressed in the standard condition technique without a core modification, and we are counting those down rather than up.</w:t>
      </w:r>
    </w:p>
    <w:p>
      <w:pPr>
        <w:spacing w:after="90"/>
      </w:pPr>
      <w:r>
        <w:rPr>
          <w:rFonts w:ascii="Calibri" w:cs="Calibri" w:eastAsia="Calibri" w:hAnsi="Calibri"/>
          <w:b/>
          <w:bCs/>
          <w:i w:val="false"/>
          <w:iCs w:val="false"/>
          <w:color w:val="1C1917"/>
          <w:sz w:val="21"/>
          <w:szCs w:val="21"/>
        </w:rPr>
        <w:t xml:space="preserve">Cost we accept: </w:t>
      </w:r>
      <w:r>
        <w:rPr>
          <w:rFonts w:ascii="Calibri" w:cs="Calibri" w:eastAsia="Calibri" w:hAnsi="Calibri"/>
          <w:b w:val="false"/>
          <w:bCs w:val="false"/>
          <w:i w:val="false"/>
          <w:iCs w:val="false"/>
          <w:color w:val="57534E"/>
          <w:sz w:val="21"/>
          <w:szCs w:val="21"/>
        </w:rPr>
        <w:t xml:space="preserve">An eight-week period in which two systems write price, and a reconciliation process nobody wants to run.</w:t>
      </w:r>
    </w:p>
    <w:p>
      <w:pPr>
        <w:spacing w:after="90"/>
      </w:pPr>
      <w:r>
        <w:rPr>
          <w:rFonts w:ascii="Calibri" w:cs="Calibri" w:eastAsia="Calibri" w:hAnsi="Calibri"/>
          <w:b/>
          <w:bCs/>
          <w:i w:val="false"/>
          <w:iCs w:val="false"/>
          <w:color w:val="1C1917"/>
          <w:sz w:val="21"/>
          <w:szCs w:val="21"/>
        </w:rPr>
        <w:t xml:space="preserve">Status: </w:t>
      </w:r>
      <w:r>
        <w:rPr>
          <w:rFonts w:ascii="Calibri" w:cs="Calibri" w:eastAsia="Calibri" w:hAnsi="Calibri"/>
          <w:b w:val="false"/>
          <w:bCs w:val="false"/>
          <w:i w:val="false"/>
          <w:iCs w:val="false"/>
          <w:color w:val="57534E"/>
          <w:sz w:val="21"/>
          <w:szCs w:val="21"/>
        </w:rPr>
        <w:t xml:space="preserve">Accepted. Supersedes ADR-041.</w:t>
      </w:r>
    </w:p>
    <w:p>
      <w:pPr>
        <w:spacing w:after="90"/>
      </w:pPr>
      <w:r>
        <w:rPr>
          <w:rFonts w:ascii="Calibri" w:cs="Calibri" w:eastAsia="Calibri" w:hAnsi="Calibri"/>
          <w:b/>
          <w:bCs/>
          <w:i w:val="false"/>
          <w:iCs w:val="false"/>
          <w:color w:val="1C1917"/>
          <w:sz w:val="21"/>
          <w:szCs w:val="21"/>
        </w:rPr>
        <w:t xml:space="preserve">Links: </w:t>
      </w:r>
      <w:r>
        <w:rPr>
          <w:rFonts w:ascii="Calibri" w:cs="Calibri" w:eastAsia="Calibri" w:hAnsi="Calibri"/>
          <w:b w:val="false"/>
          <w:bCs w:val="false"/>
          <w:i w:val="false"/>
          <w:iCs w:val="false"/>
          <w:color w:val="57534E"/>
          <w:sz w:val="21"/>
          <w:szCs w:val="21"/>
        </w:rPr>
        <w:t xml:space="preserve">OBJ-07, APP-002, APP-131, DOM-05, EXC-11</w:t>
      </w:r>
    </w:p>
    <w:p>
      <w:pPr>
        <w:spacing w:after="60" w:before="200"/>
      </w:pPr>
      <w:r>
        <w:rPr>
          <w:rFonts w:ascii="Calibri" w:cs="Calibri" w:eastAsia="Calibri" w:hAnsi="Calibri"/>
          <w:b/>
          <w:bCs/>
          <w:color w:val="14606B"/>
          <w:spacing w:val="20"/>
          <w:sz w:val="20"/>
          <w:szCs w:val="20"/>
        </w:rPr>
        <w:t xml:space="preserve">EXC-11</w:t>
      </w:r>
      <w:r>
        <w:rPr>
          <w:rFonts w:ascii="Calibri" w:cs="Calibri" w:eastAsia="Calibri" w:hAnsi="Calibri"/>
          <w:color w:val="7D766E"/>
          <w:sz w:val="18"/>
          <w:szCs w:val="18"/>
        </w:rPr>
        <w:t xml:space="preserve">   exception  -  2026-06-09  -  architecture board</w:t>
      </w:r>
    </w:p>
    <w:p>
      <w:pPr>
        <w:spacing w:after="90"/>
      </w:pPr>
      <w:r>
        <w:rPr>
          <w:rFonts w:ascii="Calibri" w:cs="Calibri" w:eastAsia="Calibri" w:hAnsi="Calibri"/>
          <w:b/>
          <w:bCs/>
          <w:i w:val="false"/>
          <w:iCs w:val="false"/>
          <w:color w:val="1C1917"/>
          <w:sz w:val="21"/>
          <w:szCs w:val="21"/>
        </w:rPr>
        <w:t xml:space="preserve">Deviates from: </w:t>
      </w:r>
      <w:r>
        <w:rPr>
          <w:rFonts w:ascii="Calibri" w:cs="Calibri" w:eastAsia="Calibri" w:hAnsi="Calibri"/>
          <w:b w:val="false"/>
          <w:bCs w:val="false"/>
          <w:i w:val="false"/>
          <w:iCs w:val="false"/>
          <w:color w:val="57534E"/>
          <w:sz w:val="21"/>
          <w:szCs w:val="21"/>
        </w:rPr>
        <w:t xml:space="preserve">One system of record per object (P-01).</w:t>
      </w:r>
    </w:p>
    <w:p>
      <w:pPr>
        <w:spacing w:after="90"/>
      </w:pPr>
      <w:r>
        <w:rPr>
          <w:rFonts w:ascii="Calibri" w:cs="Calibri" w:eastAsia="Calibri" w:hAnsi="Calibri"/>
          <w:b/>
          <w:bCs/>
          <w:i w:val="false"/>
          <w:iCs w:val="false"/>
          <w:color w:val="1C1917"/>
          <w:sz w:val="21"/>
          <w:szCs w:val="21"/>
        </w:rPr>
        <w:t xml:space="preserve">Why: </w:t>
      </w:r>
      <w:r>
        <w:rPr>
          <w:rFonts w:ascii="Calibri" w:cs="Calibri" w:eastAsia="Calibri" w:hAnsi="Calibri"/>
          <w:b w:val="false"/>
          <w:bCs w:val="false"/>
          <w:i w:val="false"/>
          <w:iCs w:val="false"/>
          <w:color w:val="57534E"/>
          <w:sz w:val="21"/>
          <w:szCs w:val="21"/>
        </w:rPr>
        <w:t xml:space="preserve">The cutover requires dual write for eight weeks.</w:t>
      </w:r>
    </w:p>
    <w:p>
      <w:pPr>
        <w:spacing w:after="90"/>
      </w:pPr>
      <w:r>
        <w:rPr>
          <w:rFonts w:ascii="Calibri" w:cs="Calibri" w:eastAsia="Calibri" w:hAnsi="Calibri"/>
          <w:b/>
          <w:bCs/>
          <w:i w:val="false"/>
          <w:iCs w:val="false"/>
          <w:color w:val="1C1917"/>
          <w:sz w:val="21"/>
          <w:szCs w:val="21"/>
        </w:rPr>
        <w:t xml:space="preserve">Expiry: </w:t>
      </w:r>
      <w:r>
        <w:rPr>
          <w:rFonts w:ascii="Calibri" w:cs="Calibri" w:eastAsia="Calibri" w:hAnsi="Calibri"/>
          <w:b w:val="false"/>
          <w:bCs w:val="false"/>
          <w:i w:val="false"/>
          <w:iCs w:val="false"/>
          <w:color w:val="57534E"/>
          <w:sz w:val="21"/>
          <w:szCs w:val="21"/>
        </w:rPr>
        <w:t xml:space="preserve">2026-12-24. Owner: named architect.</w:t>
      </w:r>
    </w:p>
    <w:p>
      <w:pPr>
        <w:spacing w:after="90"/>
      </w:pPr>
      <w:r>
        <w:rPr>
          <w:rFonts w:ascii="Calibri" w:cs="Calibri" w:eastAsia="Calibri" w:hAnsi="Calibri"/>
          <w:b/>
          <w:bCs/>
          <w:i w:val="false"/>
          <w:iCs w:val="false"/>
          <w:color w:val="1C1917"/>
          <w:sz w:val="21"/>
          <w:szCs w:val="21"/>
        </w:rPr>
        <w:t xml:space="preserve">Closure condition: </w:t>
      </w:r>
      <w:r>
        <w:rPr>
          <w:rFonts w:ascii="Calibri" w:cs="Calibri" w:eastAsia="Calibri" w:hAnsi="Calibri"/>
          <w:b w:val="false"/>
          <w:bCs w:val="false"/>
          <w:i w:val="false"/>
          <w:iCs w:val="false"/>
          <w:color w:val="57534E"/>
          <w:sz w:val="21"/>
          <w:szCs w:val="21"/>
        </w:rPr>
        <w:t xml:space="preserve">Old write path off, confirmed by the object owner.</w:t>
      </w:r>
    </w:p>
    <w:p>
      <w:pPr>
        <w:spacing w:after="110"/>
      </w:pPr>
      <w:r>
        <w:rPr>
          <w:rFonts w:ascii="Calibri" w:cs="Calibri" w:eastAsia="Calibri" w:hAnsi="Calibri"/>
          <w:b w:val="false"/>
          <w:bCs w:val="false"/>
          <w:i/>
          <w:iCs/>
          <w:color w:val="7D766E"/>
          <w:sz w:val="21"/>
          <w:szCs w:val="21"/>
        </w:rPr>
        <w:t xml:space="preserve">Filing them as one entry means either the direction expires, which is wrong, or the dual-write window never expires, which is how a three-week arrangement once ran for two years.</w:t>
      </w:r>
    </w:p>
    <w:p>
      <w:pPr>
        <w:spacing w:after="55" w:before="170"/>
      </w:pPr>
      <w:r>
        <w:rPr>
          <w:rFonts w:ascii="Calibri" w:cs="Calibri" w:eastAsia="Calibri" w:hAnsi="Calibri"/>
          <w:b/>
          <w:bCs/>
          <w:color w:val="14606B"/>
          <w:sz w:val="22"/>
          <w:szCs w:val="22"/>
        </w:rPr>
        <w:t xml:space="preserve">An assessment somebody disputed</w:t>
      </w:r>
    </w:p>
    <w:p>
      <w:pPr>
        <w:spacing w:after="60" w:before="200"/>
      </w:pPr>
      <w:r>
        <w:rPr>
          <w:rFonts w:ascii="Calibri" w:cs="Calibri" w:eastAsia="Calibri" w:hAnsi="Calibri"/>
          <w:b/>
          <w:bCs/>
          <w:color w:val="14606B"/>
          <w:spacing w:val="20"/>
          <w:sz w:val="20"/>
          <w:szCs w:val="20"/>
        </w:rPr>
        <w:t xml:space="preserve">ASM-2026-Q2-APP-118</w:t>
      </w:r>
      <w:r>
        <w:rPr>
          <w:rFonts w:ascii="Calibri" w:cs="Calibri" w:eastAsia="Calibri" w:hAnsi="Calibri"/>
          <w:color w:val="7D766E"/>
          <w:sz w:val="18"/>
          <w:szCs w:val="18"/>
        </w:rPr>
        <w:t xml:space="preserve">   assessment  -  2026-05-04  -  head of procurement operations</w:t>
      </w:r>
    </w:p>
    <w:p>
      <w:pPr>
        <w:spacing w:after="90"/>
      </w:pPr>
      <w:r>
        <w:rPr>
          <w:rFonts w:ascii="Calibri" w:cs="Calibri" w:eastAsia="Calibri" w:hAnsi="Calibri"/>
          <w:b/>
          <w:bCs/>
          <w:i w:val="false"/>
          <w:iCs w:val="false"/>
          <w:color w:val="1C1917"/>
          <w:sz w:val="21"/>
          <w:szCs w:val="21"/>
        </w:rPr>
        <w:t xml:space="preserve">Chose: </w:t>
      </w:r>
      <w:r>
        <w:rPr>
          <w:rFonts w:ascii="Calibri" w:cs="Calibri" w:eastAsia="Calibri" w:hAnsi="Calibri"/>
          <w:b w:val="false"/>
          <w:bCs w:val="false"/>
          <w:i w:val="false"/>
          <w:iCs w:val="false"/>
          <w:color w:val="57534E"/>
          <w:sz w:val="21"/>
          <w:szCs w:val="21"/>
        </w:rPr>
        <w:t xml:space="preserve">Business fit 2.</w:t>
      </w:r>
    </w:p>
    <w:p>
      <w:pPr>
        <w:spacing w:after="90"/>
      </w:pPr>
      <w:r>
        <w:rPr>
          <w:rFonts w:ascii="Calibri" w:cs="Calibri" w:eastAsia="Calibri" w:hAnsi="Calibri"/>
          <w:b/>
          <w:bCs/>
          <w:i w:val="false"/>
          <w:iCs w:val="false"/>
          <w:color w:val="1C1917"/>
          <w:sz w:val="21"/>
          <w:szCs w:val="21"/>
        </w:rPr>
        <w:t xml:space="preserve">Rejected: </w:t>
      </w:r>
      <w:r>
        <w:rPr>
          <w:rFonts w:ascii="Calibri" w:cs="Calibri" w:eastAsia="Calibri" w:hAnsi="Calibri"/>
          <w:b w:val="false"/>
          <w:bCs w:val="false"/>
          <w:i w:val="false"/>
          <w:iCs w:val="false"/>
          <w:color w:val="57534E"/>
          <w:sz w:val="21"/>
          <w:szCs w:val="21"/>
        </w:rPr>
        <w:t xml:space="preserve">3, which the sponsoring market argued for.</w:t>
      </w:r>
    </w:p>
    <w:p>
      <w:pPr>
        <w:spacing w:after="90"/>
      </w:pPr>
      <w:r>
        <w:rPr>
          <w:rFonts w:ascii="Calibri" w:cs="Calibri" w:eastAsia="Calibri" w:hAnsi="Calibri"/>
          <w:b/>
          <w:bCs/>
          <w:i w:val="false"/>
          <w:iCs w:val="false"/>
          <w:color w:val="1C1917"/>
          <w:sz w:val="21"/>
          <w:szCs w:val="21"/>
        </w:rPr>
        <w:t xml:space="preserve">Why: </w:t>
      </w:r>
      <w:r>
        <w:rPr>
          <w:rFonts w:ascii="Calibri" w:cs="Calibri" w:eastAsia="Calibri" w:hAnsi="Calibri"/>
          <w:b w:val="false"/>
          <w:bCs w:val="false"/>
          <w:i w:val="false"/>
          <w:iCs w:val="false"/>
          <w:color w:val="57534E"/>
          <w:sz w:val="21"/>
          <w:szCs w:val="21"/>
        </w:rPr>
        <w:t xml:space="preserve">The anchor for 3 requires "does the job with accepted workarounds". Two of the four core steps are done outside the system, in a spreadsheet maintained by one person. That is a core gap filled by a shadow tool, which is the published anchor for 2.</w:t>
      </w:r>
    </w:p>
    <w:p>
      <w:pPr>
        <w:spacing w:after="90"/>
      </w:pPr>
      <w:r>
        <w:rPr>
          <w:rFonts w:ascii="Calibri" w:cs="Calibri" w:eastAsia="Calibri" w:hAnsi="Calibri"/>
          <w:b/>
          <w:bCs/>
          <w:i w:val="false"/>
          <w:iCs w:val="false"/>
          <w:color w:val="1C1917"/>
          <w:sz w:val="21"/>
          <w:szCs w:val="21"/>
        </w:rPr>
        <w:t xml:space="preserve">Cost we accept: </w:t>
      </w:r>
      <w:r>
        <w:rPr>
          <w:rFonts w:ascii="Calibri" w:cs="Calibri" w:eastAsia="Calibri" w:hAnsi="Calibri"/>
          <w:b w:val="false"/>
          <w:bCs w:val="false"/>
          <w:i w:val="false"/>
          <w:iCs w:val="false"/>
          <w:color w:val="57534E"/>
          <w:sz w:val="21"/>
          <w:szCs w:val="21"/>
        </w:rPr>
        <w:t xml:space="preserve">The market reads this as criticism. Mitigation: the record names the anchor rather than an opinion, and the rating is revisited next cycle.</w:t>
      </w:r>
    </w:p>
    <w:p>
      <w:pPr>
        <w:spacing w:after="90"/>
      </w:pPr>
      <w:r>
        <w:rPr>
          <w:rFonts w:ascii="Calibri" w:cs="Calibri" w:eastAsia="Calibri" w:hAnsi="Calibri"/>
          <w:b/>
          <w:bCs/>
          <w:i w:val="false"/>
          <w:iCs w:val="false"/>
          <w:color w:val="1C1917"/>
          <w:sz w:val="21"/>
          <w:szCs w:val="21"/>
        </w:rPr>
        <w:t xml:space="preserve">Status: </w:t>
      </w:r>
      <w:r>
        <w:rPr>
          <w:rFonts w:ascii="Calibri" w:cs="Calibri" w:eastAsia="Calibri" w:hAnsi="Calibri"/>
          <w:b w:val="false"/>
          <w:bCs w:val="false"/>
          <w:i w:val="false"/>
          <w:iCs w:val="false"/>
          <w:color w:val="57534E"/>
          <w:sz w:val="21"/>
          <w:szCs w:val="21"/>
        </w:rPr>
        <w:t xml:space="preserve">Current. Next assessment Q4.</w:t>
      </w:r>
    </w:p>
    <w:p>
      <w:pPr>
        <w:spacing w:after="110"/>
      </w:pPr>
      <w:r>
        <w:rPr>
          <w:rFonts w:ascii="Calibri" w:cs="Calibri" w:eastAsia="Calibri" w:hAnsi="Calibri"/>
          <w:b w:val="false"/>
          <w:bCs w:val="false"/>
          <w:i/>
          <w:iCs/>
          <w:color w:val="7D766E"/>
          <w:sz w:val="21"/>
          <w:szCs w:val="21"/>
        </w:rPr>
        <w:t xml:space="preserve">This record turns a political argument into a technical one. The sponsor can still disagree, but now with the anchor, which was published in advance for exactly that reason.</w:t>
      </w:r>
    </w:p>
    <w:p>
      <w:pPr>
        <w:spacing w:after="55" w:before="170"/>
      </w:pPr>
      <w:r>
        <w:rPr>
          <w:rFonts w:ascii="Calibri" w:cs="Calibri" w:eastAsia="Calibri" w:hAnsi="Calibri"/>
          <w:b/>
          <w:bCs/>
          <w:color w:val="14606B"/>
          <w:sz w:val="22"/>
          <w:szCs w:val="22"/>
        </w:rPr>
        <w:t xml:space="preserve">A vendor selection</w:t>
      </w:r>
    </w:p>
    <w:p>
      <w:pPr>
        <w:spacing w:after="60" w:before="200"/>
      </w:pPr>
      <w:r>
        <w:rPr>
          <w:rFonts w:ascii="Calibri" w:cs="Calibri" w:eastAsia="Calibri" w:hAnsi="Calibri"/>
          <w:b/>
          <w:bCs/>
          <w:color w:val="14606B"/>
          <w:spacing w:val="20"/>
          <w:sz w:val="20"/>
          <w:szCs w:val="20"/>
        </w:rPr>
        <w:t xml:space="preserve">SEL-07</w:t>
      </w:r>
      <w:r>
        <w:rPr>
          <w:rFonts w:ascii="Calibri" w:cs="Calibri" w:eastAsia="Calibri" w:hAnsi="Calibri"/>
          <w:color w:val="7D766E"/>
          <w:sz w:val="18"/>
          <w:szCs w:val="18"/>
        </w:rPr>
        <w:t xml:space="preserve">   selection  -  2026-03-18  -  steering committee</w:t>
      </w:r>
    </w:p>
    <w:p>
      <w:pPr>
        <w:spacing w:after="90"/>
      </w:pPr>
      <w:r>
        <w:rPr>
          <w:rFonts w:ascii="Calibri" w:cs="Calibri" w:eastAsia="Calibri" w:hAnsi="Calibri"/>
          <w:b/>
          <w:bCs/>
          <w:i w:val="false"/>
          <w:iCs w:val="false"/>
          <w:color w:val="1C1917"/>
          <w:sz w:val="21"/>
          <w:szCs w:val="21"/>
        </w:rPr>
        <w:t xml:space="preserve">Chose: </w:t>
      </w:r>
      <w:r>
        <w:rPr>
          <w:rFonts w:ascii="Calibri" w:cs="Calibri" w:eastAsia="Calibri" w:hAnsi="Calibri"/>
          <w:b w:val="false"/>
          <w:bCs w:val="false"/>
          <w:i w:val="false"/>
          <w:iCs w:val="false"/>
          <w:color w:val="57534E"/>
          <w:sz w:val="21"/>
          <w:szCs w:val="21"/>
        </w:rPr>
        <w:t xml:space="preserve">Vendor B.</w:t>
      </w:r>
    </w:p>
    <w:p>
      <w:pPr>
        <w:spacing w:after="90"/>
      </w:pPr>
      <w:r>
        <w:rPr>
          <w:rFonts w:ascii="Calibri" w:cs="Calibri" w:eastAsia="Calibri" w:hAnsi="Calibri"/>
          <w:b/>
          <w:bCs/>
          <w:i w:val="false"/>
          <w:iCs w:val="false"/>
          <w:color w:val="1C1917"/>
          <w:sz w:val="21"/>
          <w:szCs w:val="21"/>
        </w:rPr>
        <w:t xml:space="preserve">Rejected: </w:t>
      </w:r>
      <w:r>
        <w:rPr>
          <w:rFonts w:ascii="Calibri" w:cs="Calibri" w:eastAsia="Calibri" w:hAnsi="Calibri"/>
          <w:b w:val="false"/>
          <w:bCs w:val="false"/>
          <w:i w:val="false"/>
          <w:iCs w:val="false"/>
          <w:color w:val="57534E"/>
          <w:sz w:val="21"/>
          <w:szCs w:val="21"/>
        </w:rPr>
        <w:t xml:space="preserve">Vendor A, excluded on mandatory criterion M-1: cannot operate against externally mastered customer data, demonstrated live on our instance rather than asserted. Vendor C withdrew at shortlist.</w:t>
      </w:r>
    </w:p>
    <w:p>
      <w:pPr>
        <w:spacing w:after="90"/>
      </w:pPr>
      <w:r>
        <w:rPr>
          <w:rFonts w:ascii="Calibri" w:cs="Calibri" w:eastAsia="Calibri" w:hAnsi="Calibri"/>
          <w:b/>
          <w:bCs/>
          <w:i w:val="false"/>
          <w:iCs w:val="false"/>
          <w:color w:val="1C1917"/>
          <w:sz w:val="21"/>
          <w:szCs w:val="21"/>
        </w:rPr>
        <w:t xml:space="preserve">Why: </w:t>
      </w:r>
      <w:r>
        <w:rPr>
          <w:rFonts w:ascii="Calibri" w:cs="Calibri" w:eastAsia="Calibri" w:hAnsi="Calibri"/>
          <w:b w:val="false"/>
          <w:bCs w:val="false"/>
          <w:i w:val="false"/>
          <w:iCs w:val="false"/>
          <w:color w:val="57534E"/>
          <w:sz w:val="21"/>
          <w:szCs w:val="21"/>
        </w:rPr>
        <w:t xml:space="preserve">B met all three mandatory criteria and scored 3.3 against A's 4.05 on weighted architecture criteria; the commercial gap was decisive at steering level and the architecture gap was judged recoverable through configuration.</w:t>
      </w:r>
    </w:p>
    <w:p>
      <w:pPr>
        <w:spacing w:after="90"/>
      </w:pPr>
      <w:r>
        <w:rPr>
          <w:rFonts w:ascii="Calibri" w:cs="Calibri" w:eastAsia="Calibri" w:hAnsi="Calibri"/>
          <w:b/>
          <w:bCs/>
          <w:i w:val="false"/>
          <w:iCs w:val="false"/>
          <w:color w:val="1C1917"/>
          <w:sz w:val="21"/>
          <w:szCs w:val="21"/>
        </w:rPr>
        <w:t xml:space="preserve">Cost we accept: </w:t>
      </w:r>
      <w:r>
        <w:rPr>
          <w:rFonts w:ascii="Calibri" w:cs="Calibri" w:eastAsia="Calibri" w:hAnsi="Calibri"/>
          <w:b w:val="false"/>
          <w:bCs w:val="false"/>
          <w:i w:val="false"/>
          <w:iCs w:val="false"/>
          <w:color w:val="57534E"/>
          <w:sz w:val="21"/>
          <w:szCs w:val="21"/>
        </w:rPr>
        <w:t xml:space="preserve">B's event publication is polling-based. We accept latency on stock updates, and the interface expectation is written into the contract.</w:t>
      </w:r>
    </w:p>
    <w:p>
      <w:pPr>
        <w:spacing w:after="90"/>
      </w:pPr>
      <w:r>
        <w:rPr>
          <w:rFonts w:ascii="Calibri" w:cs="Calibri" w:eastAsia="Calibri" w:hAnsi="Calibri"/>
          <w:b/>
          <w:bCs/>
          <w:i w:val="false"/>
          <w:iCs w:val="false"/>
          <w:color w:val="1C1917"/>
          <w:sz w:val="21"/>
          <w:szCs w:val="21"/>
        </w:rPr>
        <w:t xml:space="preserve">Status: </w:t>
      </w:r>
      <w:r>
        <w:rPr>
          <w:rFonts w:ascii="Calibri" w:cs="Calibri" w:eastAsia="Calibri" w:hAnsi="Calibri"/>
          <w:b w:val="false"/>
          <w:bCs w:val="false"/>
          <w:i w:val="false"/>
          <w:iCs w:val="false"/>
          <w:color w:val="57534E"/>
          <w:sz w:val="21"/>
          <w:szCs w:val="21"/>
        </w:rPr>
        <w:t xml:space="preserve">Accepted. Contract signed 2026-04-02. Review at renewal.</w:t>
      </w:r>
    </w:p>
    <w:p>
      <w:pPr>
        <w:spacing w:after="110"/>
      </w:pPr>
      <w:r>
        <w:rPr>
          <w:rFonts w:ascii="Calibri" w:cs="Calibri" w:eastAsia="Calibri" w:hAnsi="Calibri"/>
          <w:b w:val="false"/>
          <w:bCs w:val="false"/>
          <w:i/>
          <w:iCs/>
          <w:color w:val="7D766E"/>
          <w:sz w:val="21"/>
          <w:szCs w:val="21"/>
        </w:rPr>
        <w:t xml:space="preserve">In year three this record answers why not A with a demonstrated fact rather than a memory, and it names the accepted weakness before the account manager does.</w:t>
      </w:r>
    </w:p>
    <w:p>
      <w:pPr>
        <w:spacing w:after="55" w:before="170"/>
      </w:pPr>
      <w:r>
        <w:rPr>
          <w:rFonts w:ascii="Calibri" w:cs="Calibri" w:eastAsia="Calibri" w:hAnsi="Calibri"/>
          <w:b/>
          <w:bCs/>
          <w:color w:val="14606B"/>
          <w:sz w:val="22"/>
          <w:szCs w:val="22"/>
        </w:rPr>
        <w:t xml:space="preserve">An exception that should have closed</w:t>
      </w:r>
    </w:p>
    <w:p>
      <w:pPr>
        <w:spacing w:after="60" w:before="200"/>
      </w:pPr>
      <w:r>
        <w:rPr>
          <w:rFonts w:ascii="Calibri" w:cs="Calibri" w:eastAsia="Calibri" w:hAnsi="Calibri"/>
          <w:b/>
          <w:bCs/>
          <w:color w:val="14606B"/>
          <w:spacing w:val="20"/>
          <w:sz w:val="20"/>
          <w:szCs w:val="20"/>
        </w:rPr>
        <w:t xml:space="preserve">EXC-09</w:t>
      </w:r>
      <w:r>
        <w:rPr>
          <w:rFonts w:ascii="Calibri" w:cs="Calibri" w:eastAsia="Calibri" w:hAnsi="Calibri"/>
          <w:color w:val="7D766E"/>
          <w:sz w:val="18"/>
          <w:szCs w:val="18"/>
        </w:rPr>
        <w:t xml:space="preserve">   exception  -  raised 2024-09-30  -  renewed twice</w:t>
      </w:r>
    </w:p>
    <w:p>
      <w:pPr>
        <w:spacing w:after="90"/>
      </w:pPr>
      <w:r>
        <w:rPr>
          <w:rFonts w:ascii="Calibri" w:cs="Calibri" w:eastAsia="Calibri" w:hAnsi="Calibri"/>
          <w:b/>
          <w:bCs/>
          <w:i w:val="false"/>
          <w:iCs w:val="false"/>
          <w:color w:val="1C1917"/>
          <w:sz w:val="21"/>
          <w:szCs w:val="21"/>
        </w:rPr>
        <w:t xml:space="preserve">Deviates from: </w:t>
      </w:r>
      <w:r>
        <w:rPr>
          <w:rFonts w:ascii="Calibri" w:cs="Calibri" w:eastAsia="Calibri" w:hAnsi="Calibri"/>
          <w:b w:val="false"/>
          <w:bCs w:val="false"/>
          <w:i w:val="false"/>
          <w:iCs w:val="false"/>
          <w:color w:val="57534E"/>
          <w:sz w:val="21"/>
          <w:szCs w:val="21"/>
        </w:rPr>
        <w:t xml:space="preserve">No local supplier stores outside the core and the two registered market registers.</w:t>
      </w:r>
    </w:p>
    <w:p>
      <w:pPr>
        <w:spacing w:after="90"/>
      </w:pPr>
      <w:r>
        <w:rPr>
          <w:rFonts w:ascii="Calibri" w:cs="Calibri" w:eastAsia="Calibri" w:hAnsi="Calibri"/>
          <w:b/>
          <w:bCs/>
          <w:i w:val="false"/>
          <w:iCs w:val="false"/>
          <w:color w:val="1C1917"/>
          <w:sz w:val="21"/>
          <w:szCs w:val="21"/>
        </w:rPr>
        <w:t xml:space="preserve">History: </w:t>
      </w:r>
      <w:r>
        <w:rPr>
          <w:rFonts w:ascii="Calibri" w:cs="Calibri" w:eastAsia="Calibri" w:hAnsi="Calibri"/>
          <w:b w:val="false"/>
          <w:bCs w:val="false"/>
          <w:i w:val="false"/>
          <w:iCs w:val="false"/>
          <w:color w:val="57534E"/>
          <w:sz w:val="21"/>
          <w:szCs w:val="21"/>
        </w:rPr>
        <w:t xml:space="preserve">Raised as a six-month workaround pending the onboarding service. Renewed 2025-04 (service delayed). Renewed 2025-11 (no new reason recorded).</w:t>
      </w:r>
    </w:p>
    <w:p>
      <w:pPr>
        <w:spacing w:after="90"/>
      </w:pPr>
      <w:r>
        <w:rPr>
          <w:rFonts w:ascii="Calibri" w:cs="Calibri" w:eastAsia="Calibri" w:hAnsi="Calibri"/>
          <w:b/>
          <w:bCs/>
          <w:i w:val="false"/>
          <w:iCs w:val="false"/>
          <w:color w:val="1C1917"/>
          <w:sz w:val="21"/>
          <w:szCs w:val="21"/>
        </w:rPr>
        <w:t xml:space="preserve">Closing: </w:t>
      </w:r>
      <w:r>
        <w:rPr>
          <w:rFonts w:ascii="Calibri" w:cs="Calibri" w:eastAsia="Calibri" w:hAnsi="Calibri"/>
          <w:b w:val="false"/>
          <w:bCs w:val="false"/>
          <w:i w:val="false"/>
          <w:iCs w:val="false"/>
          <w:color w:val="57534E"/>
          <w:sz w:val="21"/>
          <w:szCs w:val="21"/>
        </w:rPr>
        <w:t xml:space="preserve">PRJ-0418 extends the onboarding service to this market. Closure confirmed at project close.</w:t>
      </w:r>
    </w:p>
    <w:p>
      <w:pPr>
        <w:spacing w:after="90"/>
      </w:pPr>
      <w:r>
        <w:rPr>
          <w:rFonts w:ascii="Calibri" w:cs="Calibri" w:eastAsia="Calibri" w:hAnsi="Calibri"/>
          <w:b/>
          <w:bCs/>
          <w:i w:val="false"/>
          <w:iCs w:val="false"/>
          <w:color w:val="1C1917"/>
          <w:sz w:val="21"/>
          <w:szCs w:val="21"/>
        </w:rPr>
        <w:t xml:space="preserve">Status: </w:t>
      </w:r>
      <w:r>
        <w:rPr>
          <w:rFonts w:ascii="Calibri" w:cs="Calibri" w:eastAsia="Calibri" w:hAnsi="Calibri"/>
          <w:b w:val="false"/>
          <w:bCs w:val="false"/>
          <w:i w:val="false"/>
          <w:iCs w:val="false"/>
          <w:color w:val="57534E"/>
          <w:sz w:val="21"/>
          <w:szCs w:val="21"/>
        </w:rPr>
        <w:t xml:space="preserve">Closed 2026-07-12.</w:t>
      </w:r>
    </w:p>
    <w:p>
      <w:pPr>
        <w:spacing w:after="110"/>
      </w:pPr>
      <w:r>
        <w:rPr>
          <w:rFonts w:ascii="Calibri" w:cs="Calibri" w:eastAsia="Calibri" w:hAnsi="Calibri"/>
          <w:b w:val="false"/>
          <w:bCs w:val="false"/>
          <w:i/>
          <w:iCs/>
          <w:color w:val="7D766E"/>
          <w:sz w:val="21"/>
          <w:szCs w:val="21"/>
        </w:rPr>
        <w:t xml:space="preserve">The second renewal is the tell. An extension without a new reason is a rejection with better manners, and renewals with no reasons attached mean the quarterly review has stopped happening.</w:t>
      </w:r>
    </w:p>
    <w:p>
      <w:pPr>
        <w:spacing w:after="55" w:before="170"/>
      </w:pPr>
      <w:r>
        <w:rPr>
          <w:rFonts w:ascii="Calibri" w:cs="Calibri" w:eastAsia="Calibri" w:hAnsi="Calibri"/>
          <w:b/>
          <w:bCs/>
          <w:color w:val="14606B"/>
          <w:sz w:val="22"/>
          <w:szCs w:val="22"/>
        </w:rPr>
        <w:t xml:space="preserve">A decision not to decide</w:t>
      </w:r>
    </w:p>
    <w:p>
      <w:pPr>
        <w:spacing w:after="60" w:before="200"/>
      </w:pPr>
      <w:r>
        <w:rPr>
          <w:rFonts w:ascii="Calibri" w:cs="Calibri" w:eastAsia="Calibri" w:hAnsi="Calibri"/>
          <w:b/>
          <w:bCs/>
          <w:color w:val="14606B"/>
          <w:spacing w:val="20"/>
          <w:sz w:val="20"/>
          <w:szCs w:val="20"/>
        </w:rPr>
        <w:t xml:space="preserve">ADR-088</w:t>
      </w:r>
      <w:r>
        <w:rPr>
          <w:rFonts w:ascii="Calibri" w:cs="Calibri" w:eastAsia="Calibri" w:hAnsi="Calibri"/>
          <w:color w:val="7D766E"/>
          <w:sz w:val="18"/>
          <w:szCs w:val="18"/>
        </w:rPr>
        <w:t xml:space="preserve">   direction  -  2026-01-27  -  design forum</w:t>
      </w:r>
    </w:p>
    <w:p>
      <w:pPr>
        <w:spacing w:after="90"/>
      </w:pPr>
      <w:r>
        <w:rPr>
          <w:rFonts w:ascii="Calibri" w:cs="Calibri" w:eastAsia="Calibri" w:hAnsi="Calibri"/>
          <w:b/>
          <w:bCs/>
          <w:i w:val="false"/>
          <w:iCs w:val="false"/>
          <w:color w:val="1C1917"/>
          <w:sz w:val="21"/>
          <w:szCs w:val="21"/>
        </w:rPr>
        <w:t xml:space="preserve">Chose: </w:t>
      </w:r>
      <w:r>
        <w:rPr>
          <w:rFonts w:ascii="Calibri" w:cs="Calibri" w:eastAsia="Calibri" w:hAnsi="Calibri"/>
          <w:b w:val="false"/>
          <w:bCs w:val="false"/>
          <w:i w:val="false"/>
          <w:iCs w:val="false"/>
          <w:color w:val="57534E"/>
          <w:sz w:val="21"/>
          <w:szCs w:val="21"/>
        </w:rPr>
        <w:t xml:space="preserve">Defer the choice of event broker until the second producer exists.</w:t>
      </w:r>
    </w:p>
    <w:p>
      <w:pPr>
        <w:spacing w:after="90"/>
      </w:pPr>
      <w:r>
        <w:rPr>
          <w:rFonts w:ascii="Calibri" w:cs="Calibri" w:eastAsia="Calibri" w:hAnsi="Calibri"/>
          <w:b/>
          <w:bCs/>
          <w:i w:val="false"/>
          <w:iCs w:val="false"/>
          <w:color w:val="1C1917"/>
          <w:sz w:val="21"/>
          <w:szCs w:val="21"/>
        </w:rPr>
        <w:t xml:space="preserve">Rejected: </w:t>
      </w:r>
      <w:r>
        <w:rPr>
          <w:rFonts w:ascii="Calibri" w:cs="Calibri" w:eastAsia="Calibri" w:hAnsi="Calibri"/>
          <w:b w:val="false"/>
          <w:bCs w:val="false"/>
          <w:i w:val="false"/>
          <w:iCs w:val="false"/>
          <w:color w:val="57534E"/>
          <w:sz w:val="21"/>
          <w:szCs w:val="21"/>
        </w:rPr>
        <w:t xml:space="preserve">Choosing now on the strength of one producer and a proof of concept.</w:t>
      </w:r>
    </w:p>
    <w:p>
      <w:pPr>
        <w:spacing w:after="90"/>
      </w:pPr>
      <w:r>
        <w:rPr>
          <w:rFonts w:ascii="Calibri" w:cs="Calibri" w:eastAsia="Calibri" w:hAnsi="Calibri"/>
          <w:b/>
          <w:bCs/>
          <w:i w:val="false"/>
          <w:iCs w:val="false"/>
          <w:color w:val="1C1917"/>
          <w:sz w:val="21"/>
          <w:szCs w:val="21"/>
        </w:rPr>
        <w:t xml:space="preserve">Why: </w:t>
      </w:r>
      <w:r>
        <w:rPr>
          <w:rFonts w:ascii="Calibri" w:cs="Calibri" w:eastAsia="Calibri" w:hAnsi="Calibri"/>
          <w:b w:val="false"/>
          <w:bCs w:val="false"/>
          <w:i w:val="false"/>
          <w:iCs w:val="false"/>
          <w:color w:val="57534E"/>
          <w:sz w:val="21"/>
          <w:szCs w:val="21"/>
        </w:rPr>
        <w:t xml:space="preserve">A single producer does not exercise the properties we would be selecting on. Choosing now means choosing on a demonstration rather than on load, replay and operability.</w:t>
      </w:r>
    </w:p>
    <w:p>
      <w:pPr>
        <w:spacing w:after="90"/>
      </w:pPr>
      <w:r>
        <w:rPr>
          <w:rFonts w:ascii="Calibri" w:cs="Calibri" w:eastAsia="Calibri" w:hAnsi="Calibri"/>
          <w:b/>
          <w:bCs/>
          <w:i w:val="false"/>
          <w:iCs w:val="false"/>
          <w:color w:val="1C1917"/>
          <w:sz w:val="21"/>
          <w:szCs w:val="21"/>
        </w:rPr>
        <w:t xml:space="preserve">Cost we accept: </w:t>
      </w:r>
      <w:r>
        <w:rPr>
          <w:rFonts w:ascii="Calibri" w:cs="Calibri" w:eastAsia="Calibri" w:hAnsi="Calibri"/>
          <w:b w:val="false"/>
          <w:bCs w:val="false"/>
          <w:i w:val="false"/>
          <w:iCs w:val="false"/>
          <w:color w:val="57534E"/>
          <w:sz w:val="21"/>
          <w:szCs w:val="21"/>
        </w:rPr>
        <w:t xml:space="preserve">The first producer ships on the existing queue and will migrate. Roughly two weeks of rework, accepted knowingly.</w:t>
      </w:r>
    </w:p>
    <w:p>
      <w:pPr>
        <w:spacing w:after="90"/>
      </w:pPr>
      <w:r>
        <w:rPr>
          <w:rFonts w:ascii="Calibri" w:cs="Calibri" w:eastAsia="Calibri" w:hAnsi="Calibri"/>
          <w:b/>
          <w:bCs/>
          <w:i w:val="false"/>
          <w:iCs w:val="false"/>
          <w:color w:val="1C1917"/>
          <w:sz w:val="21"/>
          <w:szCs w:val="21"/>
        </w:rPr>
        <w:t xml:space="preserve">Trigger: </w:t>
      </w:r>
      <w:r>
        <w:rPr>
          <w:rFonts w:ascii="Calibri" w:cs="Calibri" w:eastAsia="Calibri" w:hAnsi="Calibri"/>
          <w:b w:val="false"/>
          <w:bCs w:val="false"/>
          <w:i w:val="false"/>
          <w:iCs w:val="false"/>
          <w:color w:val="57534E"/>
          <w:sz w:val="21"/>
          <w:szCs w:val="21"/>
        </w:rPr>
        <w:t xml:space="preserve">Revisit when a second producer is funded, or by 2026-09-30, whichever is first.</w:t>
      </w:r>
    </w:p>
    <w:p>
      <w:pPr>
        <w:spacing w:after="110"/>
      </w:pPr>
      <w:r>
        <w:rPr>
          <w:rFonts w:ascii="Calibri" w:cs="Calibri" w:eastAsia="Calibri" w:hAnsi="Calibri"/>
          <w:b w:val="false"/>
          <w:bCs w:val="false"/>
          <w:i/>
          <w:iCs/>
          <w:color w:val="7D766E"/>
          <w:sz w:val="21"/>
          <w:szCs w:val="21"/>
        </w:rPr>
        <w:t xml:space="preserve">A deferral with a trigger and an accepted cost is a decision. Without them it is an unanswered question that returns next month, and the month after.</w:t>
      </w:r>
    </w:p>
    <w:p>
      <w:r>
        <w:br w:type="page"/>
      </w:r>
    </w:p>
    <w:p>
      <w:pPr>
        <w:pStyle w:val="Heading1"/>
        <w:spacing w:after="110" w:before="340"/>
      </w:pPr>
      <w:r>
        <w:rPr>
          <w:rFonts w:ascii="Cambria" w:cs="Cambria" w:eastAsia="Cambria" w:hAnsi="Cambria"/>
          <w:b/>
          <w:bCs/>
          <w:color w:val="1C1917"/>
          <w:sz w:val="32"/>
          <w:szCs w:val="32"/>
        </w:rPr>
        <w:t xml:space="preserve">4. Filing rules</w:t>
      </w:r>
    </w:p>
    <w:p>
      <w:pPr>
        <w:spacing w:after="150"/>
      </w:pPr>
      <w:r>
        <w:rPr>
          <w:rFonts w:ascii="Calibri" w:cs="Calibri" w:eastAsia="Calibri" w:hAnsi="Calibri"/>
          <w:i/>
          <w:iCs/>
          <w:color w:val="14606B"/>
          <w:sz w:val="19"/>
          <w:szCs w:val="19"/>
        </w:rPr>
        <w:t xml:space="preserve">Most failed attempts fail here rather than in the writing.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Rule</w:t>
            </w:r>
          </w:p>
        </w:tc>
        <w:tc>
          <w:tcPr>
            <w:tcW w:type="dxa" w:w="7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Detail</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Write it now</w:t>
            </w:r>
          </w:p>
        </w:tc>
        <w:tc>
          <w:tcPr>
            <w:tcW w:type="dxa" w:w="7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reasoning decays within days. What replaces it is a tidier reason the decider now believes, which is worse than nothing because it is confidently wrong</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 decider writes it</w:t>
            </w:r>
          </w:p>
        </w:tc>
        <w:tc>
          <w:tcPr>
            <w:tcW w:type="dxa" w:w="7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 the note-taker. An observer records the outcome accurately and loses the reason, because the reason lived in the decider's head and was probably never said aloud in full</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Twenty minutes</w:t>
            </w:r>
          </w:p>
        </w:tc>
        <w:tc>
          <w:tcPr>
            <w:tcW w:type="dxa" w:w="7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diagnostic, not a target. If you cannot state what was rejected and why, you are still deciding - say so in the room</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Route by clock</w:t>
            </w:r>
          </w:p>
        </w:tc>
        <w:tc>
          <w:tcPr>
            <w:tcW w:type="dxa" w:w="7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What it binds and for how long decides the register. See section 2</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Link everything</w:t>
            </w:r>
          </w:p>
        </w:tc>
        <w:tc>
          <w:tcPr>
            <w:tcW w:type="dxa" w:w="7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Applications, objects, domains, interfaces, projects. Without links the record surfaces only for people who already know it exists</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One sequence per register</w:t>
            </w:r>
          </w:p>
        </w:tc>
        <w:tc>
          <w:tcPr>
            <w:tcW w:type="dxa" w:w="7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Never reuse, never renumber. Gaps are evidence of nothing</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Never delete</w:t>
            </w:r>
          </w:p>
        </w:tc>
        <w:tc>
          <w:tcPr>
            <w:tcW w:type="dxa" w:w="7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Superseded records stay and point forward. Deleting destroys the only trail explaining why the landscape looks like this</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Not in slides, minutes, tickets or chat</w:t>
            </w:r>
          </w:p>
        </w:tc>
        <w:tc>
          <w:tcPr>
            <w:tcW w:type="dxa" w:w="7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All four are unsearchable at the moment of need, and all four are where decisions actually go</w:t>
            </w:r>
          </w:p>
        </w:tc>
      </w:tr>
    </w:tbl>
    <w:p>
      <w:pPr>
        <w:pStyle w:val="Heading2"/>
        <w:spacing w:after="70" w:before="220"/>
      </w:pPr>
      <w:r>
        <w:rPr>
          <w:rFonts w:ascii="Cambria" w:cs="Cambria" w:eastAsia="Cambria" w:hAnsi="Cambria"/>
          <w:b/>
          <w:bCs/>
          <w:color w:val="1C1917"/>
          <w:sz w:val="26"/>
          <w:szCs w:val="26"/>
        </w:rPr>
        <w:t xml:space="preserve">Where to keep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00"/>
      </w:tblGrid>
      <w:tr>
        <w:tc>
          <w:tcPr>
            <w:tcW w:type="dxa" w:w="2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Medium</w:t>
            </w:r>
          </w:p>
        </w:tc>
        <w:tc>
          <w:tcPr>
            <w:tcW w:type="dxa" w:w="3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Works because</w:t>
            </w:r>
          </w:p>
        </w:tc>
        <w:tc>
          <w:tcPr>
            <w:tcW w:type="dxa" w:w="3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Watch out for</w:t>
            </w:r>
          </w:p>
        </w:tc>
      </w:tr>
      <w:tr>
        <w:tc>
          <w:tcPr>
            <w:tcW w:type="dxa" w:w="2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Spreadsheet</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Searches, filters, exports. The right answer in year one</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Long text fields are awkward. Survivable</w:t>
            </w:r>
          </w:p>
        </w:tc>
      </w:tr>
      <w:tr>
        <w:tc>
          <w:tcPr>
            <w:tcW w:type="dxa" w:w="22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Markdown in a repository</w:t>
            </w:r>
          </w:p>
        </w:tc>
        <w:tc>
          <w:tcPr>
            <w:tcW w:type="dxa" w:w="3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Version history free, the diff shows how a decision evolved. Good for directions</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Classifications and assessments belong on repository records, so you end up with two homes</w:t>
            </w:r>
          </w:p>
        </w:tc>
      </w:tr>
      <w:tr>
        <w:tc>
          <w:tcPr>
            <w:tcW w:type="dxa" w:w="2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Wiki</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Fine if records are a defined page type with a fixed template and a numbered index</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Without that discipline they scatter and are unfindable within a year</w:t>
            </w:r>
          </w:p>
        </w:tc>
      </w:tr>
      <w:tr>
        <w:tc>
          <w:tcPr>
            <w:tcW w:type="dxa" w:w="22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 portfolio tool</w:t>
            </w:r>
          </w:p>
        </w:tc>
        <w:tc>
          <w:tcPr>
            <w:tcW w:type="dxa" w:w="3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Links to applications and objects are native rather than typed</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 worth buying for this reason alone</w:t>
            </w:r>
          </w:p>
        </w:tc>
      </w:tr>
    </w:tbl>
    <w:p>
      <w:pPr>
        <w:spacing w:after="110"/>
      </w:pPr>
      <w:r>
        <w:rPr>
          <w:rFonts w:ascii="Calibri" w:cs="Calibri" w:eastAsia="Calibri" w:hAnsi="Calibri"/>
          <w:b/>
          <w:bCs/>
          <w:i w:val="false"/>
          <w:iCs w:val="false"/>
          <w:color w:val="57534E"/>
          <w:sz w:val="21"/>
          <w:szCs w:val="21"/>
        </w:rPr>
        <w:t xml:space="preserve">What matters in every medium: a stable ID, a fixed shape, links to the things it touches, and one place that lists everything with an expiry this quarter. If your medium cannot do that fourth thing, it is not a register, it is a folder.</w:t>
      </w:r>
    </w:p>
    <w:p>
      <w:pPr>
        <w:pStyle w:val="Heading2"/>
        <w:spacing w:after="70" w:before="220"/>
      </w:pPr>
      <w:r>
        <w:rPr>
          <w:rFonts w:ascii="Cambria" w:cs="Cambria" w:eastAsia="Cambria" w:hAnsi="Cambria"/>
          <w:b/>
          <w:bCs/>
          <w:color w:val="1C1917"/>
          <w:sz w:val="26"/>
          <w:szCs w:val="26"/>
        </w:rPr>
        <w:t xml:space="preserve">Backfilling what was never recorded</w:t>
      </w:r>
    </w:p>
    <w:p>
      <w:pPr>
        <w:spacing w:after="110"/>
      </w:pPr>
      <w:r>
        <w:rPr>
          <w:rFonts w:ascii="Calibri" w:cs="Calibri" w:eastAsia="Calibri" w:hAnsi="Calibri"/>
          <w:b w:val="false"/>
          <w:bCs w:val="false"/>
          <w:i w:val="false"/>
          <w:iCs w:val="false"/>
          <w:color w:val="57534E"/>
          <w:sz w:val="21"/>
          <w:szCs w:val="21"/>
        </w:rPr>
        <w:t xml:space="preserve">Do not backfill everything. That is a project with no end and no reader. Backfill exactly the ones being re-litigated: when a question arrives for the second time, write the record then, dated today, marked as a reconstruction, naming who you asked. Ten of those a year covers most of what people actually argue about.</w:t>
      </w:r>
    </w:p>
    <w:p>
      <w:r>
        <w:br w:type="page"/>
      </w:r>
    </w:p>
    <w:p>
      <w:pPr>
        <w:pStyle w:val="Heading1"/>
        <w:spacing w:after="110" w:before="340"/>
      </w:pPr>
      <w:r>
        <w:rPr>
          <w:rFonts w:ascii="Cambria" w:cs="Cambria" w:eastAsia="Cambria" w:hAnsi="Cambria"/>
          <w:b/>
          <w:bCs/>
          <w:color w:val="1C1917"/>
          <w:sz w:val="32"/>
          <w:szCs w:val="32"/>
        </w:rPr>
        <w:t xml:space="preserve">5. Four situations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3000"/>
      </w:tblGrid>
      <w:tr>
        <w:tc>
          <w:tcPr>
            <w:tcW w:type="dxa" w:w="17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Situation</w:t>
            </w:r>
          </w:p>
        </w:tc>
        <w:tc>
          <w:tcPr>
            <w:tcW w:type="dxa" w:w="2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Dominates</w:t>
            </w:r>
          </w:p>
        </w:tc>
        <w:tc>
          <w:tcPr>
            <w:tcW w:type="dxa" w:w="25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Skip</w:t>
            </w:r>
          </w:p>
        </w:tc>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The move that pays</w:t>
            </w:r>
          </w:p>
        </w:tc>
      </w:tr>
      <w:tr>
        <w:tc>
          <w:tcPr>
            <w:tcW w:type="dxa" w:w="17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Greenfield</w:t>
            </w:r>
          </w:p>
        </w:tc>
        <w:tc>
          <w:tcPr>
            <w:tcW w:type="dxa" w:w="2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Directions and classifications</w:t>
            </w:r>
          </w:p>
        </w:tc>
        <w:tc>
          <w:tcPr>
            <w:tcW w:type="dxa" w:w="25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Exceptions - no rules yet to except from</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Record the boring definitional calls from day one: what counts as an application, what an object is called, where a domain ends</w:t>
            </w:r>
          </w:p>
        </w:tc>
      </w:tr>
      <w:tr>
        <w:tc>
          <w:tcPr>
            <w:tcW w:type="dxa" w:w="17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Federation</w:t>
            </w:r>
          </w:p>
        </w:tc>
        <w:tc>
          <w:tcPr>
            <w:tcW w:type="dxa" w:w="2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Directions written as offers, dispositions</w:t>
            </w:r>
          </w:p>
        </w:tc>
        <w:tc>
          <w:tcPr>
            <w:tcW w:type="dxa" w:w="25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Exceptions - a unit choosing differently is not deviating</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Record what units decided locally, with their names. Four units choosing the same shape independently is the most persuasive artifact available</w:t>
            </w:r>
          </w:p>
        </w:tc>
      </w:tr>
      <w:tr>
        <w:tc>
          <w:tcPr>
            <w:tcW w:type="dxa" w:w="17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Programme under pressure</w:t>
            </w:r>
          </w:p>
        </w:tc>
        <w:tc>
          <w:tcPr>
            <w:tcW w:type="dxa" w:w="2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Dispositions and exceptions, at volume</w:t>
            </w:r>
          </w:p>
        </w:tc>
        <w:tc>
          <w:tcPr>
            <w:tcW w:type="dxa" w:w="25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Prose, and anything binding only this week</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standing line at the end of every call: what did we just decide, and who is writing it</w:t>
            </w:r>
          </w:p>
        </w:tc>
      </w:tr>
      <w:tr>
        <w:tc>
          <w:tcPr>
            <w:tcW w:type="dxa" w:w="17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Regulated or audited</w:t>
            </w:r>
          </w:p>
        </w:tc>
        <w:tc>
          <w:tcPr>
            <w:tcW w:type="dxa" w:w="2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Classifications and selections, plus personal data, residency, retention</w:t>
            </w:r>
          </w:p>
        </w:tc>
        <w:tc>
          <w:tcPr>
            <w:tcW w:type="dxa" w:w="25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Nothing - that is the cost</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Link records to objects and components, so residency questions become a filter rather than an investigation</w:t>
            </w:r>
          </w:p>
        </w:tc>
      </w:tr>
    </w:tbl>
    <w:p>
      <w:pPr>
        <w:pStyle w:val="Heading2"/>
        <w:spacing w:after="70" w:before="220"/>
      </w:pPr>
      <w:r>
        <w:rPr>
          <w:rFonts w:ascii="Cambria" w:cs="Cambria" w:eastAsia="Cambria" w:hAnsi="Cambria"/>
          <w:b/>
          <w:bCs/>
          <w:color w:val="1C1917"/>
          <w:sz w:val="26"/>
          <w:szCs w:val="26"/>
        </w:rPr>
        <w:t xml:space="preserve">The line for the definition of done</w:t>
      </w:r>
    </w:p>
    <w:p>
      <w:pPr>
        <w:pBdr>
          <w:left w:val="single" w:color="E4E0D7" w:sz="12" w:space="12"/>
        </w:pBdr>
        <w:spacing w:after="110"/>
        <w:ind w:left="340"/>
      </w:pPr>
      <w:r>
        <w:rPr>
          <w:rFonts w:ascii="Calibri" w:cs="Calibri" w:eastAsia="Calibri" w:hAnsi="Calibri"/>
          <w:color w:val="57534E"/>
          <w:sz w:val="21"/>
          <w:szCs w:val="21"/>
        </w:rPr>
        <w:t xml:space="preserve">Decisions taken during the build are recorded before closure, in the register their clock belongs to, linked to what they touch.</w:t>
      </w:r>
    </w:p>
    <w:p>
      <w:pPr>
        <w:pStyle w:val="Heading2"/>
        <w:spacing w:after="70" w:before="220"/>
      </w:pPr>
      <w:r>
        <w:rPr>
          <w:rFonts w:ascii="Cambria" w:cs="Cambria" w:eastAsia="Cambria" w:hAnsi="Cambria"/>
          <w:b/>
          <w:bCs/>
          <w:color w:val="1C1917"/>
          <w:sz w:val="26"/>
          <w:szCs w:val="26"/>
        </w:rPr>
        <w:t xml:space="preserve">The first month</w:t>
      </w:r>
    </w:p>
    <w:p>
      <w:pPr>
        <w:pStyle w:val="ListParagraph"/>
        <w:numPr>
          <w:ilvl w:val="0"/>
          <w:numId w:val="2"/>
        </w:numPr>
        <w:spacing w:after="55"/>
      </w:pPr>
      <w:r>
        <w:rPr>
          <w:rFonts w:ascii="Calibri" w:cs="Calibri" w:eastAsia="Calibri" w:hAnsi="Calibri"/>
          <w:color w:val="57534E"/>
          <w:sz w:val="21"/>
          <w:szCs w:val="21"/>
        </w:rPr>
        <w:t xml:space="preserve">Week one: fix the shape of the log you already half have. Add the two fields almost certainly missing - what was rejected, and what this costs us.</w:t>
      </w:r>
    </w:p>
    <w:p>
      <w:pPr>
        <w:pStyle w:val="ListParagraph"/>
        <w:numPr>
          <w:ilvl w:val="0"/>
          <w:numId w:val="2"/>
        </w:numPr>
        <w:spacing w:after="55"/>
      </w:pPr>
      <w:r>
        <w:rPr>
          <w:rFonts w:ascii="Calibri" w:cs="Calibri" w:eastAsia="Calibri" w:hAnsi="Calibri"/>
          <w:color w:val="57534E"/>
          <w:sz w:val="21"/>
          <w:szCs w:val="21"/>
        </w:rPr>
        <w:t xml:space="preserve">Week two: write records for the next five decisions as they happen, in the room, twenty minutes each. Do not announce a programme.</w:t>
      </w:r>
    </w:p>
    <w:p>
      <w:pPr>
        <w:pStyle w:val="ListParagraph"/>
        <w:numPr>
          <w:ilvl w:val="0"/>
          <w:numId w:val="2"/>
        </w:numPr>
        <w:spacing w:after="55"/>
      </w:pPr>
      <w:r>
        <w:rPr>
          <w:rFonts w:ascii="Calibri" w:cs="Calibri" w:eastAsia="Calibri" w:hAnsi="Calibri"/>
          <w:color w:val="57534E"/>
          <w:sz w:val="21"/>
          <w:szCs w:val="21"/>
        </w:rPr>
        <w:t xml:space="preserve">Week three: add the links, so records surface in impact analysis later.</w:t>
      </w:r>
    </w:p>
    <w:p>
      <w:pPr>
        <w:pStyle w:val="ListParagraph"/>
        <w:numPr>
          <w:ilvl w:val="0"/>
          <w:numId w:val="2"/>
        </w:numPr>
        <w:spacing w:after="55"/>
      </w:pPr>
      <w:r>
        <w:rPr>
          <w:rFonts w:ascii="Calibri" w:cs="Calibri" w:eastAsia="Calibri" w:hAnsi="Calibri"/>
          <w:color w:val="57534E"/>
          <w:sz w:val="21"/>
          <w:szCs w:val="21"/>
        </w:rPr>
        <w:t xml:space="preserve">Week four: add the definition-of-done line, and put expiring records on the quarterly agenda that already exists.</w:t>
      </w:r>
    </w:p>
    <w:p>
      <w:pPr>
        <w:spacing w:after="110"/>
      </w:pPr>
      <w:r>
        <w:rPr>
          <w:rFonts w:ascii="Calibri" w:cs="Calibri" w:eastAsia="Calibri" w:hAnsi="Calibri"/>
          <w:b w:val="false"/>
          <w:bCs w:val="false"/>
          <w:i/>
          <w:iCs/>
          <w:color w:val="57534E"/>
          <w:sz w:val="21"/>
          <w:szCs w:val="21"/>
        </w:rPr>
        <w:t xml:space="preserve">What not to do: build a tool, define six registers before you have entries for two, mandate retrospective backfill, or write a policy. The policy is four sentences and can wait until the habit is real.</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753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2026-08-20T10:09:30.556Z</dcterms:created>
  <dcterms:modified xsi:type="dcterms:W3CDTF">2026-08-20T10:09:30.561Z</dcterms:modified>
</cp:coreProperties>
</file>

<file path=docProps/custom.xml><?xml version="1.0" encoding="utf-8"?>
<Properties xmlns="http://schemas.openxmlformats.org/officeDocument/2006/custom-properties" xmlns:vt="http://schemas.openxmlformats.org/officeDocument/2006/docPropsVTypes"/>
</file>