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Calibri" w:cs="Calibri" w:eastAsia="Calibri" w:hAnsi="Calibri"/>
          <w:b/>
          <w:bCs/>
          <w:color w:val="14606B"/>
          <w:spacing w:val="40"/>
          <w:sz w:val="20"/>
          <w:szCs w:val="20"/>
        </w:rPr>
        <w:t xml:space="preserve">DOMAINS AND INTAKE</w:t>
      </w:r>
    </w:p>
    <w:p>
      <w:pPr>
        <w:spacing w:after="150"/>
      </w:pPr>
      <w:r>
        <w:rPr>
          <w:rFonts w:ascii="Cambria" w:cs="Cambria" w:eastAsia="Cambria" w:hAnsi="Cambria"/>
          <w:b/>
          <w:bCs/>
          <w:color w:val="1C1917"/>
          <w:sz w:val="44"/>
          <w:szCs w:val="44"/>
        </w:rPr>
        <w:t xml:space="preserve">Defining domains, addressing projects, and attaching to the delivery lifecycle</w:t>
      </w:r>
    </w:p>
    <w:p>
      <w:pPr>
        <w:spacing w:after="110"/>
      </w:pPr>
      <w:r>
        <w:rPr>
          <w:rFonts w:ascii="Calibri" w:cs="Calibri" w:eastAsia="Calibri" w:hAnsi="Calibri"/>
          <w:b w:val="false"/>
          <w:bCs w:val="false"/>
          <w:i w:val="false"/>
          <w:iCs w:val="false"/>
          <w:color w:val="57534E"/>
          <w:sz w:val="21"/>
          <w:szCs w:val="21"/>
        </w:rPr>
        <w:t xml:space="preserve">The written half: the domain definition test, a worked domain charter, the seam register, the five intake fields with their assignment rules, the five architecture touchpoints mapped onto a generic delivery lifecycle, the architecture input sheet, the closure checklist, and the sixty-day plan.</w:t>
      </w:r>
    </w:p>
    <w:p>
      <w:pPr>
        <w:spacing w:after="110"/>
      </w:pPr>
      <w:r>
        <w:rPr>
          <w:rFonts w:ascii="Calibri" w:cs="Calibri" w:eastAsia="Calibri" w:hAnsi="Calibri"/>
          <w:b w:val="false"/>
          <w:bCs w:val="false"/>
          <w:i w:val="false"/>
          <w:iCs w:val="false"/>
          <w:color w:val="7D766E"/>
          <w:sz w:val="21"/>
          <w:szCs w:val="21"/>
        </w:rPr>
        <w:t xml:space="preserve">Companion to the constraint and scoring workbook, and to the article at mehdibamou.com/publications/every-project-needs-an-address. Free to use and adapt.</w:t>
      </w:r>
    </w:p>
    <w:p>
      <w:r>
        <w:br w:type="page"/>
      </w:r>
    </w:p>
    <w:p>
      <w:pPr>
        <w:pStyle w:val="Heading1"/>
        <w:spacing w:after="110" w:before="340"/>
      </w:pPr>
      <w:r>
        <w:rPr>
          <w:rFonts w:ascii="Cambria" w:cs="Cambria" w:eastAsia="Cambria" w:hAnsi="Cambria"/>
          <w:b/>
          <w:bCs/>
          <w:color w:val="1C1917"/>
          <w:sz w:val="32"/>
          <w:szCs w:val="32"/>
        </w:rPr>
        <w:t xml:space="preserve">1. Defining domains</w:t>
      </w:r>
    </w:p>
    <w:p>
      <w:pPr>
        <w:spacing w:after="150"/>
      </w:pPr>
      <w:r>
        <w:rPr>
          <w:rFonts w:ascii="Calibri" w:cs="Calibri" w:eastAsia="Calibri" w:hAnsi="Calibri"/>
          <w:i/>
          <w:iCs/>
          <w:color w:val="14606B"/>
          <w:sz w:val="19"/>
          <w:szCs w:val="19"/>
        </w:rPr>
        <w:t xml:space="preserve">Every impact assessment for the next three years starts from this model, which is why a bad one is expensive for a long time.</w:t>
      </w:r>
    </w:p>
    <w:p>
      <w:pPr>
        <w:spacing w:after="110"/>
      </w:pPr>
      <w:r>
        <w:rPr>
          <w:rFonts w:ascii="Calibri" w:cs="Calibri" w:eastAsia="Calibri" w:hAnsi="Calibri"/>
          <w:b/>
          <w:bCs/>
          <w:i w:val="false"/>
          <w:iCs w:val="false"/>
          <w:color w:val="57534E"/>
          <w:sz w:val="21"/>
          <w:szCs w:val="21"/>
        </w:rPr>
        <w:t xml:space="preserve">A domain is a slice of the business capability map with one accountable owner, a stable set of core objects, and a target architecture. Three properties, each doing work.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000"/>
      </w:tblGrid>
      <w:tr>
        <w:tc>
          <w:tcPr>
            <w:tcW w:type="dxa" w:w="24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Property</w:t>
            </w:r>
          </w:p>
        </w:tc>
        <w:tc>
          <w:tcPr>
            <w:tcW w:type="dxa" w:w="44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What it means</w:t>
            </w:r>
          </w:p>
        </w:tc>
        <w:tc>
          <w:tcPr>
            <w:tcW w:type="dxa" w:w="3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The test it has to pass</w:t>
            </w:r>
          </w:p>
        </w:tc>
      </w:tr>
      <w:tr>
        <w:tc>
          <w:tcPr>
            <w:tcW w:type="dxa" w:w="24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One accountable owner</w:t>
            </w:r>
          </w:p>
        </w:tc>
        <w:tc>
          <w:tcPr>
            <w:tcW w:type="dxa" w:w="4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person, not a committee, senior enough to have a budget conversation</w:t>
            </w:r>
          </w:p>
        </w:tc>
        <w:tc>
          <w:tcPr>
            <w:tcW w:type="dxa" w:w="3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If two names appear, the boundary is in the wrong place</w:t>
            </w:r>
          </w:p>
        </w:tc>
      </w:tr>
      <w:tr>
        <w:tc>
          <w:tcPr>
            <w:tcW w:type="dxa" w:w="24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A stable set of core objects</w:t>
            </w:r>
          </w:p>
        </w:tc>
        <w:tc>
          <w:tcPr>
            <w:tcW w:type="dxa" w:w="4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Order management owns the sales order. Source to contract owns the supplier and the contract</w:t>
            </w:r>
          </w:p>
        </w:tc>
        <w:tc>
          <w:tcPr>
            <w:tcW w:type="dxa" w:w="3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objects are named, and no object appears under two domains</w:t>
            </w:r>
          </w:p>
        </w:tc>
      </w:tr>
      <w:tr>
        <w:tc>
          <w:tcPr>
            <w:tcW w:type="dxa" w:w="24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A target architecture</w:t>
            </w:r>
          </w:p>
        </w:tc>
        <w:tc>
          <w:tcPr>
            <w:tcW w:type="dxa" w:w="4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Where this area is going, thin enough to fit on a page. Not a picture of today</w:t>
            </w:r>
          </w:p>
        </w:tc>
        <w:tc>
          <w:tcPr>
            <w:tcW w:type="dxa" w:w="3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Somebody could compare a project against it in twenty minutes</w:t>
            </w:r>
          </w:p>
        </w:tc>
      </w:tr>
    </w:tbl>
    <w:p>
      <w:pPr>
        <w:pStyle w:val="Heading2"/>
        <w:spacing w:after="70" w:before="220"/>
      </w:pPr>
      <w:r>
        <w:rPr>
          <w:rFonts w:ascii="Cambria" w:cs="Cambria" w:eastAsia="Cambria" w:hAnsi="Cambria"/>
          <w:b/>
          <w:bCs/>
          <w:color w:val="1C1917"/>
          <w:sz w:val="26"/>
          <w:szCs w:val="26"/>
        </w:rPr>
        <w:t xml:space="preserve">Three ways it goes wrong</w:t>
      </w:r>
    </w:p>
    <w:p>
      <w:pPr>
        <w:pStyle w:val="ListParagraph"/>
        <w:numPr>
          <w:ilvl w:val="0"/>
          <w:numId w:val="2"/>
        </w:numPr>
        <w:spacing w:after="55"/>
      </w:pPr>
      <w:r>
        <w:rPr>
          <w:rFonts w:ascii="Calibri" w:cs="Calibri" w:eastAsia="Calibri" w:hAnsi="Calibri"/>
          <w:color w:val="57534E"/>
          <w:sz w:val="21"/>
          <w:szCs w:val="21"/>
        </w:rPr>
        <w:t xml:space="preserve">Mirroring the org chart. Org charts change roughly every eighteen months; capabilities change on a timescale of years. Draw the domains on the capability map and let the org chart drift underneath them.</w:t>
      </w:r>
    </w:p>
    <w:p>
      <w:pPr>
        <w:pStyle w:val="ListParagraph"/>
        <w:numPr>
          <w:ilvl w:val="0"/>
          <w:numId w:val="2"/>
        </w:numPr>
        <w:spacing w:after="55"/>
      </w:pPr>
      <w:r>
        <w:rPr>
          <w:rFonts w:ascii="Calibri" w:cs="Calibri" w:eastAsia="Calibri" w:hAnsi="Calibri"/>
          <w:color w:val="57534E"/>
          <w:sz w:val="21"/>
          <w:szCs w:val="21"/>
        </w:rPr>
        <w:t xml:space="preserve">Mirroring the systems. A domain named after a platform is not a domain, it is a support group. The tell is that its target architecture is "upgrade the thing it is named after", which is a plan rather than a direction.</w:t>
      </w:r>
    </w:p>
    <w:p>
      <w:pPr>
        <w:pStyle w:val="ListParagraph"/>
        <w:numPr>
          <w:ilvl w:val="0"/>
          <w:numId w:val="2"/>
        </w:numPr>
        <w:spacing w:after="55"/>
      </w:pPr>
      <w:r>
        <w:rPr>
          <w:rFonts w:ascii="Calibri" w:cs="Calibri" w:eastAsia="Calibri" w:hAnsi="Calibri"/>
          <w:color w:val="57534E"/>
          <w:sz w:val="21"/>
          <w:szCs w:val="21"/>
        </w:rPr>
        <w:t xml:space="preserve">Too many. Thirty domains means no domains: nobody can hold the list and every project touches nine of them. Eight to fifteen at group level.</w:t>
      </w:r>
    </w:p>
    <w:p>
      <w:pPr>
        <w:spacing w:after="110"/>
      </w:pPr>
      <w:r>
        <w:rPr>
          <w:rFonts w:ascii="Calibri" w:cs="Calibri" w:eastAsia="Calibri" w:hAnsi="Calibri"/>
          <w:b w:val="false"/>
          <w:bCs w:val="false"/>
          <w:i/>
          <w:iCs/>
          <w:color w:val="57534E"/>
          <w:sz w:val="21"/>
          <w:szCs w:val="21"/>
        </w:rPr>
        <w:t xml:space="preserve">The unforgiving test: can you name the owner of each domain without opening a document? If not, there are too many, or some of them are not real.</w:t>
      </w:r>
    </w:p>
    <w:p>
      <w:pPr>
        <w:pStyle w:val="Heading2"/>
        <w:spacing w:after="70" w:before="220"/>
      </w:pPr>
      <w:r>
        <w:rPr>
          <w:rFonts w:ascii="Cambria" w:cs="Cambria" w:eastAsia="Cambria" w:hAnsi="Cambria"/>
          <w:b/>
          <w:bCs/>
          <w:color w:val="1C1917"/>
          <w:sz w:val="26"/>
          <w:szCs w:val="26"/>
        </w:rPr>
        <w:t xml:space="preserve">Domain charter - one page per domain</w:t>
      </w:r>
    </w:p>
    <w:p>
      <w:pPr>
        <w:spacing w:after="110"/>
      </w:pPr>
      <w:r>
        <w:rPr>
          <w:rFonts w:ascii="Calibri" w:cs="Calibri" w:eastAsia="Calibri" w:hAnsi="Calibri"/>
          <w:b/>
          <w:bCs/>
          <w:i w:val="false"/>
          <w:iCs w:val="false"/>
          <w:color w:val="1C1917"/>
          <w:sz w:val="21"/>
          <w:szCs w:val="21"/>
        </w:rPr>
        <w:t xml:space="preserve">Domain: </w:t>
      </w:r>
      <w:r>
        <w:rPr>
          <w:rFonts w:ascii="Calibri" w:cs="Calibri" w:eastAsia="Calibri" w:hAnsi="Calibri"/>
          <w:b w:val="false"/>
          <w:bCs w:val="false"/>
          <w:i w:val="false"/>
          <w:iCs w:val="false"/>
          <w:color w:val="B98A2E"/>
          <w:sz w:val="21"/>
          <w:szCs w:val="21"/>
        </w:rPr>
        <w:t xml:space="preserve">[ name ]</w:t>
      </w:r>
    </w:p>
    <w:p>
      <w:pPr>
        <w:spacing w:after="110"/>
      </w:pPr>
      <w:r>
        <w:rPr>
          <w:rFonts w:ascii="Calibri" w:cs="Calibri" w:eastAsia="Calibri" w:hAnsi="Calibri"/>
          <w:b/>
          <w:bCs/>
          <w:i w:val="false"/>
          <w:iCs w:val="false"/>
          <w:color w:val="1C1917"/>
          <w:sz w:val="21"/>
          <w:szCs w:val="21"/>
        </w:rPr>
        <w:t xml:space="preserve">Owner: </w:t>
      </w:r>
      <w:r>
        <w:rPr>
          <w:rFonts w:ascii="Calibri" w:cs="Calibri" w:eastAsia="Calibri" w:hAnsi="Calibri"/>
          <w:b w:val="false"/>
          <w:bCs w:val="false"/>
          <w:i w:val="false"/>
          <w:iCs w:val="false"/>
          <w:color w:val="B98A2E"/>
          <w:sz w:val="21"/>
          <w:szCs w:val="21"/>
        </w:rPr>
        <w:t xml:space="preserve">[ a person ]</w:t>
      </w:r>
    </w:p>
    <w:p>
      <w:pPr>
        <w:spacing w:after="110"/>
      </w:pPr>
      <w:r>
        <w:rPr>
          <w:rFonts w:ascii="Calibri" w:cs="Calibri" w:eastAsia="Calibri" w:hAnsi="Calibri"/>
          <w:b/>
          <w:bCs/>
          <w:i w:val="false"/>
          <w:iCs w:val="false"/>
          <w:color w:val="1C1917"/>
          <w:sz w:val="21"/>
          <w:szCs w:val="21"/>
        </w:rPr>
        <w:t xml:space="preserve">Architect: </w:t>
      </w:r>
      <w:r>
        <w:rPr>
          <w:rFonts w:ascii="Calibri" w:cs="Calibri" w:eastAsia="Calibri" w:hAnsi="Calibri"/>
          <w:b w:val="false"/>
          <w:bCs w:val="false"/>
          <w:i w:val="false"/>
          <w:iCs w:val="false"/>
          <w:color w:val="B98A2E"/>
          <w:sz w:val="21"/>
          <w:szCs w:val="21"/>
        </w:rPr>
        <w:t xml:space="preserve">[ a person ]</w:t>
      </w:r>
    </w:p>
    <w:p>
      <w:pPr>
        <w:spacing w:after="110"/>
      </w:pPr>
      <w:r>
        <w:rPr>
          <w:rFonts w:ascii="Calibri" w:cs="Calibri" w:eastAsia="Calibri" w:hAnsi="Calibri"/>
          <w:b/>
          <w:bCs/>
          <w:i w:val="false"/>
          <w:iCs w:val="false"/>
          <w:color w:val="1C1917"/>
          <w:sz w:val="21"/>
          <w:szCs w:val="21"/>
        </w:rPr>
        <w:t xml:space="preserve">Capabilities covered: </w:t>
      </w:r>
      <w:r>
        <w:rPr>
          <w:rFonts w:ascii="Calibri" w:cs="Calibri" w:eastAsia="Calibri" w:hAnsi="Calibri"/>
          <w:b w:val="false"/>
          <w:bCs w:val="false"/>
          <w:i w:val="false"/>
          <w:iCs w:val="false"/>
          <w:color w:val="B98A2E"/>
          <w:sz w:val="21"/>
          <w:szCs w:val="21"/>
        </w:rPr>
        <w:t xml:space="preserve">[ from the capability map, level 1 or 2 ]</w:t>
      </w:r>
    </w:p>
    <w:p>
      <w:pPr>
        <w:spacing w:after="110"/>
      </w:pPr>
      <w:r>
        <w:rPr>
          <w:rFonts w:ascii="Calibri" w:cs="Calibri" w:eastAsia="Calibri" w:hAnsi="Calibri"/>
          <w:b/>
          <w:bCs/>
          <w:i w:val="false"/>
          <w:iCs w:val="false"/>
          <w:color w:val="1C1917"/>
          <w:sz w:val="21"/>
          <w:szCs w:val="21"/>
        </w:rPr>
        <w:t xml:space="preserve">Core objects: </w:t>
      </w:r>
      <w:r>
        <w:rPr>
          <w:rFonts w:ascii="Calibri" w:cs="Calibri" w:eastAsia="Calibri" w:hAnsi="Calibri"/>
          <w:b w:val="false"/>
          <w:bCs w:val="false"/>
          <w:i w:val="false"/>
          <w:iCs w:val="false"/>
          <w:color w:val="B98A2E"/>
          <w:sz w:val="21"/>
          <w:szCs w:val="21"/>
        </w:rPr>
        <w:t xml:space="preserve">[ the objects this domain masters ]</w:t>
      </w:r>
    </w:p>
    <w:p>
      <w:pPr>
        <w:spacing w:after="110"/>
      </w:pPr>
      <w:r>
        <w:rPr>
          <w:rFonts w:ascii="Calibri" w:cs="Calibri" w:eastAsia="Calibri" w:hAnsi="Calibri"/>
          <w:b/>
          <w:bCs/>
          <w:i w:val="false"/>
          <w:iCs w:val="false"/>
          <w:color w:val="1C1917"/>
          <w:sz w:val="21"/>
          <w:szCs w:val="21"/>
        </w:rPr>
        <w:t xml:space="preserve">Objects consumed: </w:t>
      </w:r>
      <w:r>
        <w:rPr>
          <w:rFonts w:ascii="Calibri" w:cs="Calibri" w:eastAsia="Calibri" w:hAnsi="Calibri"/>
          <w:b w:val="false"/>
          <w:bCs w:val="false"/>
          <w:i w:val="false"/>
          <w:iCs w:val="false"/>
          <w:color w:val="B98A2E"/>
          <w:sz w:val="21"/>
          <w:szCs w:val="21"/>
        </w:rPr>
        <w:t xml:space="preserve">[ from other domains, with the master named ]</w:t>
      </w:r>
    </w:p>
    <w:p>
      <w:pPr>
        <w:spacing w:after="110"/>
      </w:pPr>
      <w:r>
        <w:rPr>
          <w:rFonts w:ascii="Calibri" w:cs="Calibri" w:eastAsia="Calibri" w:hAnsi="Calibri"/>
          <w:b/>
          <w:bCs/>
          <w:i w:val="false"/>
          <w:iCs w:val="false"/>
          <w:color w:val="1C1917"/>
          <w:sz w:val="21"/>
          <w:szCs w:val="21"/>
        </w:rPr>
        <w:t xml:space="preserve">Target direction: </w:t>
      </w:r>
      <w:r>
        <w:rPr>
          <w:rFonts w:ascii="Calibri" w:cs="Calibri" w:eastAsia="Calibri" w:hAnsi="Calibri"/>
          <w:b w:val="false"/>
          <w:bCs w:val="false"/>
          <w:i w:val="false"/>
          <w:iCs w:val="false"/>
          <w:color w:val="B98A2E"/>
          <w:sz w:val="21"/>
          <w:szCs w:val="21"/>
        </w:rPr>
        <w:t xml:space="preserve">[ three lines, no diagram required ]</w:t>
      </w:r>
    </w:p>
    <w:p>
      <w:pPr>
        <w:spacing w:after="110"/>
      </w:pPr>
      <w:r>
        <w:rPr>
          <w:rFonts w:ascii="Calibri" w:cs="Calibri" w:eastAsia="Calibri" w:hAnsi="Calibri"/>
          <w:b/>
          <w:bCs/>
          <w:i w:val="false"/>
          <w:iCs w:val="false"/>
          <w:color w:val="1C1917"/>
          <w:sz w:val="21"/>
          <w:szCs w:val="21"/>
        </w:rPr>
        <w:t xml:space="preserve">Known seams: </w:t>
      </w:r>
      <w:r>
        <w:rPr>
          <w:rFonts w:ascii="Calibri" w:cs="Calibri" w:eastAsia="Calibri" w:hAnsi="Calibri"/>
          <w:b w:val="false"/>
          <w:bCs w:val="false"/>
          <w:i w:val="false"/>
          <w:iCs w:val="false"/>
          <w:color w:val="B98A2E"/>
          <w:sz w:val="21"/>
          <w:szCs w:val="21"/>
        </w:rPr>
        <w:t xml:space="preserve">[ references into the seam register ]</w:t>
      </w:r>
    </w:p>
    <w:p>
      <w:pPr>
        <w:spacing w:after="110"/>
      </w:pPr>
      <w:r>
        <w:rPr>
          <w:rFonts w:ascii="Calibri" w:cs="Calibri" w:eastAsia="Calibri" w:hAnsi="Calibri"/>
          <w:b/>
          <w:bCs/>
          <w:i w:val="false"/>
          <w:iCs w:val="false"/>
          <w:color w:val="1C1917"/>
          <w:sz w:val="21"/>
          <w:szCs w:val="21"/>
        </w:rPr>
        <w:t xml:space="preserve">Reviewed: </w:t>
      </w:r>
      <w:r>
        <w:rPr>
          <w:rFonts w:ascii="Calibri" w:cs="Calibri" w:eastAsia="Calibri" w:hAnsi="Calibri"/>
          <w:b w:val="false"/>
          <w:bCs w:val="false"/>
          <w:i w:val="false"/>
          <w:iCs w:val="false"/>
          <w:color w:val="B98A2E"/>
          <w:sz w:val="21"/>
          <w:szCs w:val="21"/>
        </w:rPr>
        <w:t xml:space="preserve">[ date ]</w:t>
      </w:r>
    </w:p>
    <w:p>
      <w:pPr>
        <w:pStyle w:val="Heading2"/>
        <w:spacing w:after="70" w:before="220"/>
      </w:pPr>
      <w:r>
        <w:rPr>
          <w:rFonts w:ascii="Cambria" w:cs="Cambria" w:eastAsia="Cambria" w:hAnsi="Cambria"/>
          <w:b/>
          <w:bCs/>
          <w:color w:val="1C1917"/>
          <w:sz w:val="26"/>
          <w:szCs w:val="26"/>
        </w:rPr>
        <w:t xml:space="preserve">Worked example</w:t>
      </w:r>
    </w:p>
    <w:p>
      <w:pPr>
        <w:spacing w:after="110"/>
      </w:pPr>
      <w:r>
        <w:rPr>
          <w:rFonts w:ascii="Calibri" w:cs="Calibri" w:eastAsia="Calibri" w:hAnsi="Calibri"/>
          <w:b/>
          <w:bCs/>
          <w:i w:val="false"/>
          <w:iCs w:val="false"/>
          <w:color w:val="1C1917"/>
          <w:sz w:val="21"/>
          <w:szCs w:val="21"/>
        </w:rPr>
        <w:t xml:space="preserve">Domain: </w:t>
      </w:r>
      <w:r>
        <w:rPr>
          <w:rFonts w:ascii="Calibri" w:cs="Calibri" w:eastAsia="Calibri" w:hAnsi="Calibri"/>
          <w:b w:val="false"/>
          <w:bCs w:val="false"/>
          <w:i w:val="false"/>
          <w:iCs w:val="false"/>
          <w:color w:val="57534E"/>
          <w:sz w:val="21"/>
          <w:szCs w:val="21"/>
        </w:rPr>
        <w:t xml:space="preserve">Source to contract</w:t>
      </w:r>
    </w:p>
    <w:p>
      <w:pPr>
        <w:spacing w:after="110"/>
      </w:pPr>
      <w:r>
        <w:rPr>
          <w:rFonts w:ascii="Calibri" w:cs="Calibri" w:eastAsia="Calibri" w:hAnsi="Calibri"/>
          <w:b/>
          <w:bCs/>
          <w:i w:val="false"/>
          <w:iCs w:val="false"/>
          <w:color w:val="1C1917"/>
          <w:sz w:val="21"/>
          <w:szCs w:val="21"/>
        </w:rPr>
        <w:t xml:space="preserve">Owner: </w:t>
      </w:r>
      <w:r>
        <w:rPr>
          <w:rFonts w:ascii="Calibri" w:cs="Calibri" w:eastAsia="Calibri" w:hAnsi="Calibri"/>
          <w:b w:val="false"/>
          <w:bCs w:val="false"/>
          <w:i w:val="false"/>
          <w:iCs w:val="false"/>
          <w:color w:val="57534E"/>
          <w:sz w:val="21"/>
          <w:szCs w:val="21"/>
        </w:rPr>
        <w:t xml:space="preserve">Head of procurement operations. Architect: named.</w:t>
      </w:r>
    </w:p>
    <w:p>
      <w:pPr>
        <w:spacing w:after="110"/>
      </w:pPr>
      <w:r>
        <w:rPr>
          <w:rFonts w:ascii="Calibri" w:cs="Calibri" w:eastAsia="Calibri" w:hAnsi="Calibri"/>
          <w:b/>
          <w:bCs/>
          <w:i w:val="false"/>
          <w:iCs w:val="false"/>
          <w:color w:val="1C1917"/>
          <w:sz w:val="21"/>
          <w:szCs w:val="21"/>
        </w:rPr>
        <w:t xml:space="preserve">Capabilities: </w:t>
      </w:r>
      <w:r>
        <w:rPr>
          <w:rFonts w:ascii="Calibri" w:cs="Calibri" w:eastAsia="Calibri" w:hAnsi="Calibri"/>
          <w:b w:val="false"/>
          <w:bCs w:val="false"/>
          <w:i w:val="false"/>
          <w:iCs w:val="false"/>
          <w:color w:val="57534E"/>
          <w:sz w:val="21"/>
          <w:szCs w:val="21"/>
        </w:rPr>
        <w:t xml:space="preserve">supplier qualification, sourcing, contract management, purchase requisition</w:t>
      </w:r>
    </w:p>
    <w:p>
      <w:pPr>
        <w:spacing w:after="110"/>
      </w:pPr>
      <w:r>
        <w:rPr>
          <w:rFonts w:ascii="Calibri" w:cs="Calibri" w:eastAsia="Calibri" w:hAnsi="Calibri"/>
          <w:b/>
          <w:bCs/>
          <w:i w:val="false"/>
          <w:iCs w:val="false"/>
          <w:color w:val="1C1917"/>
          <w:sz w:val="21"/>
          <w:szCs w:val="21"/>
        </w:rPr>
        <w:t xml:space="preserve">Core objects: </w:t>
      </w:r>
      <w:r>
        <w:rPr>
          <w:rFonts w:ascii="Calibri" w:cs="Calibri" w:eastAsia="Calibri" w:hAnsi="Calibri"/>
          <w:b w:val="false"/>
          <w:bCs w:val="false"/>
          <w:i w:val="false"/>
          <w:iCs w:val="false"/>
          <w:color w:val="57534E"/>
          <w:sz w:val="21"/>
          <w:szCs w:val="21"/>
        </w:rPr>
        <w:t xml:space="preserve">supplier, contract. Consumed: material (product management), cost centre (finance operations)</w:t>
      </w:r>
    </w:p>
    <w:p>
      <w:pPr>
        <w:spacing w:after="110"/>
      </w:pPr>
      <w:r>
        <w:rPr>
          <w:rFonts w:ascii="Calibri" w:cs="Calibri" w:eastAsia="Calibri" w:hAnsi="Calibri"/>
          <w:b/>
          <w:bCs/>
          <w:i w:val="false"/>
          <w:iCs w:val="false"/>
          <w:color w:val="1C1917"/>
          <w:sz w:val="21"/>
          <w:szCs w:val="21"/>
        </w:rPr>
        <w:t xml:space="preserve">Target direction: </w:t>
      </w:r>
      <w:r>
        <w:rPr>
          <w:rFonts w:ascii="Calibri" w:cs="Calibri" w:eastAsia="Calibri" w:hAnsi="Calibri"/>
          <w:b w:val="false"/>
          <w:bCs w:val="false"/>
          <w:i w:val="false"/>
          <w:iCs w:val="false"/>
          <w:color w:val="57534E"/>
          <w:sz w:val="21"/>
          <w:szCs w:val="21"/>
        </w:rPr>
        <w:t xml:space="preserve">one supplier master in the core with market registers retained as side-by-side services under contract; contract lifecycle moves to the contract system by end of next year; no new local supplier stores.</w:t>
      </w:r>
    </w:p>
    <w:p>
      <w:pPr>
        <w:spacing w:after="110"/>
      </w:pPr>
      <w:r>
        <w:rPr>
          <w:rFonts w:ascii="Calibri" w:cs="Calibri" w:eastAsia="Calibri" w:hAnsi="Calibri"/>
          <w:b/>
          <w:bCs/>
          <w:i w:val="false"/>
          <w:iCs w:val="false"/>
          <w:color w:val="1C1917"/>
          <w:sz w:val="21"/>
          <w:szCs w:val="21"/>
        </w:rPr>
        <w:t xml:space="preserve">Seams: </w:t>
      </w:r>
      <w:r>
        <w:rPr>
          <w:rFonts w:ascii="Calibri" w:cs="Calibri" w:eastAsia="Calibri" w:hAnsi="Calibri"/>
          <w:b w:val="false"/>
          <w:bCs w:val="false"/>
          <w:i w:val="false"/>
          <w:iCs w:val="false"/>
          <w:color w:val="57534E"/>
          <w:sz w:val="21"/>
          <w:szCs w:val="21"/>
        </w:rPr>
        <w:t xml:space="preserve">S-01 the invoice (finance leads), S-04 supplier onboarding versus vendor risk (legal consulted)</w:t>
      </w:r>
    </w:p>
    <w:p>
      <w:r>
        <w:br w:type="page"/>
      </w:r>
    </w:p>
    <w:p>
      <w:pPr>
        <w:pStyle w:val="Heading1"/>
        <w:spacing w:after="110" w:before="340"/>
      </w:pPr>
      <w:r>
        <w:rPr>
          <w:rFonts w:ascii="Cambria" w:cs="Cambria" w:eastAsia="Cambria" w:hAnsi="Cambria"/>
          <w:b/>
          <w:bCs/>
          <w:color w:val="1C1917"/>
          <w:sz w:val="32"/>
          <w:szCs w:val="32"/>
        </w:rPr>
        <w:t xml:space="preserve">2. The seam register</w:t>
      </w:r>
    </w:p>
    <w:p>
      <w:pPr>
        <w:spacing w:after="150"/>
      </w:pPr>
      <w:r>
        <w:rPr>
          <w:rFonts w:ascii="Calibri" w:cs="Calibri" w:eastAsia="Calibri" w:hAnsi="Calibri"/>
          <w:i/>
          <w:iCs/>
          <w:color w:val="14606B"/>
          <w:sz w:val="19"/>
          <w:szCs w:val="19"/>
        </w:rPr>
        <w:t xml:space="preserve">An afternoon of work. The artifact people quote back at you first, and the one that tells you within a week whether the boundaries are drawn in the right places.</w:t>
      </w:r>
    </w:p>
    <w:p>
      <w:pPr>
        <w:spacing w:after="110"/>
      </w:pPr>
      <w:r>
        <w:rPr>
          <w:rFonts w:ascii="Calibri" w:cs="Calibri" w:eastAsia="Calibri" w:hAnsi="Calibri"/>
          <w:b w:val="false"/>
          <w:bCs w:val="false"/>
          <w:i w:val="false"/>
          <w:iCs w:val="false"/>
          <w:color w:val="57534E"/>
          <w:sz w:val="21"/>
          <w:szCs w:val="21"/>
        </w:rPr>
        <w:t xml:space="preserve">The boundaries will be wrong somewhere, and the wrongness clusters in predictable places. Do not solve it by redrawing until the argument disappears, because it will not. Name the seams, with a rule each.</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800"/>
        <w:gridCol w:w="2000"/>
        <w:gridCol w:w="3000"/>
      </w:tblGrid>
      <w:tr>
        <w:tc>
          <w:tcPr>
            <w:tcW w:type="dxa" w:w="8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Ref</w:t>
            </w:r>
          </w:p>
        </w:tc>
        <w:tc>
          <w:tcPr>
            <w:tcW w:type="dxa" w:w="32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The seam</w:t>
            </w:r>
          </w:p>
        </w:tc>
        <w:tc>
          <w:tcPr>
            <w:tcW w:type="dxa" w:w="18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Leads</w:t>
            </w:r>
          </w:p>
        </w:tc>
        <w:tc>
          <w:tcPr>
            <w:tcW w:type="dxa" w:w="2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Consulted</w:t>
            </w:r>
          </w:p>
        </w:tc>
        <w:tc>
          <w:tcPr>
            <w:tcW w:type="dxa" w:w="3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Trigger for a joint review</w:t>
            </w:r>
          </w:p>
        </w:tc>
      </w:tr>
      <w:tr>
        <w:tc>
          <w:tcPr>
            <w:tcW w:type="dxa" w:w="8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S-01</w:t>
            </w:r>
          </w:p>
        </w:tc>
        <w:tc>
          <w:tcPr>
            <w:tcW w:type="dxa" w:w="3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invoice - where an order becomes a payable</w:t>
            </w:r>
          </w:p>
        </w:tc>
        <w:tc>
          <w:tcPr>
            <w:tcW w:type="dxa" w:w="1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Order management</w:t>
            </w:r>
          </w:p>
        </w:tc>
        <w:tc>
          <w:tcPr>
            <w:tcW w:type="dxa" w:w="2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Finance, tax</w:t>
            </w:r>
          </w:p>
        </w:tc>
        <w:tc>
          <w:tcPr>
            <w:tcW w:type="dxa" w:w="3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Any change to posting logic or document flow</w:t>
            </w:r>
          </w:p>
        </w:tc>
      </w:tr>
      <w:tr>
        <w:tc>
          <w:tcPr>
            <w:tcW w:type="dxa" w:w="8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S-02</w:t>
            </w:r>
          </w:p>
        </w:tc>
        <w:tc>
          <w:tcPr>
            <w:tcW w:type="dxa" w:w="32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Consent and contactability</w:t>
            </w:r>
          </w:p>
        </w:tc>
        <w:tc>
          <w:tcPr>
            <w:tcW w:type="dxa" w:w="18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Customer management</w:t>
            </w:r>
          </w:p>
        </w:tc>
        <w:tc>
          <w:tcPr>
            <w:tcW w:type="dxa" w:w="2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Marketing, legal (veto)</w:t>
            </w:r>
          </w:p>
        </w:tc>
        <w:tc>
          <w:tcPr>
            <w:tcW w:type="dxa" w:w="3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Any new consumer of consent data</w:t>
            </w:r>
          </w:p>
        </w:tc>
      </w:tr>
      <w:tr>
        <w:tc>
          <w:tcPr>
            <w:tcW w:type="dxa" w:w="8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S-03</w:t>
            </w:r>
          </w:p>
        </w:tc>
        <w:tc>
          <w:tcPr>
            <w:tcW w:type="dxa" w:w="3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Stock in transit</w:t>
            </w:r>
          </w:p>
        </w:tc>
        <w:tc>
          <w:tcPr>
            <w:tcW w:type="dxa" w:w="1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Logistics</w:t>
            </w:r>
          </w:p>
        </w:tc>
        <w:tc>
          <w:tcPr>
            <w:tcW w:type="dxa" w:w="2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Store operations</w:t>
            </w:r>
          </w:p>
        </w:tc>
        <w:tc>
          <w:tcPr>
            <w:tcW w:type="dxa" w:w="3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Any change to ownership transfer point</w:t>
            </w:r>
          </w:p>
        </w:tc>
      </w:tr>
      <w:tr>
        <w:tc>
          <w:tcPr>
            <w:tcW w:type="dxa" w:w="8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S-04</w:t>
            </w:r>
          </w:p>
        </w:tc>
        <w:tc>
          <w:tcPr>
            <w:tcW w:type="dxa" w:w="32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Supplier onboarding versus vendor risk</w:t>
            </w:r>
          </w:p>
        </w:tc>
        <w:tc>
          <w:tcPr>
            <w:tcW w:type="dxa" w:w="18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Source to contract</w:t>
            </w:r>
          </w:p>
        </w:tc>
        <w:tc>
          <w:tcPr>
            <w:tcW w:type="dxa" w:w="2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Legal, compliance</w:t>
            </w:r>
          </w:p>
        </w:tc>
        <w:tc>
          <w:tcPr>
            <w:tcW w:type="dxa" w:w="3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Any new market or new risk category</w:t>
            </w:r>
          </w:p>
        </w:tc>
      </w:tr>
      <w:tr>
        <w:tc>
          <w:tcPr>
            <w:tcW w:type="dxa" w:w="8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S-05</w:t>
            </w:r>
          </w:p>
        </w:tc>
        <w:tc>
          <w:tcPr>
            <w:tcW w:type="dxa" w:w="3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Employee identity and access</w:t>
            </w:r>
          </w:p>
        </w:tc>
        <w:tc>
          <w:tcPr>
            <w:tcW w:type="dxa" w:w="1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People operations</w:t>
            </w:r>
          </w:p>
        </w:tc>
        <w:tc>
          <w:tcPr>
            <w:tcW w:type="dxa" w:w="2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Security</w:t>
            </w:r>
          </w:p>
        </w:tc>
        <w:tc>
          <w:tcPr>
            <w:tcW w:type="dxa" w:w="3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Any change to joiner, mover or leaver flow</w:t>
            </w:r>
          </w:p>
        </w:tc>
      </w:tr>
      <w:tr>
        <w:tc>
          <w:tcPr>
            <w:tcW w:type="dxa" w:w="8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S-06</w:t>
            </w:r>
          </w:p>
        </w:tc>
        <w:tc>
          <w:tcPr>
            <w:tcW w:type="dxa" w:w="32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Price versus promotion</w:t>
            </w:r>
          </w:p>
        </w:tc>
        <w:tc>
          <w:tcPr>
            <w:tcW w:type="dxa" w:w="18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Pricing</w:t>
            </w:r>
          </w:p>
        </w:tc>
        <w:tc>
          <w:tcPr>
            <w:tcW w:type="dxa" w:w="2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Marketing</w:t>
            </w:r>
          </w:p>
        </w:tc>
        <w:tc>
          <w:tcPr>
            <w:tcW w:type="dxa" w:w="3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Any change to the precedence rules between them</w:t>
            </w:r>
          </w:p>
        </w:tc>
      </w:tr>
    </w:tbl>
    <w:p>
      <w:pPr>
        <w:spacing w:after="110"/>
      </w:pPr>
      <w:r>
        <w:rPr>
          <w:rFonts w:ascii="Calibri" w:cs="Calibri" w:eastAsia="Calibri" w:hAnsi="Calibri"/>
          <w:b w:val="false"/>
          <w:bCs w:val="false"/>
          <w:i/>
          <w:iCs/>
          <w:color w:val="57534E"/>
          <w:sz w:val="21"/>
          <w:szCs w:val="21"/>
        </w:rPr>
        <w:t xml:space="preserve">A seam register also gives a project that genuinely lives in the middle somewhere to go, instead of being assigned arbitrarily and reviewed by somebody with no authority over half of what it touches.</w:t>
      </w:r>
    </w:p>
    <w:p>
      <w:r>
        <w:br w:type="page"/>
      </w:r>
    </w:p>
    <w:p>
      <w:pPr>
        <w:pStyle w:val="Heading1"/>
        <w:spacing w:after="110" w:before="340"/>
      </w:pPr>
      <w:r>
        <w:rPr>
          <w:rFonts w:ascii="Cambria" w:cs="Cambria" w:eastAsia="Cambria" w:hAnsi="Cambria"/>
          <w:b/>
          <w:bCs/>
          <w:color w:val="1C1917"/>
          <w:sz w:val="32"/>
          <w:szCs w:val="32"/>
        </w:rPr>
        <w:t xml:space="preserve">3. Intake - giving every project an address</w:t>
      </w:r>
    </w:p>
    <w:p>
      <w:pPr>
        <w:spacing w:after="150"/>
      </w:pPr>
      <w:r>
        <w:rPr>
          <w:rFonts w:ascii="Calibri" w:cs="Calibri" w:eastAsia="Calibri" w:hAnsi="Calibri"/>
          <w:i/>
          <w:iCs/>
          <w:color w:val="14606B"/>
          <w:sz w:val="19"/>
          <w:szCs w:val="19"/>
        </w:rPr>
        <w:t xml:space="preserve">Five fields, added to the form the PMO already uses. Never a second intake.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800"/>
      </w:tblGrid>
      <w:tr>
        <w:tc>
          <w:tcPr>
            <w:tcW w:type="dxa" w:w="3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Field</w:t>
            </w:r>
          </w:p>
        </w:tc>
        <w:tc>
          <w:tcPr>
            <w:tcW w:type="dxa" w:w="2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Filled by</w:t>
            </w:r>
          </w:p>
        </w:tc>
        <w:tc>
          <w:tcPr>
            <w:tcW w:type="dxa" w:w="48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Rule</w:t>
            </w:r>
          </w:p>
        </w:tc>
      </w:tr>
      <w:tr>
        <w:tc>
          <w:tcPr>
            <w:tcW w:type="dxa" w:w="3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Primary domain</w:t>
            </w:r>
          </w:p>
        </w:tc>
        <w:tc>
          <w:tcPr>
            <w:tcW w:type="dxa" w:w="2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Architect</w:t>
            </w:r>
          </w:p>
        </w:tc>
        <w:tc>
          <w:tcPr>
            <w:tcW w:type="dxa" w:w="4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Exactly one. Never two</w:t>
            </w:r>
          </w:p>
        </w:tc>
      </w:tr>
      <w:tr>
        <w:tc>
          <w:tcPr>
            <w:tcW w:type="dxa" w:w="30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Domains touched</w:t>
            </w:r>
          </w:p>
        </w:tc>
        <w:tc>
          <w:tcPr>
            <w:tcW w:type="dxa" w:w="2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Architect</w:t>
            </w:r>
          </w:p>
        </w:tc>
        <w:tc>
          <w:tcPr>
            <w:tcW w:type="dxa" w:w="48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As many as apply. These are consulted, not accountable</w:t>
            </w:r>
          </w:p>
        </w:tc>
      </w:tr>
      <w:tr>
        <w:tc>
          <w:tcPr>
            <w:tcW w:type="dxa" w:w="3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The change, in business terms</w:t>
            </w:r>
          </w:p>
        </w:tc>
        <w:tc>
          <w:tcPr>
            <w:tcW w:type="dxa" w:w="2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Requester</w:t>
            </w:r>
          </w:p>
        </w:tc>
        <w:tc>
          <w:tcPr>
            <w:tcW w:type="dxa" w:w="4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One paragraph. No system names, no solution</w:t>
            </w:r>
          </w:p>
        </w:tc>
      </w:tr>
      <w:tr>
        <w:tc>
          <w:tcPr>
            <w:tcW w:type="dxa" w:w="30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Intended route</w:t>
            </w:r>
          </w:p>
        </w:tc>
        <w:tc>
          <w:tcPr>
            <w:tcW w:type="dxa" w:w="2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Requester</w:t>
            </w:r>
          </w:p>
        </w:tc>
        <w:tc>
          <w:tcPr>
            <w:tcW w:type="dxa" w:w="48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Build, buy, or unknown. Unknown is legitimate and often the honest answer</w:t>
            </w:r>
          </w:p>
        </w:tc>
      </w:tr>
      <w:tr>
        <w:tc>
          <w:tcPr>
            <w:tcW w:type="dxa" w:w="3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Expected first spend</w:t>
            </w:r>
          </w:p>
        </w:tc>
        <w:tc>
          <w:tcPr>
            <w:tcW w:type="dxa" w:w="2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Requester</w:t>
            </w:r>
          </w:p>
        </w:tc>
        <w:tc>
          <w:tcPr>
            <w:tcW w:type="dxa" w:w="4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only date that matters for timing architecture's involvement</w:t>
            </w:r>
          </w:p>
        </w:tc>
      </w:tr>
    </w:tbl>
    <w:p>
      <w:pPr>
        <w:pStyle w:val="Heading2"/>
        <w:spacing w:after="70" w:before="220"/>
      </w:pPr>
      <w:r>
        <w:rPr>
          <w:rFonts w:ascii="Cambria" w:cs="Cambria" w:eastAsia="Cambria" w:hAnsi="Cambria"/>
          <w:b/>
          <w:bCs/>
          <w:color w:val="1C1917"/>
          <w:sz w:val="26"/>
          <w:szCs w:val="26"/>
        </w:rPr>
        <w:t xml:space="preserve">Assignment rules</w:t>
      </w:r>
    </w:p>
    <w:p>
      <w:pPr>
        <w:pStyle w:val="ListParagraph"/>
        <w:numPr>
          <w:ilvl w:val="0"/>
          <w:numId w:val="2"/>
        </w:numPr>
        <w:spacing w:after="55"/>
      </w:pPr>
      <w:r>
        <w:rPr>
          <w:rFonts w:ascii="Calibri" w:cs="Calibri" w:eastAsia="Calibri" w:hAnsi="Calibri"/>
          <w:color w:val="57534E"/>
          <w:sz w:val="21"/>
          <w:szCs w:val="21"/>
        </w:rPr>
        <w:t xml:space="preserve">The architect assigns the domain, not the project. A project asked to declare its own domain will pick the friendliest reviewer, or the most convenient target architecture, without any malice at all.</w:t>
      </w:r>
    </w:p>
    <w:p>
      <w:pPr>
        <w:pStyle w:val="ListParagraph"/>
        <w:numPr>
          <w:ilvl w:val="0"/>
          <w:numId w:val="2"/>
        </w:numPr>
        <w:spacing w:after="55"/>
      </w:pPr>
      <w:r>
        <w:rPr>
          <w:rFonts w:ascii="Calibri" w:cs="Calibri" w:eastAsia="Calibri" w:hAnsi="Calibri"/>
          <w:color w:val="57534E"/>
          <w:sz w:val="21"/>
          <w:szCs w:val="21"/>
        </w:rPr>
        <w:t xml:space="preserve">One primary domain, never two. Two primaries gives two reviewers, two opinions, and a project manager who correctly concludes that neither is binding.</w:t>
      </w:r>
    </w:p>
    <w:p>
      <w:pPr>
        <w:pStyle w:val="ListParagraph"/>
        <w:numPr>
          <w:ilvl w:val="0"/>
          <w:numId w:val="2"/>
        </w:numPr>
        <w:spacing w:after="55"/>
      </w:pPr>
      <w:r>
        <w:rPr>
          <w:rFonts w:ascii="Calibri" w:cs="Calibri" w:eastAsia="Calibri" w:hAnsi="Calibri"/>
          <w:color w:val="57534E"/>
          <w:sz w:val="21"/>
          <w:szCs w:val="21"/>
        </w:rPr>
        <w:t xml:space="preserve">Within two working days of intake. It takes about four minutes. Later than that and the project has already started deciding things.</w:t>
      </w:r>
    </w:p>
    <w:p>
      <w:pPr>
        <w:pStyle w:val="ListParagraph"/>
        <w:numPr>
          <w:ilvl w:val="0"/>
          <w:numId w:val="2"/>
        </w:numPr>
        <w:spacing w:after="55"/>
      </w:pPr>
      <w:r>
        <w:rPr>
          <w:rFonts w:ascii="Calibri" w:cs="Calibri" w:eastAsia="Calibri" w:hAnsi="Calibri"/>
          <w:color w:val="57534E"/>
          <w:sz w:val="21"/>
          <w:szCs w:val="21"/>
        </w:rPr>
        <w:t xml:space="preserve">If it sits on a seam, the seam register decides who leads. Do not improvise this in the moment.</w:t>
      </w:r>
    </w:p>
    <w:p>
      <w:pPr>
        <w:pStyle w:val="Heading2"/>
        <w:spacing w:after="70" w:before="220"/>
      </w:pPr>
      <w:r>
        <w:rPr>
          <w:rFonts w:ascii="Cambria" w:cs="Cambria" w:eastAsia="Cambria" w:hAnsi="Cambria"/>
          <w:b/>
          <w:bCs/>
          <w:color w:val="1C1917"/>
          <w:sz w:val="26"/>
          <w:szCs w:val="26"/>
        </w:rPr>
        <w:t xml:space="preserve">What the address unlocks immediately</w:t>
      </w:r>
    </w:p>
    <w:p>
      <w:pPr>
        <w:pStyle w:val="ListParagraph"/>
        <w:numPr>
          <w:ilvl w:val="0"/>
          <w:numId w:val="2"/>
        </w:numPr>
        <w:spacing w:after="55"/>
      </w:pPr>
      <w:r>
        <w:rPr>
          <w:rFonts w:ascii="Calibri" w:cs="Calibri" w:eastAsia="Calibri" w:hAnsi="Calibri"/>
          <w:color w:val="57534E"/>
          <w:sz w:val="21"/>
          <w:szCs w:val="21"/>
        </w:rPr>
        <w:t xml:space="preserve">A named reviewer - a person with a calendar, not "architecture".</w:t>
      </w:r>
    </w:p>
    <w:p>
      <w:pPr>
        <w:pStyle w:val="ListParagraph"/>
        <w:numPr>
          <w:ilvl w:val="0"/>
          <w:numId w:val="2"/>
        </w:numPr>
        <w:spacing w:after="55"/>
      </w:pPr>
      <w:r>
        <w:rPr>
          <w:rFonts w:ascii="Calibri" w:cs="Calibri" w:eastAsia="Calibri" w:hAnsi="Calibri"/>
          <w:color w:val="57534E"/>
          <w:sz w:val="21"/>
          <w:szCs w:val="21"/>
        </w:rPr>
        <w:t xml:space="preserve">A target architecture to compare against.</w:t>
      </w:r>
    </w:p>
    <w:p>
      <w:pPr>
        <w:pStyle w:val="ListParagraph"/>
        <w:numPr>
          <w:ilvl w:val="0"/>
          <w:numId w:val="2"/>
        </w:numPr>
        <w:spacing w:after="55"/>
      </w:pPr>
      <w:r>
        <w:rPr>
          <w:rFonts w:ascii="Calibri" w:cs="Calibri" w:eastAsia="Calibri" w:hAnsi="Calibri"/>
          <w:color w:val="57534E"/>
          <w:sz w:val="21"/>
          <w:szCs w:val="21"/>
        </w:rPr>
        <w:t xml:space="preserve">The default set of objects in scope, from the domain's core object list.</w:t>
      </w:r>
    </w:p>
    <w:p>
      <w:pPr>
        <w:pStyle w:val="ListParagraph"/>
        <w:numPr>
          <w:ilvl w:val="0"/>
          <w:numId w:val="2"/>
        </w:numPr>
        <w:spacing w:after="55"/>
      </w:pPr>
      <w:r>
        <w:rPr>
          <w:rFonts w:ascii="Calibri" w:cs="Calibri" w:eastAsia="Calibri" w:hAnsi="Calibri"/>
          <w:color w:val="57534E"/>
          <w:sz w:val="21"/>
          <w:szCs w:val="21"/>
        </w:rPr>
        <w:t xml:space="preserve">The principles and patterns that already apply here.</w:t>
      </w:r>
    </w:p>
    <w:p>
      <w:pPr>
        <w:pStyle w:val="ListParagraph"/>
        <w:numPr>
          <w:ilvl w:val="0"/>
          <w:numId w:val="2"/>
        </w:numPr>
        <w:spacing w:after="55"/>
      </w:pPr>
      <w:r>
        <w:rPr>
          <w:rFonts w:ascii="Calibri" w:cs="Calibri" w:eastAsia="Calibri" w:hAnsi="Calibri"/>
          <w:color w:val="57534E"/>
          <w:sz w:val="21"/>
          <w:szCs w:val="21"/>
        </w:rPr>
        <w:t xml:space="preserve">A route into the cascade, which produces the impact list in about an hour.</w:t>
      </w:r>
    </w:p>
    <w:p>
      <w:r>
        <w:br w:type="page"/>
      </w:r>
    </w:p>
    <w:p>
      <w:pPr>
        <w:pStyle w:val="Heading1"/>
        <w:spacing w:after="110" w:before="340"/>
      </w:pPr>
      <w:r>
        <w:rPr>
          <w:rFonts w:ascii="Cambria" w:cs="Cambria" w:eastAsia="Cambria" w:hAnsi="Cambria"/>
          <w:b/>
          <w:bCs/>
          <w:color w:val="1C1917"/>
          <w:sz w:val="32"/>
          <w:szCs w:val="32"/>
        </w:rPr>
        <w:t xml:space="preserve">4. Five touchpoints on the lifecycle you already have</w:t>
      </w:r>
    </w:p>
    <w:p>
      <w:pPr>
        <w:spacing w:after="150"/>
      </w:pPr>
      <w:r>
        <w:rPr>
          <w:rFonts w:ascii="Calibri" w:cs="Calibri" w:eastAsia="Calibri" w:hAnsi="Calibri"/>
          <w:i/>
          <w:iCs/>
          <w:color w:val="14606B"/>
          <w:sz w:val="19"/>
          <w:szCs w:val="19"/>
        </w:rPr>
        <w:t xml:space="preserve">Architecture adds a field, a reviewer, or an exit condition. It never adds a gate.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2200"/>
        <w:gridCol w:w="2600"/>
      </w:tblGrid>
      <w:tr>
        <w:tc>
          <w:tcPr>
            <w:tcW w:type="dxa" w:w="16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Stage</w:t>
            </w:r>
          </w:p>
        </w:tc>
        <w:tc>
          <w:tcPr>
            <w:tcW w:type="dxa" w:w="2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Touchpoint</w:t>
            </w:r>
          </w:p>
        </w:tc>
        <w:tc>
          <w:tcPr>
            <w:tcW w:type="dxa" w:w="22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In</w:t>
            </w:r>
          </w:p>
        </w:tc>
        <w:tc>
          <w:tcPr>
            <w:tcW w:type="dxa" w:w="22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Decision</w:t>
            </w:r>
          </w:p>
        </w:tc>
        <w:tc>
          <w:tcPr>
            <w:tcW w:type="dxa" w:w="26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Out</w:t>
            </w:r>
          </w:p>
        </w:tc>
      </w:tr>
      <w:tr>
        <w:tc>
          <w:tcPr>
            <w:tcW w:type="dxa" w:w="1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Intake</w:t>
            </w:r>
          </w:p>
        </w:tc>
        <w:tc>
          <w:tcPr>
            <w:tcW w:type="dxa" w:w="2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address</w:t>
            </w:r>
          </w:p>
        </w:tc>
        <w:tc>
          <w:tcPr>
            <w:tcW w:type="dxa" w:w="2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Five extra fields</w:t>
            </w:r>
          </w:p>
        </w:tc>
        <w:tc>
          <w:tcPr>
            <w:tcW w:type="dxa" w:w="2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Primary domain, domains touched</w:t>
            </w:r>
          </w:p>
        </w:tc>
        <w:tc>
          <w:tcPr>
            <w:tcW w:type="dxa" w:w="2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Reviewer named. Four minutes, within two days</w:t>
            </w:r>
          </w:p>
        </w:tc>
      </w:tr>
      <w:tr>
        <w:tc>
          <w:tcPr>
            <w:tcW w:type="dxa" w:w="16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First funding decision</w:t>
            </w:r>
          </w:p>
        </w:tc>
        <w:tc>
          <w:tcPr>
            <w:tcW w:type="dxa" w:w="2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impact list and the route</w:t>
            </w:r>
          </w:p>
        </w:tc>
        <w:tc>
          <w:tcPr>
            <w:tcW w:type="dxa" w:w="22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address plus the repository</w:t>
            </w:r>
          </w:p>
        </w:tc>
        <w:tc>
          <w:tcPr>
            <w:tcW w:type="dxa" w:w="22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Build, buy, or extend what exists</w:t>
            </w:r>
          </w:p>
        </w:tc>
        <w:tc>
          <w:tcPr>
            <w:tcW w:type="dxa" w:w="2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named list. One hour, and the highest-leverage hour in the lifecycle</w:t>
            </w:r>
          </w:p>
        </w:tc>
      </w:tr>
      <w:tr>
        <w:tc>
          <w:tcPr>
            <w:tcW w:type="dxa" w:w="1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Definition</w:t>
            </w:r>
          </w:p>
        </w:tc>
        <w:tc>
          <w:tcPr>
            <w:tcW w:type="dxa" w:w="2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constraints</w:t>
            </w:r>
          </w:p>
        </w:tc>
        <w:tc>
          <w:tcPr>
            <w:tcW w:type="dxa" w:w="2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Target architecture, principles, patterns</w:t>
            </w:r>
          </w:p>
        </w:tc>
        <w:tc>
          <w:tcPr>
            <w:tcW w:type="dxa" w:w="2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Which five to eight actually bind</w:t>
            </w:r>
          </w:p>
        </w:tc>
        <w:tc>
          <w:tcPr>
            <w:tcW w:type="dxa" w:w="2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delivery constraint sheet, or an RFP architecture section</w:t>
            </w:r>
          </w:p>
        </w:tc>
      </w:tr>
      <w:tr>
        <w:tc>
          <w:tcPr>
            <w:tcW w:type="dxa" w:w="16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Execution</w:t>
            </w:r>
          </w:p>
        </w:tc>
        <w:tc>
          <w:tcPr>
            <w:tcW w:type="dxa" w:w="2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Presence, not review</w:t>
            </w:r>
          </w:p>
        </w:tc>
        <w:tc>
          <w:tcPr>
            <w:tcW w:type="dxa" w:w="22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An architect in the design conversations</w:t>
            </w:r>
          </w:p>
        </w:tc>
        <w:tc>
          <w:tcPr>
            <w:tcW w:type="dxa" w:w="22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Deviations, registered as they arise</w:t>
            </w:r>
          </w:p>
        </w:tc>
        <w:tc>
          <w:tcPr>
            <w:tcW w:type="dxa" w:w="2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On the buy path, largely nothing - the leverage was spent at the RFP</w:t>
            </w:r>
          </w:p>
        </w:tc>
      </w:tr>
      <w:tr>
        <w:tc>
          <w:tcPr>
            <w:tcW w:type="dxa" w:w="1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Close</w:t>
            </w:r>
          </w:p>
        </w:tc>
        <w:tc>
          <w:tcPr>
            <w:tcW w:type="dxa" w:w="2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repository delta</w:t>
            </w:r>
          </w:p>
        </w:tc>
        <w:tc>
          <w:tcPr>
            <w:tcW w:type="dxa" w:w="2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Closure checklist, owned by the PMO</w:t>
            </w:r>
          </w:p>
        </w:tc>
        <w:tc>
          <w:tcPr>
            <w:tcW w:type="dxa" w:w="2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Delta accepted or not</w:t>
            </w:r>
          </w:p>
        </w:tc>
        <w:tc>
          <w:tcPr>
            <w:tcW w:type="dxa" w:w="2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Nothing closes until the repository reflects it</w:t>
            </w:r>
          </w:p>
        </w:tc>
      </w:tr>
    </w:tbl>
    <w:p>
      <w:pPr>
        <w:spacing w:after="110"/>
      </w:pPr>
      <w:r>
        <w:rPr>
          <w:rFonts w:ascii="Calibri" w:cs="Calibri" w:eastAsia="Calibri" w:hAnsi="Calibri"/>
          <w:b w:val="false"/>
          <w:bCs w:val="false"/>
          <w:i/>
          <w:iCs/>
          <w:color w:val="57534E"/>
          <w:sz w:val="21"/>
          <w:szCs w:val="21"/>
        </w:rPr>
        <w:t xml:space="preserve">If the PMO lifecycle is weak or barely exists, attach to money instead. Budget approval is a gate whether or not anyone calls it one, and finance is usually delighted to add a field to a form if you explain what it prevents.</w:t>
      </w:r>
    </w:p>
    <w:p>
      <w:pPr>
        <w:pStyle w:val="Heading2"/>
        <w:spacing w:after="70" w:before="220"/>
      </w:pPr>
      <w:r>
        <w:rPr>
          <w:rFonts w:ascii="Cambria" w:cs="Cambria" w:eastAsia="Cambria" w:hAnsi="Cambria"/>
          <w:b/>
          <w:bCs/>
          <w:color w:val="1C1917"/>
          <w:sz w:val="26"/>
          <w:szCs w:val="26"/>
        </w:rPr>
        <w:t xml:space="preserve">Two rules about ownership of the mechanism</w:t>
      </w:r>
    </w:p>
    <w:p>
      <w:pPr>
        <w:pStyle w:val="ListParagraph"/>
        <w:numPr>
          <w:ilvl w:val="0"/>
          <w:numId w:val="2"/>
        </w:numPr>
        <w:spacing w:after="55"/>
      </w:pPr>
      <w:r>
        <w:rPr>
          <w:rFonts w:ascii="Calibri" w:cs="Calibri" w:eastAsia="Calibri" w:hAnsi="Calibri"/>
          <w:color w:val="57534E"/>
          <w:sz w:val="21"/>
          <w:szCs w:val="21"/>
        </w:rPr>
        <w:t xml:space="preserve">The PMO owns enforcement of the closure condition. The same condition administered by architecture reads as a power grab and gets resisted on principle.</w:t>
      </w:r>
    </w:p>
    <w:p>
      <w:pPr>
        <w:pStyle w:val="ListParagraph"/>
        <w:numPr>
          <w:ilvl w:val="0"/>
          <w:numId w:val="2"/>
        </w:numPr>
        <w:spacing w:after="55"/>
      </w:pPr>
      <w:r>
        <w:rPr>
          <w:rFonts w:ascii="Calibri" w:cs="Calibri" w:eastAsia="Calibri" w:hAnsi="Calibri"/>
          <w:color w:val="57534E"/>
          <w:sz w:val="21"/>
          <w:szCs w:val="21"/>
        </w:rPr>
        <w:t xml:space="preserve">Architecture owns the content and the timing. Two working days for the address, five working days after the first funding decision for everything else. Miss those and the sheet arrives after the decision it was meant to inform.</w:t>
      </w:r>
    </w:p>
    <w:p>
      <w:r>
        <w:br w:type="page"/>
      </w:r>
    </w:p>
    <w:p>
      <w:pPr>
        <w:pStyle w:val="Heading1"/>
        <w:spacing w:after="110" w:before="340"/>
      </w:pPr>
      <w:r>
        <w:rPr>
          <w:rFonts w:ascii="Cambria" w:cs="Cambria" w:eastAsia="Cambria" w:hAnsi="Cambria"/>
          <w:b/>
          <w:bCs/>
          <w:color w:val="1C1917"/>
          <w:sz w:val="32"/>
          <w:szCs w:val="32"/>
        </w:rPr>
        <w:t xml:space="preserve">5. The architecture input sheet</w:t>
      </w:r>
    </w:p>
    <w:p>
      <w:pPr>
        <w:spacing w:after="150"/>
      </w:pPr>
      <w:r>
        <w:rPr>
          <w:rFonts w:ascii="Calibri" w:cs="Calibri" w:eastAsia="Calibri" w:hAnsi="Calibri"/>
          <w:i/>
          <w:iCs/>
          <w:color w:val="14606B"/>
          <w:sz w:val="19"/>
          <w:szCs w:val="19"/>
        </w:rPr>
        <w:t xml:space="preserve">One page, attached to whatever the PMO already circulates. Never sent separately, never a document somebody has to go and read.</w:t>
      </w:r>
    </w:p>
    <w:p>
      <w:pPr>
        <w:spacing w:after="110"/>
      </w:pPr>
      <w:r>
        <w:rPr>
          <w:rFonts w:ascii="Calibri" w:cs="Calibri" w:eastAsia="Calibri" w:hAnsi="Calibri"/>
          <w:b/>
          <w:bCs/>
          <w:i w:val="false"/>
          <w:iCs w:val="false"/>
          <w:color w:val="1C1917"/>
          <w:sz w:val="21"/>
          <w:szCs w:val="21"/>
        </w:rPr>
        <w:t xml:space="preserve">Project: </w:t>
      </w:r>
      <w:r>
        <w:rPr>
          <w:rFonts w:ascii="Calibri" w:cs="Calibri" w:eastAsia="Calibri" w:hAnsi="Calibri"/>
          <w:b w:val="false"/>
          <w:bCs w:val="false"/>
          <w:i w:val="false"/>
          <w:iCs w:val="false"/>
          <w:color w:val="B98A2E"/>
          <w:sz w:val="21"/>
          <w:szCs w:val="21"/>
        </w:rPr>
        <w:t xml:space="preserve">[ ref and name ]</w:t>
      </w:r>
    </w:p>
    <w:p>
      <w:pPr>
        <w:spacing w:after="110"/>
      </w:pPr>
      <w:r>
        <w:rPr>
          <w:rFonts w:ascii="Calibri" w:cs="Calibri" w:eastAsia="Calibri" w:hAnsi="Calibri"/>
          <w:b/>
          <w:bCs/>
          <w:i w:val="false"/>
          <w:iCs w:val="false"/>
          <w:color w:val="1C1917"/>
          <w:sz w:val="21"/>
          <w:szCs w:val="21"/>
        </w:rPr>
        <w:t xml:space="preserve">Primary domain: </w:t>
      </w:r>
      <w:r>
        <w:rPr>
          <w:rFonts w:ascii="Calibri" w:cs="Calibri" w:eastAsia="Calibri" w:hAnsi="Calibri"/>
          <w:b w:val="false"/>
          <w:bCs w:val="false"/>
          <w:i w:val="false"/>
          <w:iCs w:val="false"/>
          <w:color w:val="B98A2E"/>
          <w:sz w:val="21"/>
          <w:szCs w:val="21"/>
        </w:rPr>
        <w:t xml:space="preserve">[ and reviewer name ]</w:t>
      </w:r>
    </w:p>
    <w:p>
      <w:pPr>
        <w:spacing w:after="110"/>
      </w:pPr>
      <w:r>
        <w:rPr>
          <w:rFonts w:ascii="Calibri" w:cs="Calibri" w:eastAsia="Calibri" w:hAnsi="Calibri"/>
          <w:b/>
          <w:bCs/>
          <w:i w:val="false"/>
          <w:iCs w:val="false"/>
          <w:color w:val="1C1917"/>
          <w:sz w:val="21"/>
          <w:szCs w:val="21"/>
        </w:rPr>
        <w:t xml:space="preserve">Domains touched: </w:t>
      </w:r>
      <w:r>
        <w:rPr>
          <w:rFonts w:ascii="Calibri" w:cs="Calibri" w:eastAsia="Calibri" w:hAnsi="Calibri"/>
          <w:b w:val="false"/>
          <w:bCs w:val="false"/>
          <w:i w:val="false"/>
          <w:iCs w:val="false"/>
          <w:color w:val="B98A2E"/>
          <w:sz w:val="21"/>
          <w:szCs w:val="21"/>
        </w:rPr>
        <w:t xml:space="preserve">[  ]</w:t>
      </w:r>
    </w:p>
    <w:p>
      <w:pPr>
        <w:spacing w:after="110"/>
      </w:pPr>
      <w:r>
        <w:rPr>
          <w:rFonts w:ascii="Calibri" w:cs="Calibri" w:eastAsia="Calibri" w:hAnsi="Calibri"/>
          <w:b/>
          <w:bCs/>
          <w:i w:val="false"/>
          <w:iCs w:val="false"/>
          <w:color w:val="1C1917"/>
          <w:sz w:val="21"/>
          <w:szCs w:val="21"/>
        </w:rPr>
        <w:t xml:space="preserve">Route recommendation: </w:t>
      </w:r>
      <w:r>
        <w:rPr>
          <w:rFonts w:ascii="Calibri" w:cs="Calibri" w:eastAsia="Calibri" w:hAnsi="Calibri"/>
          <w:b w:val="false"/>
          <w:bCs w:val="false"/>
          <w:i w:val="false"/>
          <w:iCs w:val="false"/>
          <w:color w:val="B98A2E"/>
          <w:sz w:val="21"/>
          <w:szCs w:val="21"/>
        </w:rPr>
        <w:t xml:space="preserve">[ build / buy / extend what exists, with one sentence of reasoning ]</w:t>
      </w:r>
    </w:p>
    <w:p>
      <w:pPr>
        <w:pStyle w:val="Heading2"/>
        <w:spacing w:after="70" w:before="220"/>
      </w:pPr>
      <w:r>
        <w:rPr>
          <w:rFonts w:ascii="Cambria" w:cs="Cambria" w:eastAsia="Cambria" w:hAnsi="Cambria"/>
          <w:b/>
          <w:bCs/>
          <w:color w:val="1C1917"/>
          <w:sz w:val="26"/>
          <w:szCs w:val="26"/>
        </w:rPr>
        <w:t xml:space="preserve">Impact list</w:t>
      </w:r>
    </w:p>
    <w:p>
      <w:pPr>
        <w:spacing w:after="110"/>
      </w:pPr>
      <w:r>
        <w:rPr>
          <w:rFonts w:ascii="Calibri" w:cs="Calibri" w:eastAsia="Calibri" w:hAnsi="Calibri"/>
          <w:b w:val="false"/>
          <w:bCs w:val="false"/>
          <w:i/>
          <w:iCs/>
          <w:color w:val="7D766E"/>
          <w:sz w:val="21"/>
          <w:szCs w:val="21"/>
        </w:rPr>
        <w:t xml:space="preserve">Counts plus names. Generated from the repository, not written by hand.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5000"/>
      </w:tblGrid>
      <w:tr>
        <w:tc>
          <w:tcPr>
            <w:tcW w:type="dxa" w:w="32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Layer</w:t>
            </w:r>
          </w:p>
        </w:tc>
        <w:tc>
          <w:tcPr>
            <w:tcW w:type="dxa" w:w="16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Count</w:t>
            </w:r>
          </w:p>
        </w:tc>
        <w:tc>
          <w:tcPr>
            <w:tcW w:type="dxa" w:w="5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Named in</w:t>
            </w:r>
          </w:p>
        </w:tc>
      </w:tr>
      <w:tr>
        <w:tc>
          <w:tcPr>
            <w:tcW w:type="dxa" w:w="32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Applications affected</w:t>
            </w:r>
          </w:p>
        </w:tc>
        <w:tc>
          <w:tcPr>
            <w:tcW w:type="dxa" w:w="1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 n ]</w:t>
            </w:r>
          </w:p>
        </w:tc>
        <w:tc>
          <w:tcPr>
            <w:tcW w:type="dxa" w:w="5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appendix A</w:t>
            </w:r>
          </w:p>
        </w:tc>
      </w:tr>
      <w:tr>
        <w:tc>
          <w:tcPr>
            <w:tcW w:type="dxa" w:w="32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Interfaces affected</w:t>
            </w:r>
          </w:p>
        </w:tc>
        <w:tc>
          <w:tcPr>
            <w:tcW w:type="dxa" w:w="1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 n ]</w:t>
            </w:r>
          </w:p>
        </w:tc>
        <w:tc>
          <w:tcPr>
            <w:tcW w:type="dxa" w:w="5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appendix A, with owners</w:t>
            </w:r>
          </w:p>
        </w:tc>
      </w:tr>
      <w:tr>
        <w:tc>
          <w:tcPr>
            <w:tcW w:type="dxa" w:w="32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Objects touched</w:t>
            </w:r>
          </w:p>
        </w:tc>
        <w:tc>
          <w:tcPr>
            <w:tcW w:type="dxa" w:w="1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 n ]</w:t>
            </w:r>
          </w:p>
        </w:tc>
        <w:tc>
          <w:tcPr>
            <w:tcW w:type="dxa" w:w="5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of which [ n ] not mastered by this project</w:t>
            </w:r>
          </w:p>
        </w:tc>
      </w:tr>
      <w:tr>
        <w:tc>
          <w:tcPr>
            <w:tcW w:type="dxa" w:w="32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Markets in scope</w:t>
            </w:r>
          </w:p>
        </w:tc>
        <w:tc>
          <w:tcPr>
            <w:tcW w:type="dxa" w:w="1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 n ]</w:t>
            </w:r>
          </w:p>
        </w:tc>
        <w:tc>
          <w:tcPr>
            <w:tcW w:type="dxa" w:w="5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of which [ n ] not yet informed</w:t>
            </w:r>
          </w:p>
        </w:tc>
      </w:tr>
      <w:tr>
        <w:tc>
          <w:tcPr>
            <w:tcW w:type="dxa" w:w="32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Open exceptions in scope</w:t>
            </w:r>
          </w:p>
        </w:tc>
        <w:tc>
          <w:tcPr>
            <w:tcW w:type="dxa" w:w="1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 n ]</w:t>
            </w:r>
          </w:p>
        </w:tc>
        <w:tc>
          <w:tcPr>
            <w:tcW w:type="dxa" w:w="5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expiring inside the project window</w:t>
            </w:r>
          </w:p>
        </w:tc>
      </w:tr>
    </w:tbl>
    <w:p>
      <w:pPr>
        <w:pStyle w:val="Heading2"/>
        <w:spacing w:after="70" w:before="220"/>
      </w:pPr>
      <w:r>
        <w:rPr>
          <w:rFonts w:ascii="Cambria" w:cs="Cambria" w:eastAsia="Cambria" w:hAnsi="Cambria"/>
          <w:b/>
          <w:bCs/>
          <w:color w:val="1C1917"/>
          <w:sz w:val="26"/>
          <w:szCs w:val="26"/>
        </w:rPr>
        <w:t xml:space="preserve">Design inputs</w:t>
      </w:r>
    </w:p>
    <w:p>
      <w:pPr>
        <w:spacing w:after="110"/>
      </w:pPr>
      <w:r>
        <w:rPr>
          <w:rFonts w:ascii="Calibri" w:cs="Calibri" w:eastAsia="Calibri" w:hAnsi="Calibri"/>
          <w:b w:val="false"/>
          <w:bCs w:val="false"/>
          <w:i/>
          <w:iCs/>
          <w:color w:val="7D766E"/>
          <w:sz w:val="21"/>
          <w:szCs w:val="21"/>
        </w:rPr>
        <w:t xml:space="preserve">Context that shapes the solution without dictating it. Handed over in a conversation on the day the domain is assigned, not posted to a portal.</w:t>
      </w:r>
    </w:p>
    <w:p>
      <w:pPr>
        <w:spacing w:after="110"/>
      </w:pPr>
      <w:r>
        <w:rPr>
          <w:rFonts w:ascii="Calibri" w:cs="Calibri" w:eastAsia="Calibri" w:hAnsi="Calibri"/>
          <w:b/>
          <w:bCs/>
          <w:i w:val="false"/>
          <w:iCs w:val="false"/>
          <w:color w:val="1C1917"/>
          <w:sz w:val="21"/>
          <w:szCs w:val="21"/>
        </w:rPr>
        <w:t xml:space="preserve">Target architecture for this domain: </w:t>
      </w:r>
      <w:r>
        <w:rPr>
          <w:rFonts w:ascii="Calibri" w:cs="Calibri" w:eastAsia="Calibri" w:hAnsi="Calibri"/>
          <w:b w:val="false"/>
          <w:bCs w:val="false"/>
          <w:i w:val="false"/>
          <w:iCs w:val="false"/>
          <w:color w:val="B98A2E"/>
          <w:sz w:val="21"/>
          <w:szCs w:val="21"/>
        </w:rPr>
        <w:t xml:space="preserve">[  ]</w:t>
      </w:r>
    </w:p>
    <w:p>
      <w:pPr>
        <w:spacing w:after="110"/>
      </w:pPr>
      <w:r>
        <w:rPr>
          <w:rFonts w:ascii="Calibri" w:cs="Calibri" w:eastAsia="Calibri" w:hAnsi="Calibri"/>
          <w:b/>
          <w:bCs/>
          <w:i w:val="false"/>
          <w:iCs w:val="false"/>
          <w:color w:val="1C1917"/>
          <w:sz w:val="21"/>
          <w:szCs w:val="21"/>
        </w:rPr>
        <w:t xml:space="preserve">Patterns that already solve part of this: </w:t>
      </w:r>
      <w:r>
        <w:rPr>
          <w:rFonts w:ascii="Calibri" w:cs="Calibri" w:eastAsia="Calibri" w:hAnsi="Calibri"/>
          <w:b w:val="false"/>
          <w:bCs w:val="false"/>
          <w:i w:val="false"/>
          <w:iCs w:val="false"/>
          <w:color w:val="B98A2E"/>
          <w:sz w:val="21"/>
          <w:szCs w:val="21"/>
        </w:rPr>
        <w:t xml:space="preserve">[  ]</w:t>
      </w:r>
    </w:p>
    <w:p>
      <w:pPr>
        <w:spacing w:after="110"/>
      </w:pPr>
      <w:r>
        <w:rPr>
          <w:rFonts w:ascii="Calibri" w:cs="Calibri" w:eastAsia="Calibri" w:hAnsi="Calibri"/>
          <w:b/>
          <w:bCs/>
          <w:i w:val="false"/>
          <w:iCs w:val="false"/>
          <w:color w:val="1C1917"/>
          <w:sz w:val="21"/>
          <w:szCs w:val="21"/>
        </w:rPr>
        <w:t xml:space="preserve">Objects in scope and who masters each: </w:t>
      </w:r>
      <w:r>
        <w:rPr>
          <w:rFonts w:ascii="Calibri" w:cs="Calibri" w:eastAsia="Calibri" w:hAnsi="Calibri"/>
          <w:b w:val="false"/>
          <w:bCs w:val="false"/>
          <w:i w:val="false"/>
          <w:iCs w:val="false"/>
          <w:color w:val="B98A2E"/>
          <w:sz w:val="21"/>
          <w:szCs w:val="21"/>
        </w:rPr>
        <w:t xml:space="preserve">[  ]</w:t>
      </w:r>
    </w:p>
    <w:p>
      <w:pPr>
        <w:spacing w:after="110"/>
      </w:pPr>
      <w:r>
        <w:rPr>
          <w:rFonts w:ascii="Calibri" w:cs="Calibri" w:eastAsia="Calibri" w:hAnsi="Calibri"/>
          <w:b/>
          <w:bCs/>
          <w:i w:val="false"/>
          <w:iCs w:val="false"/>
          <w:color w:val="1C1917"/>
          <w:sz w:val="21"/>
          <w:szCs w:val="21"/>
        </w:rPr>
        <w:t xml:space="preserve">Markets with residency or statutory constraints: </w:t>
      </w:r>
      <w:r>
        <w:rPr>
          <w:rFonts w:ascii="Calibri" w:cs="Calibri" w:eastAsia="Calibri" w:hAnsi="Calibri"/>
          <w:b w:val="false"/>
          <w:bCs w:val="false"/>
          <w:i w:val="false"/>
          <w:iCs w:val="false"/>
          <w:color w:val="B98A2E"/>
          <w:sz w:val="21"/>
          <w:szCs w:val="21"/>
        </w:rPr>
        <w:t xml:space="preserve">[  ]</w:t>
      </w:r>
    </w:p>
    <w:p>
      <w:pPr>
        <w:pStyle w:val="Heading2"/>
        <w:spacing w:after="70" w:before="220"/>
      </w:pPr>
      <w:r>
        <w:rPr>
          <w:rFonts w:ascii="Cambria" w:cs="Cambria" w:eastAsia="Cambria" w:hAnsi="Cambria"/>
          <w:b/>
          <w:bCs/>
          <w:color w:val="1C1917"/>
          <w:sz w:val="26"/>
          <w:szCs w:val="26"/>
        </w:rPr>
        <w:t xml:space="preserve">Constraints</w:t>
      </w:r>
    </w:p>
    <w:p>
      <w:pPr>
        <w:spacing w:after="110"/>
      </w:pPr>
      <w:r>
        <w:rPr>
          <w:rFonts w:ascii="Calibri" w:cs="Calibri" w:eastAsia="Calibri" w:hAnsi="Calibri"/>
          <w:b w:val="false"/>
          <w:bCs w:val="false"/>
          <w:i/>
          <w:iCs/>
          <w:color w:val="7D766E"/>
          <w:sz w:val="21"/>
          <w:szCs w:val="21"/>
        </w:rPr>
        <w:t xml:space="preserve">Five to eight, numbered, each with its test. Full anatomy in section 6.</w:t>
      </w:r>
    </w:p>
    <w:p>
      <w:pPr>
        <w:pStyle w:val="Heading2"/>
        <w:spacing w:after="70" w:before="220"/>
      </w:pPr>
      <w:r>
        <w:rPr>
          <w:rFonts w:ascii="Cambria" w:cs="Cambria" w:eastAsia="Cambria" w:hAnsi="Cambria"/>
          <w:b/>
          <w:bCs/>
          <w:color w:val="1C1917"/>
          <w:sz w:val="26"/>
          <w:szCs w:val="26"/>
        </w:rPr>
        <w:t xml:space="preserve">Conformance checks</w:t>
      </w:r>
    </w:p>
    <w:p>
      <w:pPr>
        <w:spacing w:after="110"/>
      </w:pPr>
      <w:r>
        <w:rPr>
          <w:rFonts w:ascii="Calibri" w:cs="Calibri" w:eastAsia="Calibri" w:hAnsi="Calibri"/>
          <w:b w:val="false"/>
          <w:bCs w:val="false"/>
          <w:i/>
          <w:iCs/>
          <w:color w:val="7D766E"/>
          <w:sz w:val="21"/>
          <w:szCs w:val="21"/>
        </w:rPr>
        <w:t xml:space="preserve">Goes into the definition of done, checked by whoever already checks it.</w:t>
      </w:r>
    </w:p>
    <w:p>
      <w:pPr>
        <w:pStyle w:val="ListParagraph"/>
        <w:numPr>
          <w:ilvl w:val="0"/>
          <w:numId w:val="2"/>
        </w:numPr>
        <w:spacing w:after="55"/>
      </w:pPr>
      <w:r>
        <w:rPr>
          <w:rFonts w:ascii="Calibri" w:cs="Calibri" w:eastAsia="Calibri" w:hAnsi="Calibri"/>
          <w:color w:val="57534E"/>
          <w:sz w:val="21"/>
          <w:szCs w:val="21"/>
        </w:rPr>
        <w:t xml:space="preserve">Every new interface registered with a contract type and an owner.</w:t>
      </w:r>
    </w:p>
    <w:p>
      <w:pPr>
        <w:pStyle w:val="ListParagraph"/>
        <w:numPr>
          <w:ilvl w:val="0"/>
          <w:numId w:val="2"/>
        </w:numPr>
        <w:spacing w:after="55"/>
      </w:pPr>
      <w:r>
        <w:rPr>
          <w:rFonts w:ascii="Calibri" w:cs="Calibri" w:eastAsia="Calibri" w:hAnsi="Calibri"/>
          <w:color w:val="57534E"/>
          <w:sz w:val="21"/>
          <w:szCs w:val="21"/>
        </w:rPr>
        <w:t xml:space="preserve">Object links updated for anything created, changed or copied.</w:t>
      </w:r>
    </w:p>
    <w:p>
      <w:pPr>
        <w:pStyle w:val="ListParagraph"/>
        <w:numPr>
          <w:ilvl w:val="0"/>
          <w:numId w:val="2"/>
        </w:numPr>
        <w:spacing w:after="55"/>
      </w:pPr>
      <w:r>
        <w:rPr>
          <w:rFonts w:ascii="Calibri" w:cs="Calibri" w:eastAsia="Calibri" w:hAnsi="Calibri"/>
          <w:color w:val="57534E"/>
          <w:sz w:val="21"/>
          <w:szCs w:val="21"/>
        </w:rPr>
        <w:t xml:space="preserve">Any deviation registered as an exception with an expiry date.</w:t>
      </w:r>
    </w:p>
    <w:p>
      <w:pPr>
        <w:spacing w:after="110"/>
      </w:pPr>
      <w:r>
        <w:rPr>
          <w:rFonts w:ascii="Calibri" w:cs="Calibri" w:eastAsia="Calibri" w:hAnsi="Calibri"/>
          <w:b/>
          <w:bCs/>
          <w:i w:val="false"/>
          <w:iCs w:val="false"/>
          <w:color w:val="57534E"/>
          <w:sz w:val="21"/>
          <w:szCs w:val="21"/>
        </w:rPr>
        <w:t xml:space="preserve">Tone rule, which is not optional: it must be readable by a project manager with no architect present. If explaining it requires a meeting, it will not be used, and the meeting will not be booked.</w:t>
      </w:r>
    </w:p>
    <w:p>
      <w:r>
        <w:br w:type="page"/>
      </w:r>
    </w:p>
    <w:p>
      <w:pPr>
        <w:pStyle w:val="Heading1"/>
        <w:spacing w:after="110" w:before="340"/>
      </w:pPr>
      <w:r>
        <w:rPr>
          <w:rFonts w:ascii="Cambria" w:cs="Cambria" w:eastAsia="Cambria" w:hAnsi="Cambria"/>
          <w:b/>
          <w:bCs/>
          <w:color w:val="1C1917"/>
          <w:sz w:val="32"/>
          <w:szCs w:val="32"/>
        </w:rPr>
        <w:t xml:space="preserve">6. Constraints, design inputs, conformance checks</w:t>
      </w:r>
    </w:p>
    <w:p>
      <w:pPr>
        <w:spacing w:after="150"/>
      </w:pPr>
      <w:r>
        <w:rPr>
          <w:rFonts w:ascii="Calibri" w:cs="Calibri" w:eastAsia="Calibri" w:hAnsi="Calibri"/>
          <w:i/>
          <w:iCs/>
          <w:color w:val="14606B"/>
          <w:sz w:val="19"/>
          <w:szCs w:val="19"/>
        </w:rPr>
        <w:t xml:space="preserve">Three different things that get called one thing, and the name decides where each lands.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2000"/>
        <w:gridCol w:w="2000"/>
      </w:tblGrid>
      <w:tr>
        <w:tc>
          <w:tcPr>
            <w:tcW w:type="dxa" w:w="2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Type</w:t>
            </w:r>
          </w:p>
        </w:tc>
        <w:tc>
          <w:tcPr>
            <w:tcW w:type="dxa" w:w="38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What it is</w:t>
            </w:r>
          </w:p>
        </w:tc>
        <w:tc>
          <w:tcPr>
            <w:tcW w:type="dxa" w:w="2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Where it lands</w:t>
            </w:r>
          </w:p>
        </w:tc>
        <w:tc>
          <w:tcPr>
            <w:tcW w:type="dxa" w:w="2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Who checks it</w:t>
            </w:r>
          </w:p>
        </w:tc>
      </w:tr>
      <w:tr>
        <w:tc>
          <w:tcPr>
            <w:tcW w:type="dxa" w:w="2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Constraint</w:t>
            </w:r>
          </w:p>
        </w:tc>
        <w:tc>
          <w:tcPr>
            <w:tcW w:type="dxa" w:w="3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must, with a reason and an expiry. Not tradeable by the project; deviable through a registered exception</w:t>
            </w:r>
          </w:p>
        </w:tc>
        <w:tc>
          <w:tcPr>
            <w:tcW w:type="dxa" w:w="2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gate paper</w:t>
            </w:r>
          </w:p>
        </w:tc>
        <w:tc>
          <w:tcPr>
            <w:tcW w:type="dxa" w:w="2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reviewing architect, at the gate</w:t>
            </w:r>
          </w:p>
        </w:tc>
      </w:tr>
      <w:tr>
        <w:tc>
          <w:tcPr>
            <w:tcW w:type="dxa" w:w="20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Design input</w:t>
            </w:r>
          </w:p>
        </w:tc>
        <w:tc>
          <w:tcPr>
            <w:tcW w:type="dxa" w:w="38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Context that shapes the solution without dictating it</w:t>
            </w:r>
          </w:p>
        </w:tc>
        <w:tc>
          <w:tcPr>
            <w:tcW w:type="dxa" w:w="2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With the designer, before the first sketch</w:t>
            </w:r>
          </w:p>
        </w:tc>
        <w:tc>
          <w:tcPr>
            <w:tcW w:type="dxa" w:w="2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Nobody - its value is entirely in arriving early</w:t>
            </w:r>
          </w:p>
        </w:tc>
      </w:tr>
      <w:tr>
        <w:tc>
          <w:tcPr>
            <w:tcW w:type="dxa" w:w="2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Conformance check</w:t>
            </w:r>
          </w:p>
        </w:tc>
        <w:tc>
          <w:tcPr>
            <w:tcW w:type="dxa" w:w="3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Something verified at a specific moment</w:t>
            </w:r>
          </w:p>
        </w:tc>
        <w:tc>
          <w:tcPr>
            <w:tcW w:type="dxa" w:w="2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definition of done, or the closure checklist</w:t>
            </w:r>
          </w:p>
        </w:tc>
        <w:tc>
          <w:tcPr>
            <w:tcW w:type="dxa" w:w="2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Whoever already checks the definition of done</w:t>
            </w:r>
          </w:p>
        </w:tc>
      </w:tr>
    </w:tbl>
    <w:p>
      <w:pPr>
        <w:spacing w:after="110"/>
      </w:pPr>
      <w:r>
        <w:rPr>
          <w:rFonts w:ascii="Calibri" w:cs="Calibri" w:eastAsia="Calibri" w:hAnsi="Calibri"/>
          <w:b w:val="false"/>
          <w:bCs w:val="false"/>
          <w:i/>
          <w:iCs/>
          <w:color w:val="57534E"/>
          <w:sz w:val="21"/>
          <w:szCs w:val="21"/>
        </w:rPr>
        <w:t xml:space="preserve">"Requirement" is the wrong word for all three. A requirement is something a project may trade away against cost and time - that is what requirements are for - so an architecture statement filed as a requirement gets descoped, correctly, by people whose job is descoping. And because requirements are cheap to write, the name invites a wishlist, and a wishlist of thirty is a wishlist of none.</w:t>
      </w:r>
    </w:p>
    <w:p>
      <w:pPr>
        <w:pStyle w:val="Heading2"/>
        <w:spacing w:after="70" w:before="220"/>
      </w:pPr>
      <w:r>
        <w:rPr>
          <w:rFonts w:ascii="Cambria" w:cs="Cambria" w:eastAsia="Cambria" w:hAnsi="Cambria"/>
          <w:b/>
          <w:bCs/>
          <w:color w:val="1C1917"/>
          <w:sz w:val="26"/>
          <w:szCs w:val="26"/>
        </w:rPr>
        <w:t xml:space="preserve">Anatomy of a constraint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Field</w:t>
            </w:r>
          </w:p>
        </w:tc>
        <w:tc>
          <w:tcPr>
            <w:tcW w:type="dxa" w:w="68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Purpose</w:t>
            </w:r>
          </w:p>
        </w:tc>
      </w:tr>
      <w:tr>
        <w:tc>
          <w:tcPr>
            <w:tcW w:type="dxa" w:w="28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ID</w:t>
            </w:r>
          </w:p>
        </w:tc>
        <w:tc>
          <w:tcPr>
            <w:tcW w:type="dxa" w:w="6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So it can be cited and closed</w:t>
            </w:r>
          </w:p>
        </w:tc>
      </w:tr>
      <w:tr>
        <w:tc>
          <w:tcPr>
            <w:tcW w:type="dxa" w:w="28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Statement</w:t>
            </w:r>
          </w:p>
        </w:tc>
        <w:tc>
          <w:tcPr>
            <w:tcW w:type="dxa" w:w="68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One sentence, imperative</w:t>
            </w:r>
          </w:p>
        </w:tc>
      </w:tr>
      <w:tr>
        <w:tc>
          <w:tcPr>
            <w:tcW w:type="dxa" w:w="28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Reason</w:t>
            </w:r>
          </w:p>
        </w:tc>
        <w:tc>
          <w:tcPr>
            <w:tcW w:type="dxa" w:w="6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For this organization, naming what went wrong or the commitment being served. A constraint without a reason gets negotiated</w:t>
            </w:r>
          </w:p>
        </w:tc>
      </w:tr>
      <w:tr>
        <w:tc>
          <w:tcPr>
            <w:tcW w:type="dxa" w:w="28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Source</w:t>
            </w:r>
          </w:p>
        </w:tc>
        <w:tc>
          <w:tcPr>
            <w:tcW w:type="dxa" w:w="68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principle, a pattern, a board decision, a law. Visibly derived rather than invented</w:t>
            </w:r>
          </w:p>
        </w:tc>
      </w:tr>
      <w:tr>
        <w:tc>
          <w:tcPr>
            <w:tcW w:type="dxa" w:w="28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Test</w:t>
            </w:r>
          </w:p>
        </w:tc>
        <w:tc>
          <w:tcPr>
            <w:tcW w:type="dxa" w:w="6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Answerable alone, in five minutes, yes or no</w:t>
            </w:r>
          </w:p>
        </w:tc>
      </w:tr>
      <w:tr>
        <w:tc>
          <w:tcPr>
            <w:tcW w:type="dxa" w:w="28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Owner</w:t>
            </w:r>
          </w:p>
        </w:tc>
        <w:tc>
          <w:tcPr>
            <w:tcW w:type="dxa" w:w="68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named architect who will take the call</w:t>
            </w:r>
          </w:p>
        </w:tc>
      </w:tr>
      <w:tr>
        <w:tc>
          <w:tcPr>
            <w:tcW w:type="dxa" w:w="28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Expiry or review date</w:t>
            </w:r>
          </w:p>
        </w:tc>
        <w:tc>
          <w:tcPr>
            <w:tcW w:type="dxa" w:w="6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Some constraints exist only until a platform lands</w:t>
            </w:r>
          </w:p>
        </w:tc>
      </w:tr>
      <w:tr>
        <w:tc>
          <w:tcPr>
            <w:tcW w:type="dxa" w:w="28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Exception route</w:t>
            </w:r>
          </w:p>
        </w:tc>
        <w:tc>
          <w:tcPr>
            <w:tcW w:type="dxa" w:w="68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Stated on the constraint itself. One with no legitimate way to deviate gets violated silently</w:t>
            </w:r>
          </w:p>
        </w:tc>
      </w:tr>
      <w:tr>
        <w:tc>
          <w:tcPr>
            <w:tcW w:type="dxa" w:w="28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Closure status</w:t>
            </w:r>
          </w:p>
        </w:tc>
        <w:tc>
          <w:tcPr>
            <w:tcW w:type="dxa" w:w="6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At project close: met, deviated with a registered exception, or withdrawn. Never left open</w:t>
            </w:r>
          </w:p>
        </w:tc>
      </w:tr>
    </w:tbl>
    <w:p>
      <w:pPr>
        <w:pStyle w:val="Heading2"/>
        <w:spacing w:after="70" w:before="220"/>
      </w:pPr>
      <w:r>
        <w:rPr>
          <w:rFonts w:ascii="Cambria" w:cs="Cambria" w:eastAsia="Cambria" w:hAnsi="Cambria"/>
          <w:b/>
          <w:bCs/>
          <w:color w:val="1C1917"/>
          <w:sz w:val="26"/>
          <w:szCs w:val="26"/>
        </w:rPr>
        <w:t xml:space="preserve">Worked constraint</w:t>
      </w:r>
    </w:p>
    <w:p>
      <w:pPr>
        <w:spacing w:after="110"/>
      </w:pPr>
      <w:r>
        <w:rPr>
          <w:rFonts w:ascii="Calibri" w:cs="Calibri" w:eastAsia="Calibri" w:hAnsi="Calibri"/>
          <w:b/>
          <w:bCs/>
          <w:i w:val="false"/>
          <w:iCs w:val="false"/>
          <w:color w:val="1C1917"/>
          <w:sz w:val="21"/>
          <w:szCs w:val="21"/>
        </w:rPr>
        <w:t xml:space="preserve">CON-04: </w:t>
      </w:r>
      <w:r>
        <w:rPr>
          <w:rFonts w:ascii="Calibri" w:cs="Calibri" w:eastAsia="Calibri" w:hAnsi="Calibri"/>
          <w:b w:val="false"/>
          <w:bCs w:val="false"/>
          <w:i w:val="false"/>
          <w:iCs w:val="false"/>
          <w:color w:val="57534E"/>
          <w:sz w:val="21"/>
          <w:szCs w:val="21"/>
        </w:rPr>
        <w:t xml:space="preserve">Every interface to the core uses a released API or event.</w:t>
      </w:r>
    </w:p>
    <w:p>
      <w:pPr>
        <w:spacing w:after="110"/>
      </w:pPr>
      <w:r>
        <w:rPr>
          <w:rFonts w:ascii="Calibri" w:cs="Calibri" w:eastAsia="Calibri" w:hAnsi="Calibri"/>
          <w:b/>
          <w:bCs/>
          <w:i w:val="false"/>
          <w:iCs w:val="false"/>
          <w:color w:val="1C1917"/>
          <w:sz w:val="21"/>
          <w:szCs w:val="21"/>
        </w:rPr>
        <w:t xml:space="preserve">Reason: </w:t>
      </w:r>
      <w:r>
        <w:rPr>
          <w:rFonts w:ascii="Calibri" w:cs="Calibri" w:eastAsia="Calibri" w:hAnsi="Calibri"/>
          <w:b w:val="false"/>
          <w:bCs w:val="false"/>
          <w:i w:val="false"/>
          <w:iCs w:val="false"/>
          <w:color w:val="57534E"/>
          <w:sz w:val="21"/>
          <w:szCs w:val="21"/>
        </w:rPr>
        <w:t xml:space="preserve">Two direct table reads built in 2022 broke the last upgrade and cost a weekend of unplanned work.</w:t>
      </w:r>
    </w:p>
    <w:p>
      <w:pPr>
        <w:spacing w:after="110"/>
      </w:pPr>
      <w:r>
        <w:rPr>
          <w:rFonts w:ascii="Calibri" w:cs="Calibri" w:eastAsia="Calibri" w:hAnsi="Calibri"/>
          <w:b/>
          <w:bCs/>
          <w:i w:val="false"/>
          <w:iCs w:val="false"/>
          <w:color w:val="1C1917"/>
          <w:sz w:val="21"/>
          <w:szCs w:val="21"/>
        </w:rPr>
        <w:t xml:space="preserve">Source: </w:t>
      </w:r>
      <w:r>
        <w:rPr>
          <w:rFonts w:ascii="Calibri" w:cs="Calibri" w:eastAsia="Calibri" w:hAnsi="Calibri"/>
          <w:b w:val="false"/>
          <w:bCs w:val="false"/>
          <w:i w:val="false"/>
          <w:iCs w:val="false"/>
          <w:color w:val="57534E"/>
          <w:sz w:val="21"/>
          <w:szCs w:val="21"/>
        </w:rPr>
        <w:t xml:space="preserve">Integration standard rule 1; board decision ADR-063.</w:t>
      </w:r>
    </w:p>
    <w:p>
      <w:pPr>
        <w:spacing w:after="110"/>
      </w:pPr>
      <w:r>
        <w:rPr>
          <w:rFonts w:ascii="Calibri" w:cs="Calibri" w:eastAsia="Calibri" w:hAnsi="Calibri"/>
          <w:b/>
          <w:bCs/>
          <w:i w:val="false"/>
          <w:iCs w:val="false"/>
          <w:color w:val="1C1917"/>
          <w:sz w:val="21"/>
          <w:szCs w:val="21"/>
        </w:rPr>
        <w:t xml:space="preserve">Test: </w:t>
      </w:r>
      <w:r>
        <w:rPr>
          <w:rFonts w:ascii="Calibri" w:cs="Calibri" w:eastAsia="Calibri" w:hAnsi="Calibri"/>
          <w:b w:val="false"/>
          <w:bCs w:val="false"/>
          <w:i w:val="false"/>
          <w:iCs w:val="false"/>
          <w:color w:val="57534E"/>
          <w:sz w:val="21"/>
          <w:szCs w:val="21"/>
        </w:rPr>
        <w:t xml:space="preserve">Name the API or event for each integration point in your design. If you cannot name one, raise it now rather than at the review.</w:t>
      </w:r>
    </w:p>
    <w:p>
      <w:pPr>
        <w:spacing w:after="110"/>
      </w:pPr>
      <w:r>
        <w:rPr>
          <w:rFonts w:ascii="Calibri" w:cs="Calibri" w:eastAsia="Calibri" w:hAnsi="Calibri"/>
          <w:b/>
          <w:bCs/>
          <w:i w:val="false"/>
          <w:iCs w:val="false"/>
          <w:color w:val="1C1917"/>
          <w:sz w:val="21"/>
          <w:szCs w:val="21"/>
        </w:rPr>
        <w:t xml:space="preserve">Exception route: </w:t>
      </w:r>
      <w:r>
        <w:rPr>
          <w:rFonts w:ascii="Calibri" w:cs="Calibri" w:eastAsia="Calibri" w:hAnsi="Calibri"/>
          <w:b w:val="false"/>
          <w:bCs w:val="false"/>
          <w:i w:val="false"/>
          <w:iCs w:val="false"/>
          <w:color w:val="57534E"/>
          <w:sz w:val="21"/>
          <w:szCs w:val="21"/>
        </w:rPr>
        <w:t xml:space="preserve">Registered bridge with an end date, approved in the design forum.</w:t>
      </w:r>
    </w:p>
    <w:p>
      <w:pPr>
        <w:spacing w:after="110"/>
      </w:pPr>
      <w:r>
        <w:rPr>
          <w:rFonts w:ascii="Calibri" w:cs="Calibri" w:eastAsia="Calibri" w:hAnsi="Calibri"/>
          <w:b/>
          <w:bCs/>
          <w:i w:val="false"/>
          <w:iCs w:val="false"/>
          <w:color w:val="57534E"/>
          <w:sz w:val="21"/>
          <w:szCs w:val="21"/>
        </w:rPr>
        <w:t xml:space="preserve">Five to eight per project. If you cannot get under eight, either the project is too big and should be split, or the domain's target architecture is not written down and you are compensating by writing it out one project at a time.</w:t>
      </w:r>
    </w:p>
    <w:p>
      <w:r>
        <w:br w:type="page"/>
      </w:r>
    </w:p>
    <w:p>
      <w:pPr>
        <w:pStyle w:val="Heading1"/>
        <w:spacing w:after="110" w:before="340"/>
      </w:pPr>
      <w:r>
        <w:rPr>
          <w:rFonts w:ascii="Cambria" w:cs="Cambria" w:eastAsia="Cambria" w:hAnsi="Cambria"/>
          <w:b/>
          <w:bCs/>
          <w:color w:val="1C1917"/>
          <w:sz w:val="32"/>
          <w:szCs w:val="32"/>
        </w:rPr>
        <w:t xml:space="preserve">7. The closure checklist</w:t>
      </w:r>
    </w:p>
    <w:p>
      <w:pPr>
        <w:spacing w:after="150"/>
      </w:pPr>
      <w:r>
        <w:rPr>
          <w:rFonts w:ascii="Calibri" w:cs="Calibri" w:eastAsia="Calibri" w:hAnsi="Calibri"/>
          <w:i/>
          <w:iCs/>
          <w:color w:val="14606B"/>
          <w:sz w:val="19"/>
          <w:szCs w:val="19"/>
        </w:rPr>
        <w:t xml:space="preserve">The single most effective mechanism in the whole apparatus, and the cheapest. Ninety minutes of a project manager's time.</w:t>
      </w:r>
    </w:p>
    <w:p>
      <w:pPr>
        <w:spacing w:after="110"/>
      </w:pPr>
      <w:r>
        <w:rPr>
          <w:rFonts w:ascii="Calibri" w:cs="Calibri" w:eastAsia="Calibri" w:hAnsi="Calibri"/>
          <w:b w:val="false"/>
          <w:bCs w:val="false"/>
          <w:i w:val="false"/>
          <w:iCs w:val="false"/>
          <w:color w:val="57534E"/>
          <w:sz w:val="21"/>
          <w:szCs w:val="21"/>
        </w:rPr>
        <w:t xml:space="preserve">It works because it lands at the moment when the people who know the answer are still in the room and still care about finishing. Make it counts, not free text, or you will receive prose - and prose cannot be checked.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0"/>
        <w:gridCol w:w="2600"/>
        <w:gridCol w:w="2000"/>
      </w:tblGrid>
      <w:tr>
        <w:tc>
          <w:tcPr>
            <w:tcW w:type="dxa" w:w="5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Item</w:t>
            </w:r>
          </w:p>
        </w:tc>
        <w:tc>
          <w:tcPr>
            <w:tcW w:type="dxa" w:w="26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Recorded as</w:t>
            </w:r>
          </w:p>
        </w:tc>
        <w:tc>
          <w:tcPr>
            <w:tcW w:type="dxa" w:w="2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Done</w:t>
            </w:r>
          </w:p>
        </w:tc>
      </w:tr>
      <w:tr>
        <w:tc>
          <w:tcPr>
            <w:tcW w:type="dxa" w:w="5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New applications registered with an owner</w:t>
            </w:r>
          </w:p>
        </w:tc>
        <w:tc>
          <w:tcPr>
            <w:tcW w:type="dxa" w:w="2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count</w:t>
            </w:r>
          </w:p>
        </w:tc>
        <w:tc>
          <w:tcPr>
            <w:tcW w:type="dxa" w:w="2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 ]</w:t>
            </w:r>
          </w:p>
        </w:tc>
      </w:tr>
      <w:tr>
        <w:tc>
          <w:tcPr>
            <w:tcW w:type="dxa" w:w="50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Applications retired, marked retired with a date</w:t>
            </w:r>
          </w:p>
        </w:tc>
        <w:tc>
          <w:tcPr>
            <w:tcW w:type="dxa" w:w="2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count</w:t>
            </w:r>
          </w:p>
        </w:tc>
        <w:tc>
          <w:tcPr>
            <w:tcW w:type="dxa" w:w="2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 ]</w:t>
            </w:r>
          </w:p>
        </w:tc>
      </w:tr>
      <w:tr>
        <w:tc>
          <w:tcPr>
            <w:tcW w:type="dxa" w:w="5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Interfaces registered with contract type, direction and owner</w:t>
            </w:r>
          </w:p>
        </w:tc>
        <w:tc>
          <w:tcPr>
            <w:tcW w:type="dxa" w:w="2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count</w:t>
            </w:r>
          </w:p>
        </w:tc>
        <w:tc>
          <w:tcPr>
            <w:tcW w:type="dxa" w:w="2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 ]</w:t>
            </w:r>
          </w:p>
        </w:tc>
      </w:tr>
      <w:tr>
        <w:tc>
          <w:tcPr>
            <w:tcW w:type="dxa" w:w="50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Object links updated for anything created, changed or copied</w:t>
            </w:r>
          </w:p>
        </w:tc>
        <w:tc>
          <w:tcPr>
            <w:tcW w:type="dxa" w:w="2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count</w:t>
            </w:r>
          </w:p>
        </w:tc>
        <w:tc>
          <w:tcPr>
            <w:tcW w:type="dxa" w:w="2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 ]</w:t>
            </w:r>
          </w:p>
        </w:tc>
      </w:tr>
      <w:tr>
        <w:tc>
          <w:tcPr>
            <w:tcW w:type="dxa" w:w="5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Mastership changes recorded on the factsheet</w:t>
            </w:r>
          </w:p>
        </w:tc>
        <w:tc>
          <w:tcPr>
            <w:tcW w:type="dxa" w:w="2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count</w:t>
            </w:r>
          </w:p>
        </w:tc>
        <w:tc>
          <w:tcPr>
            <w:tcW w:type="dxa" w:w="2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 ]</w:t>
            </w:r>
          </w:p>
        </w:tc>
      </w:tr>
      <w:tr>
        <w:tc>
          <w:tcPr>
            <w:tcW w:type="dxa" w:w="50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IT components added or moved, with region</w:t>
            </w:r>
          </w:p>
        </w:tc>
        <w:tc>
          <w:tcPr>
            <w:tcW w:type="dxa" w:w="2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count</w:t>
            </w:r>
          </w:p>
        </w:tc>
        <w:tc>
          <w:tcPr>
            <w:tcW w:type="dxa" w:w="2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 ]</w:t>
            </w:r>
          </w:p>
        </w:tc>
      </w:tr>
      <w:tr>
        <w:tc>
          <w:tcPr>
            <w:tcW w:type="dxa" w:w="5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Constraints met</w:t>
            </w:r>
          </w:p>
        </w:tc>
        <w:tc>
          <w:tcPr>
            <w:tcW w:type="dxa" w:w="2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count of total</w:t>
            </w:r>
          </w:p>
        </w:tc>
        <w:tc>
          <w:tcPr>
            <w:tcW w:type="dxa" w:w="2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 ]</w:t>
            </w:r>
          </w:p>
        </w:tc>
      </w:tr>
      <w:tr>
        <w:tc>
          <w:tcPr>
            <w:tcW w:type="dxa" w:w="50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Constraints deviated, each with a registered exception and expiry</w:t>
            </w:r>
          </w:p>
        </w:tc>
        <w:tc>
          <w:tcPr>
            <w:tcW w:type="dxa" w:w="2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count</w:t>
            </w:r>
          </w:p>
        </w:tc>
        <w:tc>
          <w:tcPr>
            <w:tcW w:type="dxa" w:w="2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 ]</w:t>
            </w:r>
          </w:p>
        </w:tc>
      </w:tr>
      <w:tr>
        <w:tc>
          <w:tcPr>
            <w:tcW w:type="dxa" w:w="5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Constraints withdrawn, with one line of reason</w:t>
            </w:r>
          </w:p>
        </w:tc>
        <w:tc>
          <w:tcPr>
            <w:tcW w:type="dxa" w:w="2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count</w:t>
            </w:r>
          </w:p>
        </w:tc>
        <w:tc>
          <w:tcPr>
            <w:tcW w:type="dxa" w:w="2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 ]</w:t>
            </w:r>
          </w:p>
        </w:tc>
      </w:tr>
      <w:tr>
        <w:tc>
          <w:tcPr>
            <w:tcW w:type="dxa" w:w="50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Exceptions closed by this project</w:t>
            </w:r>
          </w:p>
        </w:tc>
        <w:tc>
          <w:tcPr>
            <w:tcW w:type="dxa" w:w="2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count</w:t>
            </w:r>
          </w:p>
        </w:tc>
        <w:tc>
          <w:tcPr>
            <w:tcW w:type="dxa" w:w="2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 ]</w:t>
            </w:r>
          </w:p>
        </w:tc>
      </w:tr>
    </w:tbl>
    <w:p>
      <w:pPr>
        <w:spacing w:after="110"/>
      </w:pPr>
      <w:r>
        <w:rPr>
          <w:rFonts w:ascii="Calibri" w:cs="Calibri" w:eastAsia="Calibri" w:hAnsi="Calibri"/>
          <w:b w:val="false"/>
          <w:bCs w:val="false"/>
          <w:i/>
          <w:iCs/>
          <w:color w:val="57534E"/>
          <w:sz w:val="21"/>
          <w:szCs w:val="21"/>
        </w:rPr>
        <w:t xml:space="preserve">An open constraint from a project that closed eight months ago is how the whole apparatus loses its authority - quietly, without anybody deciding anything.</w:t>
      </w:r>
    </w:p>
    <w:p>
      <w:r>
        <w:br w:type="page"/>
      </w:r>
    </w:p>
    <w:p>
      <w:pPr>
        <w:pStyle w:val="Heading1"/>
        <w:spacing w:after="110" w:before="340"/>
      </w:pPr>
      <w:r>
        <w:rPr>
          <w:rFonts w:ascii="Cambria" w:cs="Cambria" w:eastAsia="Cambria" w:hAnsi="Cambria"/>
          <w:b/>
          <w:bCs/>
          <w:color w:val="1C1917"/>
          <w:sz w:val="32"/>
          <w:szCs w:val="32"/>
        </w:rPr>
        <w:t xml:space="preserve">8. The first sixty days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5400"/>
        <w:gridCol w:w="3200"/>
      </w:tblGrid>
      <w:tr>
        <w:tc>
          <w:tcPr>
            <w:tcW w:type="dxa" w:w="1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Weeks</w:t>
            </w:r>
          </w:p>
        </w:tc>
        <w:tc>
          <w:tcPr>
            <w:tcW w:type="dxa" w:w="54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Do</w:t>
            </w:r>
          </w:p>
        </w:tc>
        <w:tc>
          <w:tcPr>
            <w:tcW w:type="dxa" w:w="32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Do not</w:t>
            </w:r>
          </w:p>
        </w:tc>
      </w:tr>
      <w:tr>
        <w:tc>
          <w:tcPr>
            <w:tcW w:type="dxa" w:w="1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1-2</w:t>
            </w:r>
          </w:p>
        </w:tc>
        <w:tc>
          <w:tcPr>
            <w:tcW w:type="dxa" w:w="5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Draft eight to twelve domains on the capability map. For each: owner's name, core objects, three lines of target direction. Take it to the three people most likely to object</w:t>
            </w:r>
          </w:p>
        </w:tc>
        <w:tc>
          <w:tcPr>
            <w:tcW w:type="dxa" w:w="3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Do not draw them on the org chart, however convenient</w:t>
            </w:r>
          </w:p>
        </w:tc>
      </w:tr>
      <w:tr>
        <w:tc>
          <w:tcPr>
            <w:tcW w:type="dxa" w:w="10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3-4</w:t>
            </w:r>
          </w:p>
        </w:tc>
        <w:tc>
          <w:tcPr>
            <w:tcW w:type="dxa" w:w="5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Write the seam register. Six to eight entries</w:t>
            </w:r>
          </w:p>
        </w:tc>
        <w:tc>
          <w:tcPr>
            <w:tcW w:type="dxa" w:w="32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Do not keep redrawing boundaries until the arguments stop. They will not</w:t>
            </w:r>
          </w:p>
        </w:tc>
      </w:tr>
      <w:tr>
        <w:tc>
          <w:tcPr>
            <w:tcW w:type="dxa" w:w="1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5</w:t>
            </w:r>
          </w:p>
        </w:tc>
        <w:tc>
          <w:tcPr>
            <w:tcW w:type="dxa" w:w="5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Add the five fields to the intake form. Talk to the PMO first, and frame it as reducing rework rather than adding governance</w:t>
            </w:r>
          </w:p>
        </w:tc>
        <w:tc>
          <w:tcPr>
            <w:tcW w:type="dxa" w:w="3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Do not build a portal</w:t>
            </w:r>
          </w:p>
        </w:tc>
      </w:tr>
      <w:tr>
        <w:tc>
          <w:tcPr>
            <w:tcW w:type="dxa" w:w="10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6-7</w:t>
            </w:r>
          </w:p>
        </w:tc>
        <w:tc>
          <w:tcPr>
            <w:tcW w:type="dxa" w:w="5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Run the cascade manually for the three projects in flight, even though it is late for them</w:t>
            </w:r>
          </w:p>
        </w:tc>
        <w:tc>
          <w:tcPr>
            <w:tcW w:type="dxa" w:w="32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Do not skip this - finding something is how the mechanism earns its place</w:t>
            </w:r>
          </w:p>
        </w:tc>
      </w:tr>
      <w:tr>
        <w:tc>
          <w:tcPr>
            <w:tcW w:type="dxa" w:w="1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8</w:t>
            </w:r>
          </w:p>
        </w:tc>
        <w:tc>
          <w:tcPr>
            <w:tcW w:type="dxa" w:w="5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Add the closure condition. One line. Get the PMO to own it</w:t>
            </w:r>
          </w:p>
        </w:tc>
        <w:tc>
          <w:tcPr>
            <w:tcW w:type="dxa" w:w="3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Do not create an architecture review board that did not previously exist</w:t>
            </w:r>
          </w:p>
        </w:tc>
      </w:tr>
    </w:tbl>
    <w:p>
      <w:pPr>
        <w:spacing w:after="110"/>
      </w:pPr>
      <w:r>
        <w:rPr>
          <w:rFonts w:ascii="Calibri" w:cs="Calibri" w:eastAsia="Calibri" w:hAnsi="Calibri"/>
          <w:b w:val="false"/>
          <w:bCs w:val="false"/>
          <w:i/>
          <w:iCs/>
          <w:color w:val="57534E"/>
          <w:sz w:val="21"/>
          <w:szCs w:val="21"/>
        </w:rPr>
        <w:t xml:space="preserve">Every one of the things in the third column is a way of doing the visible part of the work without doing the part that changes outcomes.</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7534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2026-08-12T14:22:18.749Z</dcterms:created>
  <dcterms:modified xsi:type="dcterms:W3CDTF">2026-08-12T14:22:18.753Z</dcterms:modified>
</cp:coreProperties>
</file>

<file path=docProps/custom.xml><?xml version="1.0" encoding="utf-8"?>
<Properties xmlns="http://schemas.openxmlformats.org/officeDocument/2006/custom-properties" xmlns:vt="http://schemas.openxmlformats.org/officeDocument/2006/docPropsVTypes"/>
</file>