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Calibri" w:cs="Calibri" w:eastAsia="Calibri" w:hAnsi="Calibri"/>
          <w:b/>
          <w:bCs/>
          <w:color w:val="14606B"/>
          <w:spacing w:val="40"/>
          <w:sz w:val="20"/>
          <w:szCs w:val="20"/>
        </w:rPr>
        <w:t xml:space="preserve">THE YEAR-ONE ARCHITECTURE KIT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C1917"/>
          <w:sz w:val="56"/>
          <w:szCs w:val="56"/>
        </w:rPr>
        <w:t xml:space="preserve">Policies and templates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The written agreements that make a spreadsheet behave like a repository: the classification policy, the minimum data standard, the naming convention, the application one-pager, the collection workshop script, the attestation form, and the business case outline for the day you finally buy a tool.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D766E"/>
          <w:sz w:val="21"/>
          <w:szCs w:val="21"/>
        </w:rPr>
        <w:t xml:space="preserve">Companion to the starter workbook and the collection deck, and to the article at mehdibamou.com/publications/architecture-without-a-tool. Free to use and adapt - replace every bracketed amber prompt, then delete this page.</w:t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What is in this pack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4000"/>
      </w:tblGrid>
      <w:tr>
        <w:tc>
          <w:tcPr>
            <w:tcW w:type="dxa" w:w="30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6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0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it is used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1. Classification policy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Architect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Written in month one, before mass collection</w:t>
            </w:r>
          </w:p>
        </w:tc>
      </w:tr>
      <w:tr>
        <w:tc>
          <w:tcPr>
            <w:tcW w:type="dxa" w:w="3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2. Minimum data standard</w:t>
            </w:r>
          </w:p>
        </w:tc>
        <w:tc>
          <w:tcPr>
            <w:tcW w:type="dxa" w:w="2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Architect</w:t>
            </w:r>
          </w:p>
        </w:tc>
        <w:tc>
          <w:tcPr>
            <w:tcW w:type="dxa" w:w="4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Same week - defines what complete means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3. Naming convention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Architect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Same week - one page, examples included</w:t>
            </w:r>
          </w:p>
        </w:tc>
      </w:tr>
      <w:tr>
        <w:tc>
          <w:tcPr>
            <w:tcW w:type="dxa" w:w="3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4. Application one-pager</w:t>
            </w:r>
          </w:p>
        </w:tc>
        <w:tc>
          <w:tcPr>
            <w:tcW w:type="dxa" w:w="2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Application owner</w:t>
            </w:r>
          </w:p>
        </w:tc>
        <w:tc>
          <w:tcPr>
            <w:tcW w:type="dxa" w:w="4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For systems that need more than a row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5. Collection workshop script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Architect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Once per team or domain, 90 minutes</w:t>
            </w:r>
          </w:p>
        </w:tc>
      </w:tr>
      <w:tr>
        <w:tc>
          <w:tcPr>
            <w:tcW w:type="dxa" w:w="3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6. Attestation form</w:t>
            </w:r>
          </w:p>
        </w:tc>
        <w:tc>
          <w:tcPr>
            <w:tcW w:type="dxa" w:w="2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Architect sends, owners answer</w:t>
            </w:r>
          </w:p>
        </w:tc>
        <w:tc>
          <w:tcPr>
            <w:tcW w:type="dxa" w:w="4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Quarterly, five fields, two-week window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7. Tool business case outline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Architect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Only once the buy triggers are genuinely met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1. Classification policy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One page. If it needs a training course, it is not a policy, it is a hobby.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The line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An application serves a business need: it processes business data and supports a process. An IT component is what applications stand on: software, platforms, infrastructure, managed services.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Three tests, asked in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Capability: can you map it to a business capability without squinting?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Owner: would a named business owner accept accountability for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Absence: if it vanished tonight, would the business notice it by name, or only notice things getting slower?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57534E"/>
          <w:sz w:val="21"/>
          <w:szCs w:val="21"/>
        </w:rPr>
        <w:t xml:space="preserve">Two yeses on the first two tests make it an application. If only engineers would mourn it, it is a component.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The five edge cases, pre-answered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70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SaaS product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Both: an application row for the business relationship, a thin component row for hosting, location, cost</w:t>
            </w:r>
          </w:p>
        </w:tc>
      </w:tr>
      <w:tr>
        <w:tc>
          <w:tcPr>
            <w:tcW w:type="dxa" w:w="2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Microservice</w:t>
            </w:r>
          </w:p>
        </w:tc>
        <w:tc>
          <w:tcPr>
            <w:tcW w:type="dxa" w:w="7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Application only if it is a reused functional piece; its runtime is a component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Suite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Two levels: the name a business user says, with modules beneath. Resist a third level</w:t>
            </w:r>
          </w:p>
        </w:tc>
      </w:tr>
      <w:tr>
        <w:tc>
          <w:tcPr>
            <w:tcW w:type="dxa" w:w="2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Middleware, databases, schedulers</w:t>
            </w:r>
          </w:p>
        </w:tc>
        <w:tc>
          <w:tcPr>
            <w:tcW w:type="dxa" w:w="70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Component, always, however expensive or beloved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The business-critical spreadsheet</w:t>
            </w:r>
          </w:p>
        </w:tc>
        <w:tc>
          <w:tcPr>
            <w:tcW w:type="dxa" w:w="7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An application in denial - inventory it as one before it breaks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Local additions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Our extra rulings: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list any case your landscape keeps producing, with the ruling and the date it was decided 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2. Minimum data standard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A record is complete when it answers four questions: what is it, what does it do, who owns it, where is it in its life.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00"/>
      </w:tblGrid>
      <w:tr>
        <w:tc>
          <w:tcPr>
            <w:tcW w:type="dxa" w:w="24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Mandatory</w:t>
            </w:r>
          </w:p>
        </w:tc>
        <w:tc>
          <w:tcPr>
            <w:tcW w:type="dxa" w:w="56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Yes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Assigned once, never reused, never recycled after retirement</w:t>
            </w:r>
          </w:p>
        </w:tc>
      </w:tr>
      <w:tr>
        <w:tc>
          <w:tcPr>
            <w:tcW w:type="dxa" w:w="2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Yes</w:t>
            </w:r>
          </w:p>
        </w:tc>
        <w:tc>
          <w:tcPr>
            <w:tcW w:type="dxa" w:w="5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Follows the naming convention; no vendor codenames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Yes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One or two sentences a stranger could act on</w:t>
            </w:r>
          </w:p>
        </w:tc>
      </w:tr>
      <w:tr>
        <w:tc>
          <w:tcPr>
            <w:tcW w:type="dxa" w:w="2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Primary capability</w:t>
            </w:r>
          </w:p>
        </w:tc>
        <w:tc>
          <w:tcPr>
            <w:tcW w:type="dxa" w:w="1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Yes</w:t>
            </w:r>
          </w:p>
        </w:tc>
        <w:tc>
          <w:tcPr>
            <w:tcW w:type="dxa" w:w="5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Exactly one, from the capability sheet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IT owner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Yes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An Owner-ID, not a typed name</w:t>
            </w:r>
          </w:p>
        </w:tc>
      </w:tr>
      <w:tr>
        <w:tc>
          <w:tcPr>
            <w:tcW w:type="dxa" w:w="2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1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Yes</w:t>
            </w:r>
          </w:p>
        </w:tc>
        <w:tc>
          <w:tcPr>
            <w:tcW w:type="dxa" w:w="5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An Owner-ID; blank is a finding, not a default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Lifecycle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Yes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Plan, Phase-in, Active, Phase-out, End of life</w:t>
            </w:r>
          </w:p>
        </w:tc>
      </w:tr>
      <w:tr>
        <w:tc>
          <w:tcPr>
            <w:tcW w:type="dxa" w:w="2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Markets or units</w:t>
            </w:r>
          </w:p>
        </w:tc>
        <w:tc>
          <w:tcPr>
            <w:tcW w:type="dxa" w:w="1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Yes</w:t>
            </w:r>
          </w:p>
        </w:tc>
        <w:tc>
          <w:tcPr>
            <w:tcW w:type="dxa" w:w="5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Where it actually runs today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Criticality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No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Business owner's call; needed before the first fit assessment</w:t>
            </w:r>
          </w:p>
        </w:tc>
      </w:tr>
      <w:tr>
        <w:tc>
          <w:tcPr>
            <w:tcW w:type="dxa" w:w="2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Everything else</w:t>
            </w:r>
          </w:p>
        </w:tc>
        <w:tc>
          <w:tcPr>
            <w:tcW w:type="dxa" w:w="1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No</w:t>
            </w:r>
          </w:p>
        </w:tc>
        <w:tc>
          <w:tcPr>
            <w:tcW w:type="dxa" w:w="56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Stays optional until someone names the decision it feeds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Completeness is measured against the mandatory fields only. An inventory campaign that chases forty fields dilutes the energy needed for the eight that carry decisions.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3. Naming convention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Boring, mechanical, and applied to every record on the day it is created.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Use the name the business says out loud, not the project name and not the vendor's product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No version numbers in application names - versions live on components.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No market suffixes unless two genuinely separate instances exist; then use the ISO country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Expand every acronym once in the description, even the obvious 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Diagram files: &lt;domain&gt;-&lt;as-is|target|transition&gt;-vN-YYYY-MM-DD.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Worked examples from our landscape: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three good names and two rejected ones, with the reason 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4. Application one-pager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For the systems that need more than a spreadsheet row. Link it from the workbook row, and link the row back.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Application: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name and APP-ID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it does: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two sentences, business language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Capability supported: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CAP-ID and name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Owners: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IT owner and business owner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Lifecycle and dates: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state, go-live, planned end if known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Runs 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components from the link table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Exchanges data with: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 two or three interfaces that matter, and how (batch, API, manual)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Known weaknesses: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 honest list - this is why the page exists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Open decisions: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decision-log references 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5. Collection workshop script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Ninety minutes per team or domain. Workbook open and shared on screen - you type, they talk.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400"/>
      </w:tblGrid>
      <w:tr>
        <w:tc>
          <w:tcPr>
            <w:tcW w:type="dxa" w:w="15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Minutes</w:t>
            </w:r>
          </w:p>
        </w:tc>
        <w:tc>
          <w:tcPr>
            <w:tcW w:type="dxa" w:w="47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400"/>
            <w:shd w:fill="1460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0-5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Frame it: we are writing down what exists, not judging it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Removes the audit smell that kills the next 85 minutes</w:t>
            </w:r>
          </w:p>
        </w:tc>
      </w:tr>
      <w:tr>
        <w:tc>
          <w:tcPr>
            <w:tcW w:type="dxa" w:w="15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5-15</w:t>
            </w:r>
          </w:p>
        </w:tc>
        <w:tc>
          <w:tcPr>
            <w:tcW w:type="dxa" w:w="47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Walk the capability map for this domain</w:t>
            </w:r>
          </w:p>
        </w:tc>
        <w:tc>
          <w:tcPr>
            <w:tcW w:type="dxa" w:w="3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The map is the questionnaire; chaos comes from open questions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15-70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Fill rows live, capability by capability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Arguments happen in front of you and resolve themselves</w:t>
            </w:r>
          </w:p>
        </w:tc>
      </w:tr>
      <w:tr>
        <w:tc>
          <w:tcPr>
            <w:tcW w:type="dxa" w:w="15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70-80</w:t>
            </w:r>
          </w:p>
        </w:tc>
        <w:tc>
          <w:tcPr>
            <w:tcW w:type="dxa" w:w="47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Catch the shadow tools: what do you use that IT does not know about</w:t>
            </w:r>
          </w:p>
        </w:tc>
        <w:tc>
          <w:tcPr>
            <w:tcW w:type="dxa" w:w="3400"/>
            <w:shd w:fill="F2F0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Ask explicitly or it stays invisible</w:t>
            </w:r>
          </w:p>
        </w:tc>
      </w:tr>
      <w:t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917"/>
                <w:sz w:val="19"/>
                <w:szCs w:val="19"/>
              </w:rPr>
              <w:t xml:space="preserve">80-90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Read back the owner names and the lifecycle states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7534E"/>
                <w:sz w:val="19"/>
                <w:szCs w:val="19"/>
              </w:rPr>
              <w:t xml:space="preserve">Confirmation in the room beats an email chain</w:t>
            </w:r>
          </w:p>
        </w:tc>
      </w:tr>
    </w:tbl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Questions that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How do you do this today, and with what? (never: which systems do you 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Who would call you if it stopped at 9am on a Monday?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What do you do outside that system to make the process work?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If this went away next year, what would you miss by name?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Rules for the facilitator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Twenty to thirty applications per session is a realistic pace.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Do not debate the classification policy in the room - note it and rule afterwards.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Half-filled rows are fine; empty sessions are not.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6. Attestation form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Quarterly. Five fields, one screen, two-week window. A short form gets answered; an attached spreadsheet gets postponed.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7534E"/>
          <w:sz w:val="21"/>
          <w:szCs w:val="21"/>
        </w:rPr>
        <w:t xml:space="preserve">Send each owner only their own records. Question wording that has worked: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Is [application name] still in use as described? (yes / no / 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Are you still the IT owner? (yes / no - if no, who?)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Is [business owner] still the business owner? (yes / no - if no, who?)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Is the lifecycle state still [state]? (yes / no - if no, which?)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Anything we should know? (free text, one line)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1"/>
          <w:szCs w:val="21"/>
        </w:rPr>
        <w:t xml:space="preserve">Paste the responses into the Attestation staging sheet of the workbook, compare, apply. One afternoon per campaign.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Escalation path: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who hears about non-responders after the window closes 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mbria" w:cs="Cambria" w:eastAsia="Cambria" w:hAnsi="Cambria"/>
          <w:b/>
          <w:bCs/>
          <w:color w:val="1C1917"/>
          <w:sz w:val="32"/>
          <w:szCs w:val="32"/>
        </w:rPr>
        <w:t xml:space="preserve">7. Tool business case outline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4606B"/>
          <w:sz w:val="19"/>
          <w:szCs w:val="19"/>
        </w:rPr>
        <w:t xml:space="preserve">Only once the triggers are genuinely met. A tool encodes whatever discipline exists, including its absence.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Triggers met (evidence, not opinion)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More than one editor needed: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who, and how often they collide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Scale: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current application and relationship counts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Self-service demand: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which function asked, for what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History disputed: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 incident that made an audit trail matter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Integration value: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which source system already holds data you type by hand ]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Readiness checks passed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Classification policy written and applied without calls to the architect.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At least two attestation cycles completed, with owners responding.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57534E"/>
          <w:sz w:val="21"/>
          <w:szCs w:val="21"/>
        </w:rPr>
        <w:t xml:space="preserve">The first three reports you will build in month one, named.</w:t>
      </w:r>
    </w:p>
    <w:p>
      <w:pPr>
        <w:pStyle w:val="Heading2"/>
        <w:spacing w:after="80" w:before="240"/>
      </w:pPr>
      <w:r>
        <w:rPr>
          <w:rFonts w:ascii="Cambria" w:cs="Cambria" w:eastAsia="Cambria" w:hAnsi="Cambria"/>
          <w:b/>
          <w:bCs/>
          <w:color w:val="1C1917"/>
          <w:sz w:val="26"/>
          <w:szCs w:val="26"/>
        </w:rPr>
        <w:t xml:space="preserve">The ask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records, users, integrations in year one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Cost: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licence, implementation, internal effort - ranges are fine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Migration plan: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 workbook loads in days because IDs are stable and links are flat ]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1"/>
          <w:szCs w:val="21"/>
        </w:rPr>
        <w:t xml:space="preserve">What we stop doing: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98A2E"/>
          <w:sz w:val="21"/>
          <w:szCs w:val="21"/>
        </w:rPr>
        <w:t xml:space="preserve">[ the manual work the tool replaces - be specific or it will be added, not replaced ]</w:t>
      </w:r>
    </w:p>
    <w:p>
      <w:pPr>
        <w:pBdr>
          <w:bottom w:val="single" w:color="E4E0D7" w:sz="6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D766E"/>
          <w:sz w:val="21"/>
          <w:szCs w:val="21"/>
        </w:rPr>
        <w:t xml:space="preserve">mehdibamou.com - free to use and adapt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7534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2026-07-25T21:40:08.815Z</dcterms:created>
  <dcterms:modified xsi:type="dcterms:W3CDTF">2026-07-25T21:40:08.816Z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