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" w:hAnsi="Noto Sans" w:eastAsia="Noto Sans"/>
          <w:b/>
          <w:color w:val="1F4E5F"/>
          <w:sz w:val="22"/>
        </w:rPr>
        <w:t>BB-KSS MASTER DOKÜMAN</w:t>
      </w:r>
    </w:p>
    <w:p>
      <w:pPr>
        <w:pStyle w:val="BBTitle"/>
        <w:jc w:val="center"/>
      </w:pPr>
      <w:r>
        <w:t>20.000 kg/gün Örgü Kumaş Boyahanesinde RO Kapasite Seçimi</w:t>
      </w:r>
    </w:p>
    <w:p>
      <w:pPr>
        <w:pStyle w:val="BBSubtitle"/>
        <w:jc w:val="center"/>
      </w:pPr>
      <w:r>
        <w:t>Yalnızca ana boyama banyosu referans alınarak teknik kapasite hesabı, doğrulama ve yayın paketi hazırlığı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404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photo_realistic_industrial_interior_sce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041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1F4E5F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7"/>
              </w:rPr>
              <w:t>Alan</w:t>
            </w:r>
          </w:p>
        </w:tc>
        <w:tc>
          <w:tcPr>
            <w:tcW w:type="dxa" w:w="6803"/>
            <w:shd w:fill="1F4E5F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7"/>
              </w:rPr>
              <w:t>Değer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Proje kodu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BB-KSS + BB-CVS / RO-20K</w:t>
            </w:r>
          </w:p>
        </w:tc>
      </w:tr>
      <w:tr>
        <w:tc>
          <w:tcPr>
            <w:tcW w:type="dxa" w:w="2268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Versiyon</w:t>
            </w:r>
          </w:p>
        </w:tc>
        <w:tc>
          <w:tcPr>
            <w:tcW w:type="dxa" w:w="6803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v1.0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Tarih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2026-07-20</w:t>
            </w:r>
          </w:p>
        </w:tc>
      </w:tr>
      <w:tr>
        <w:tc>
          <w:tcPr>
            <w:tcW w:type="dxa" w:w="2268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Kapsam</w:t>
            </w:r>
          </w:p>
        </w:tc>
        <w:tc>
          <w:tcPr>
            <w:tcW w:type="dxa" w:w="6803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20.000 kg/gün örgü kumaş boyahanesinde yalnızca ana boyama banyosu için RO kapasite seçimi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Hariç tutulanlar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Yıkama, sabunlama, durulama, makine temizliği, apre, kazan besi suyu, atık su geri kazanımı ve video üretimi</w:t>
            </w:r>
          </w:p>
        </w:tc>
      </w:tr>
    </w:tbl>
    <w:p/>
    <w:p>
      <w:r>
        <w:br w:type="page"/>
      </w:r>
    </w:p>
    <w:p>
      <w:pPr>
        <w:pStyle w:val="BBH1"/>
      </w:pPr>
      <w:r>
        <w:t>1. Teknik karar özeti</w:t>
      </w:r>
    </w:p>
    <w:p>
      <w:pPr>
        <w:pStyle w:val="BBCallout"/>
      </w:pPr>
      <w:r>
        <w:rPr>
          <w:rFonts w:ascii="Noto Sans" w:hAnsi="Noto Sans" w:eastAsia="Noto Sans"/>
          <w:b/>
          <w:color w:val="1F4E5F"/>
          <w:sz w:val="18"/>
        </w:rPr>
        <w:t xml:space="preserve">BB-KSS teknik kararı: </w:t>
      </w:r>
      <w:r>
        <w:rPr>
          <w:rFonts w:ascii="Noto Sans" w:hAnsi="Noto Sans" w:eastAsia="Noto Sans"/>
          <w:sz w:val="18"/>
        </w:rPr>
        <w:t>Satın alma ve kapasite güvenliği açısından önerilen seçim 10 m³/saat net permeat üreten tek geçişli endüstriyel BWRO sistemidir. Permeat tankı 100-120 m³ aralığında projelendirilmelidir.</w:t>
      </w:r>
    </w:p>
    <w:p>
      <w:pPr>
        <w:pStyle w:val="BBBody"/>
      </w:pPr>
      <w:r>
        <w:t>8 m³/saat kapasite, sabit 1:6 flotte oranı ve 20 saat/gün çalışma için teorik minimumdur. Ancak 1:7 flotte ve %15 emniyet payında günlük ihtiyaç 161 m³/gün seviyesine çıkar; bu değer 8 m³/saat sistemin 20 saatlik 160 m³/gün üretimini sınırda bırakır.</w:t>
      </w:r>
    </w:p>
    <w:p>
      <w:pPr>
        <w:pStyle w:val="BBBody"/>
      </w:pPr>
      <w:r>
        <w:t>10 m³/saat kapasite, 20 saat/gün çalışma ile 200 m³/gün net permeat üretir. Bu değer 1:5-1:8 flotte aralığında, %15 emniyet payı dahil, yalnızca ana boyama banyosu kapsamı için güvenli rezerv oluşturur.</w:t>
      </w:r>
    </w:p>
    <w:p>
      <w:pPr>
        <w:pStyle w:val="BBBody"/>
      </w:pPr>
      <w:r>
        <w:t>Bu karar ham su analizi kesinleşmeden membran dizilim kararı yerine geçmez. Nihai tasarım için ham su iletkenliği, sertlik, bikarbonat/alkalinite, silis, sülfat, demir, mangan, bulanıklık ve SDI ölçülmelidir.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835"/>
            <w:shd w:fill="1F4E5F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7"/>
              </w:rPr>
              <w:t>Karar maddesi</w:t>
            </w:r>
          </w:p>
        </w:tc>
        <w:tc>
          <w:tcPr>
            <w:tcW w:type="dxa" w:w="6236"/>
            <w:shd w:fill="1F4E5F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7"/>
              </w:rPr>
              <w:t>Öneri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Net permeat kapasitesi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10 m³/saat</w:t>
            </w:r>
          </w:p>
        </w:tc>
      </w:tr>
      <w:tr>
        <w:tc>
          <w:tcPr>
            <w:tcW w:type="dxa" w:w="2835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Günlük çalışma hedefi</w:t>
            </w:r>
          </w:p>
        </w:tc>
        <w:tc>
          <w:tcPr>
            <w:tcW w:type="dxa" w:w="6236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18-20 saat/gün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Günlük net üretim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180-200 m³/gün</w:t>
            </w:r>
          </w:p>
        </w:tc>
      </w:tr>
      <w:tr>
        <w:tc>
          <w:tcPr>
            <w:tcW w:type="dxa" w:w="2835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Sistem tipi</w:t>
            </w:r>
          </w:p>
        </w:tc>
        <w:tc>
          <w:tcPr>
            <w:tcW w:type="dxa" w:w="6236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Tek geçişli BWRO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Permeat tankı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100-120 m³</w:t>
            </w:r>
          </w:p>
        </w:tc>
      </w:tr>
      <w:tr>
        <w:tc>
          <w:tcPr>
            <w:tcW w:type="dxa" w:w="2835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Recovery varsayımı</w:t>
            </w:r>
          </w:p>
        </w:tc>
        <w:tc>
          <w:tcPr>
            <w:tcW w:type="dxa" w:w="6236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%75 tasarım varsayımı; ham su analizine göre revize edilir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Ham su besleme debisi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10 / 0,75 = 13,3 m³/saat</w:t>
            </w:r>
          </w:p>
        </w:tc>
      </w:tr>
      <w:tr>
        <w:tc>
          <w:tcPr>
            <w:tcW w:type="dxa" w:w="2835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Reject debisi</w:t>
            </w:r>
          </w:p>
        </w:tc>
        <w:tc>
          <w:tcPr>
            <w:tcW w:type="dxa" w:w="6236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13,3 - 10 = 3,3 m³/saat</w:t>
            </w:r>
          </w:p>
        </w:tc>
      </w:tr>
    </w:tbl>
    <w:p/>
    <w:p>
      <w:pPr>
        <w:pStyle w:val="BBCallout"/>
      </w:pPr>
      <w:r>
        <w:rPr>
          <w:rFonts w:ascii="Noto Sans" w:hAnsi="Noto Sans" w:eastAsia="Noto Sans"/>
          <w:b/>
          <w:color w:val="1F4E5F"/>
          <w:sz w:val="18"/>
        </w:rPr>
        <w:t xml:space="preserve">Uygulama örneği: </w:t>
      </w:r>
      <w:r>
        <w:rPr>
          <w:rFonts w:ascii="Noto Sans" w:hAnsi="Noto Sans" w:eastAsia="Noto Sans"/>
          <w:sz w:val="18"/>
        </w:rPr>
        <w:t>Günde 20.000 kg üretim yapan ve ortalama 1:6 flotte kullanan işletmede ana banyo ihtiyacı 120 m³/gün olur. %15 pay eklendiğinde 138 m³/gün gerekir. 10 m³/saat sistem 18 saatte 180 m³ üretir ve bu senaryoda 42 m³/gün rezerv bırakır.</w:t>
      </w:r>
    </w:p>
    <w:p>
      <w:pPr>
        <w:pStyle w:val="BBH1"/>
      </w:pPr>
      <w:r>
        <w:t>2. Ana kaynak dosya incelemesi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381"/>
            <w:shd w:fill="1F4E5F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7"/>
              </w:rPr>
              <w:t>Kaynak dosya</w:t>
            </w:r>
          </w:p>
        </w:tc>
        <w:tc>
          <w:tcPr>
            <w:tcW w:type="dxa" w:w="3515"/>
            <w:shd w:fill="1F4E5F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7"/>
              </w:rPr>
              <w:t>Kullanılan bilgi</w:t>
            </w:r>
          </w:p>
        </w:tc>
        <w:tc>
          <w:tcPr>
            <w:tcW w:type="dxa" w:w="3118"/>
            <w:shd w:fill="1F4E5F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7"/>
              </w:rPr>
              <w:t>Değerlendirme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README.md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Konu, paket içeriği, site yerleşimi ve yayın sırası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Yayın paketi için yararlı; master teknik doküman eksikti.</w:t>
            </w:r>
          </w:p>
        </w:tc>
      </w:tr>
      <w:tr>
        <w:tc>
          <w:tcPr>
            <w:tcW w:type="dxa" w:w="2381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asset-manifest.json</w:t>
            </w:r>
          </w:p>
        </w:tc>
        <w:tc>
          <w:tcPr>
            <w:tcW w:type="dxa" w:w="3515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10 m³/saat permeat, 100-120 m³ tank, tek geçişli BWRO, %75 recovery</w:t>
            </w:r>
          </w:p>
        </w:tc>
        <w:tc>
          <w:tcPr>
            <w:tcW w:type="dxa" w:w="3118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Ana teknik karar tutarlı; hesap adımları dokümana açıldı.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site/20-000-kg-boyahane-ro-kapasite-secimi.mdx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Flotte hesabı, 8-10 m³/saat karşılaştırması, hedef su kalitesi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Temel içerik doğru; tekrarlar birleştirildi, eksikler eklendi.</w:t>
            </w:r>
          </w:p>
        </w:tc>
      </w:tr>
      <w:tr>
        <w:tc>
          <w:tcPr>
            <w:tcW w:type="dxa" w:w="2381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social/*.txt</w:t>
            </w:r>
          </w:p>
        </w:tc>
        <w:tc>
          <w:tcPr>
            <w:tcW w:type="dxa" w:w="3515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LinkedIn, Instagram, Facebook, X, YouTube metinleri</w:t>
            </w:r>
          </w:p>
        </w:tc>
        <w:tc>
          <w:tcPr>
            <w:tcW w:type="dxa" w:w="3118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Sosyal metinler teknik kaynağa göre sadeleştirildi; video hariç tutuldu.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assets/carousel.*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9 slaytlık özet yayın formatı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Master dokümandan türetilmiş yeni carousel yapısı oluşturuldu.</w:t>
            </w:r>
          </w:p>
        </w:tc>
      </w:tr>
    </w:tbl>
    <w:p/>
    <w:p>
      <w:pPr>
        <w:pStyle w:val="BBH2"/>
      </w:pPr>
      <w:r>
        <w:t>2.1 Çelişki, eksik ve düzeltme kayıtları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134"/>
            <w:shd w:fill="1F4E5F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7"/>
              </w:rPr>
              <w:t>Kayıt</w:t>
            </w:r>
          </w:p>
        </w:tc>
        <w:tc>
          <w:tcPr>
            <w:tcW w:type="dxa" w:w="3969"/>
            <w:shd w:fill="1F4E5F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7"/>
              </w:rPr>
              <w:t>Tespit</w:t>
            </w:r>
          </w:p>
        </w:tc>
        <w:tc>
          <w:tcPr>
            <w:tcW w:type="dxa" w:w="3969"/>
            <w:shd w:fill="1F4E5F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7"/>
              </w:rPr>
              <w:t>Uygulanan düzeltme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K-01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Paket içinde master DOCX/PDF teknik kaynak yoktu.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DOCX/PDF master doküman üretildi ve yayın paketine ana kaynak olarak eklendi.</w:t>
            </w:r>
          </w:p>
        </w:tc>
      </w:tr>
      <w:tr>
        <w:tc>
          <w:tcPr>
            <w:tcW w:type="dxa" w:w="1134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K-02</w:t>
            </w:r>
          </w:p>
        </w:tc>
        <w:tc>
          <w:tcPr>
            <w:tcW w:type="dxa" w:w="3969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8 m³/saat kapasite bazı bölümlerde “yeterli” algısı oluşturuyordu.</w:t>
            </w:r>
          </w:p>
        </w:tc>
        <w:tc>
          <w:tcPr>
            <w:tcW w:type="dxa" w:w="3969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8 m³/saat “minimum uygulanabilir”, 10 m³/saat “önerilen güvenli seçim” olarak ayrıldı.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K-03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1:7 + %15 emniyet payı hesabı 161 m³/gün olup 8 m³/saat x 20 saat = 160 m³/gün değerini sınırda bırakıyor.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Tabloda 8 m³/saatin 1:7 için güvenli olmadığı açıkça belirtildi.</w:t>
            </w:r>
          </w:p>
        </w:tc>
      </w:tr>
      <w:tr>
        <w:tc>
          <w:tcPr>
            <w:tcW w:type="dxa" w:w="1134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K-04</w:t>
            </w:r>
          </w:p>
        </w:tc>
        <w:tc>
          <w:tcPr>
            <w:tcW w:type="dxa" w:w="3969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Recovery %75 tek sabit değer gibi görünüyordu.</w:t>
            </w:r>
          </w:p>
        </w:tc>
        <w:tc>
          <w:tcPr>
            <w:tcW w:type="dxa" w:w="3969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%75 tasarım varsayımı olarak tanımlandı; ham su analizine göre revizyon gerektiği eklendi.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K-05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Permeat kalitesi hedefleri vardı ancak ham su analiz parametreleri yeterince operasyonel verilmemişti.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SDI, silis, sülfat, alkalinite, TOC/COD, bulanıklık ve demir-mangan kontrolü eklendi.</w:t>
            </w:r>
          </w:p>
        </w:tc>
      </w:tr>
      <w:tr>
        <w:tc>
          <w:tcPr>
            <w:tcW w:type="dxa" w:w="1134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K-06</w:t>
            </w:r>
          </w:p>
        </w:tc>
        <w:tc>
          <w:tcPr>
            <w:tcW w:type="dxa" w:w="3969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Anlık makine dolum debisi ve tank/pompa ilişkisi özet geçilmişti.</w:t>
            </w:r>
          </w:p>
        </w:tc>
        <w:tc>
          <w:tcPr>
            <w:tcW w:type="dxa" w:w="3969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Permeat tankı ve dağıtım pompası seçimi ayrı bölüm yapıldı.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K-07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Sosyal medya metinlerinde aynı bilgiler tekrar ediyordu.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Teknik masterdan türetilmiş kısa, platform bazlı metinler oluşturuldu.</w:t>
            </w:r>
          </w:p>
        </w:tc>
      </w:tr>
    </w:tbl>
    <w:p/>
    <w:p>
      <w:pPr>
        <w:pStyle w:val="BBH1"/>
      </w:pPr>
      <w:r>
        <w:t>3. Hesaplama yöntemi</w:t>
      </w:r>
    </w:p>
    <w:p>
      <w:pPr>
        <w:pStyle w:val="BBBody"/>
      </w:pPr>
      <w:r>
        <w:t>Bu çalışmada kapasite hesabı yalnızca ana boyama banyosuna göre yapılmıştır. Boyama banyosu su ihtiyacı, günlük kumaş miktarı ile flotte oranının çarpılmasıyla hesaplanır.</w:t>
      </w:r>
    </w:p>
    <w:p>
      <w:pPr>
        <w:pStyle w:val="BBBody"/>
      </w:pPr>
      <w:r>
        <w:t>Formül: Günlük ana banyo suyu (m³/gün) = Günlük kumaş miktarı (kg/gün) × flotte oranı (L/kg) / 1000.</w:t>
      </w:r>
    </w:p>
    <w:p>
      <w:pPr>
        <w:pStyle w:val="BBBody"/>
      </w:pPr>
      <w:r>
        <w:t>Emniyet payı; reçete değişkenliği, transfer/kısa süreli kayıplar, membran performans düşüşü, temizlik sonrası toparlanma ve eş zamanlı dolum riskleri için kullanılır. Bu çalışmada %15 pay kullanılmıştır.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417"/>
            <w:shd w:fill="1F4E5F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7"/>
              </w:rPr>
              <w:t>Flotte oranı</w:t>
            </w:r>
          </w:p>
        </w:tc>
        <w:tc>
          <w:tcPr>
            <w:tcW w:type="dxa" w:w="1701"/>
            <w:shd w:fill="1F4E5F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7"/>
              </w:rPr>
              <w:t>Teorik ana banyo suyu</w:t>
            </w:r>
          </w:p>
        </w:tc>
        <w:tc>
          <w:tcPr>
            <w:tcW w:type="dxa" w:w="1701"/>
            <w:shd w:fill="1F4E5F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7"/>
              </w:rPr>
              <w:t>%15 emniyet paylı ihtiyaç</w:t>
            </w:r>
          </w:p>
        </w:tc>
        <w:tc>
          <w:tcPr>
            <w:tcW w:type="dxa" w:w="1984"/>
            <w:shd w:fill="1F4E5F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7"/>
              </w:rPr>
              <w:t>8 m³/saat - 20 saat</w:t>
            </w:r>
          </w:p>
        </w:tc>
        <w:tc>
          <w:tcPr>
            <w:tcW w:type="dxa" w:w="1984"/>
            <w:shd w:fill="1F4E5F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7"/>
              </w:rPr>
              <w:t>10 m³/saat - 20 saat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1:5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100 m³/gün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115 m³/gün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Yeterli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Güvenli</w:t>
            </w:r>
          </w:p>
        </w:tc>
      </w:tr>
      <w:tr>
        <w:tc>
          <w:tcPr>
            <w:tcW w:type="dxa" w:w="1417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1:6</w:t>
            </w:r>
          </w:p>
        </w:tc>
        <w:tc>
          <w:tcPr>
            <w:tcW w:type="dxa" w:w="1701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120 m³/gün</w:t>
            </w:r>
          </w:p>
        </w:tc>
        <w:tc>
          <w:tcPr>
            <w:tcW w:type="dxa" w:w="1701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138 m³/gün</w:t>
            </w:r>
          </w:p>
        </w:tc>
        <w:tc>
          <w:tcPr>
            <w:tcW w:type="dxa" w:w="1984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Yeterli fakat rezerv sınırlı</w:t>
            </w:r>
          </w:p>
        </w:tc>
        <w:tc>
          <w:tcPr>
            <w:tcW w:type="dxa" w:w="1984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Güvenli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1:7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140 m³/gün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161 m³/gün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Sınırda / riskli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Güvenli</w:t>
            </w:r>
          </w:p>
        </w:tc>
      </w:tr>
      <w:tr>
        <w:tc>
          <w:tcPr>
            <w:tcW w:type="dxa" w:w="1417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1:8</w:t>
            </w:r>
          </w:p>
        </w:tc>
        <w:tc>
          <w:tcPr>
            <w:tcW w:type="dxa" w:w="1701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160 m³/gün</w:t>
            </w:r>
          </w:p>
        </w:tc>
        <w:tc>
          <w:tcPr>
            <w:tcW w:type="dxa" w:w="1701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184 m³/gün</w:t>
            </w:r>
          </w:p>
        </w:tc>
        <w:tc>
          <w:tcPr>
            <w:tcW w:type="dxa" w:w="1984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Yetersiz</w:t>
            </w:r>
          </w:p>
        </w:tc>
        <w:tc>
          <w:tcPr>
            <w:tcW w:type="dxa" w:w="1984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Güvenli</w:t>
            </w:r>
          </w:p>
        </w:tc>
      </w:tr>
    </w:tbl>
    <w:p/>
    <w:p>
      <w:pPr>
        <w:pStyle w:val="BBCallout"/>
      </w:pPr>
      <w:r>
        <w:rPr>
          <w:rFonts w:ascii="Noto Sans" w:hAnsi="Noto Sans" w:eastAsia="Noto Sans"/>
          <w:b/>
          <w:color w:val="1F4E5F"/>
          <w:sz w:val="18"/>
        </w:rPr>
        <w:t xml:space="preserve">Uygulama örneği: </w:t>
      </w:r>
      <w:r>
        <w:rPr>
          <w:rFonts w:ascii="Noto Sans" w:hAnsi="Noto Sans" w:eastAsia="Noto Sans"/>
          <w:sz w:val="18"/>
        </w:rPr>
        <w:t>İşletme günlük 20.000 kg üretimi 1:7 flotte ile çalışıyorsa teorik ihtiyaç 140 m³/gün olur. %15 payla 161 m³/gün gerekir. 8 m³/saat sistem 20 saatte 160 m³ ürettiği için bakım, CIP veya debi düşüşü olduğunda üretimi yakalayamaz.</w:t>
      </w:r>
    </w:p>
    <w:p>
      <w:pPr>
        <w:pStyle w:val="BBH2"/>
      </w:pPr>
      <w:r>
        <w:t>3.1 Çalışma saatine göre kapasite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701"/>
            <w:shd w:fill="1F4E5F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7"/>
              </w:rPr>
              <w:t>RO kapasitesi</w:t>
            </w:r>
          </w:p>
        </w:tc>
        <w:tc>
          <w:tcPr>
            <w:tcW w:type="dxa" w:w="1701"/>
            <w:shd w:fill="1F4E5F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7"/>
              </w:rPr>
              <w:t>16 saat/gün</w:t>
            </w:r>
          </w:p>
        </w:tc>
        <w:tc>
          <w:tcPr>
            <w:tcW w:type="dxa" w:w="1701"/>
            <w:shd w:fill="1F4E5F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7"/>
              </w:rPr>
              <w:t>18 saat/gün</w:t>
            </w:r>
          </w:p>
        </w:tc>
        <w:tc>
          <w:tcPr>
            <w:tcW w:type="dxa" w:w="1701"/>
            <w:shd w:fill="1F4E5F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7"/>
              </w:rPr>
              <w:t>20 saat/gün</w:t>
            </w:r>
          </w:p>
        </w:tc>
        <w:tc>
          <w:tcPr>
            <w:tcW w:type="dxa" w:w="1701"/>
            <w:shd w:fill="1F4E5F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7"/>
              </w:rPr>
              <w:t>24 saat/gün teorik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8 m³/saat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128 m³/gün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144 m³/gün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160 m³/gün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192 m³/gün</w:t>
            </w:r>
          </w:p>
        </w:tc>
      </w:tr>
      <w:tr>
        <w:tc>
          <w:tcPr>
            <w:tcW w:type="dxa" w:w="1701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10 m³/saat</w:t>
            </w:r>
          </w:p>
        </w:tc>
        <w:tc>
          <w:tcPr>
            <w:tcW w:type="dxa" w:w="1701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160 m³/gün</w:t>
            </w:r>
          </w:p>
        </w:tc>
        <w:tc>
          <w:tcPr>
            <w:tcW w:type="dxa" w:w="1701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180 m³/gün</w:t>
            </w:r>
          </w:p>
        </w:tc>
        <w:tc>
          <w:tcPr>
            <w:tcW w:type="dxa" w:w="1701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200 m³/gün</w:t>
            </w:r>
          </w:p>
        </w:tc>
        <w:tc>
          <w:tcPr>
            <w:tcW w:type="dxa" w:w="1701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240 m³/gün</w:t>
            </w:r>
          </w:p>
        </w:tc>
      </w:tr>
    </w:tbl>
    <w:p/>
    <w:p>
      <w:pPr>
        <w:pStyle w:val="BBCallout"/>
      </w:pPr>
      <w:r>
        <w:rPr>
          <w:rFonts w:ascii="Noto Sans" w:hAnsi="Noto Sans" w:eastAsia="Noto Sans"/>
          <w:b/>
          <w:color w:val="1F4E5F"/>
          <w:sz w:val="18"/>
        </w:rPr>
        <w:t xml:space="preserve">Uygulama örneği: </w:t>
      </w:r>
      <w:r>
        <w:rPr>
          <w:rFonts w:ascii="Noto Sans" w:hAnsi="Noto Sans" w:eastAsia="Noto Sans"/>
          <w:sz w:val="18"/>
        </w:rPr>
        <w:t>Gece vardiyasında RO 18 saat çalıştırılıyorsa 10 m³/saat sistem 180 m³/gün üretir. Bu kapasite 1:8 + %15 senaryosundaki 184 m³/gün ihtiyaca çok yakındır; bu nedenle 1:8 sürekli işletme varsa tank hacmi ve çalışma saati ayrıca artırılmalıdır.</w:t>
      </w:r>
    </w:p>
    <w:p>
      <w:pPr>
        <w:pStyle w:val="BBH1"/>
      </w:pPr>
      <w:r>
        <w:t>4. Önerilen sistem konfigürasyonu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814"/>
            <w:shd w:fill="1F4E5F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7"/>
              </w:rPr>
              <w:t>Bölüm</w:t>
            </w:r>
          </w:p>
        </w:tc>
        <w:tc>
          <w:tcPr>
            <w:tcW w:type="dxa" w:w="3685"/>
            <w:shd w:fill="1F4E5F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7"/>
              </w:rPr>
              <w:t>Önerilen yapı</w:t>
            </w:r>
          </w:p>
        </w:tc>
        <w:tc>
          <w:tcPr>
            <w:tcW w:type="dxa" w:w="3402"/>
            <w:shd w:fill="1F4E5F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7"/>
              </w:rPr>
              <w:t>Kontrol noktası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Ham su tankı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Günlük üretim dalgalanmasını sönümleyen tampon depo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Seviye sensörü, taşma, dip blöf, mekanik temizlik</w:t>
            </w:r>
          </w:p>
        </w:tc>
      </w:tr>
      <w:tr>
        <w:tc>
          <w:tcPr>
            <w:tcW w:type="dxa" w:w="1814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Ön filtrasyon</w:t>
            </w:r>
          </w:p>
        </w:tc>
        <w:tc>
          <w:tcPr>
            <w:tcW w:type="dxa" w:w="3685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Multimedya filtre / uygun filtrasyon</w:t>
            </w:r>
          </w:p>
        </w:tc>
        <w:tc>
          <w:tcPr>
            <w:tcW w:type="dxa" w:w="3402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Bulanıklık ve partikül yükü düşürülmeli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Yumuşatma veya antiskalant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Ham su sertlik ve alkalinite değerine göre seçilir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Membranda kireçlenme riskini kontrol eder</w:t>
            </w:r>
          </w:p>
        </w:tc>
      </w:tr>
      <w:tr>
        <w:tc>
          <w:tcPr>
            <w:tcW w:type="dxa" w:w="1814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Kartuş filtre</w:t>
            </w:r>
          </w:p>
        </w:tc>
        <w:tc>
          <w:tcPr>
            <w:tcW w:type="dxa" w:w="3685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RO öncesi son güvenlik filtresi</w:t>
            </w:r>
          </w:p>
        </w:tc>
        <w:tc>
          <w:tcPr>
            <w:tcW w:type="dxa" w:w="3402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Basınç farkı trendi takip edilir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BWRO skid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10 m³/saat net permeat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Basınç, debi, iletkenlik, recovery, reject</w:t>
            </w:r>
          </w:p>
        </w:tc>
      </w:tr>
      <w:tr>
        <w:tc>
          <w:tcPr>
            <w:tcW w:type="dxa" w:w="1814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CIP ünitesi</w:t>
            </w:r>
          </w:p>
        </w:tc>
        <w:tc>
          <w:tcPr>
            <w:tcW w:type="dxa" w:w="3685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Kimyasal temizlik için ayrı tank/pompa hattı</w:t>
            </w:r>
          </w:p>
        </w:tc>
        <w:tc>
          <w:tcPr>
            <w:tcW w:type="dxa" w:w="3402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Temizlik sıklığı normalde kontrol altında tutulmalı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Permeat tankı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100-120 m³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Eş zamanlı makine dolum hacmiyle doğrulanır</w:t>
            </w:r>
          </w:p>
        </w:tc>
      </w:tr>
      <w:tr>
        <w:tc>
          <w:tcPr>
            <w:tcW w:type="dxa" w:w="1814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Dağıtım pompası</w:t>
            </w:r>
          </w:p>
        </w:tc>
        <w:tc>
          <w:tcPr>
            <w:tcW w:type="dxa" w:w="3685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Frekans kontrollü, ring hattı beslemeli</w:t>
            </w:r>
          </w:p>
        </w:tc>
        <w:tc>
          <w:tcPr>
            <w:tcW w:type="dxa" w:w="3402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Anlık debi ve basınç düşümü izlenir</w:t>
            </w:r>
          </w:p>
        </w:tc>
      </w:tr>
    </w:tbl>
    <w:p/>
    <w:p>
      <w:pPr>
        <w:pStyle w:val="BBCallout"/>
      </w:pPr>
      <w:r>
        <w:rPr>
          <w:rFonts w:ascii="Noto Sans" w:hAnsi="Noto Sans" w:eastAsia="Noto Sans"/>
          <w:b/>
          <w:color w:val="1F4E5F"/>
          <w:sz w:val="18"/>
        </w:rPr>
        <w:t xml:space="preserve">Uygulama örneği: </w:t>
      </w:r>
      <w:r>
        <w:rPr>
          <w:rFonts w:ascii="Noto Sans" w:hAnsi="Noto Sans" w:eastAsia="Noto Sans"/>
          <w:sz w:val="18"/>
        </w:rPr>
        <w:t>Bir vardiyada birkaç makine aynı anda doluma giriyorsa RO cihazının saatlik debisi tek başına yeterli olmaz. 10 m³/saat RO + 100-120 m³ permeat tankı, anlık dolumu tanktan karşılar; RO ise gün içinde tankı tekrar tamamlar.</w:t>
      </w:r>
    </w:p>
    <w:p>
      <w:pPr>
        <w:pStyle w:val="BBH2"/>
      </w:pPr>
      <w:r>
        <w:t>4.1 Debi hesabı: recovery, feed ve reject</w:t>
      </w:r>
    </w:p>
    <w:p>
      <w:pPr>
        <w:pStyle w:val="BBBody"/>
      </w:pPr>
      <w:r>
        <w:t>Varsayım: Net permeat = 10 m³/saat, recovery = %75.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3969"/>
            <w:shd w:fill="1F4E5F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7"/>
              </w:rPr>
              <w:t>Hesap</w:t>
            </w:r>
          </w:p>
        </w:tc>
        <w:tc>
          <w:tcPr>
            <w:tcW w:type="dxa" w:w="4535"/>
            <w:shd w:fill="1F4E5F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7"/>
              </w:rPr>
              <w:t>Sonuç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Feed debisi = permeat / recovery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10 / 0,75 = 13,3 m³/saat</w:t>
            </w:r>
          </w:p>
        </w:tc>
      </w:tr>
      <w:tr>
        <w:tc>
          <w:tcPr>
            <w:tcW w:type="dxa" w:w="3969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Reject debisi = feed - permeat</w:t>
            </w:r>
          </w:p>
        </w:tc>
        <w:tc>
          <w:tcPr>
            <w:tcW w:type="dxa" w:w="4535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13,3 - 10 = 3,3 m³/saat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20 saat feed ihtiyacı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13,3 × 20 = 266 m³/gün ham su</w:t>
            </w:r>
          </w:p>
        </w:tc>
      </w:tr>
      <w:tr>
        <w:tc>
          <w:tcPr>
            <w:tcW w:type="dxa" w:w="3969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20 saat reject miktarı</w:t>
            </w:r>
          </w:p>
        </w:tc>
        <w:tc>
          <w:tcPr>
            <w:tcW w:type="dxa" w:w="4535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3,3 × 20 = 66 m³/gün reject</w:t>
            </w:r>
          </w:p>
        </w:tc>
      </w:tr>
    </w:tbl>
    <w:p/>
    <w:p>
      <w:pPr>
        <w:pStyle w:val="BBCallout"/>
      </w:pPr>
      <w:r>
        <w:rPr>
          <w:rFonts w:ascii="Noto Sans" w:hAnsi="Noto Sans" w:eastAsia="Noto Sans"/>
          <w:b/>
          <w:color w:val="1F4E5F"/>
          <w:sz w:val="18"/>
        </w:rPr>
        <w:t xml:space="preserve">Uygulama örneği: </w:t>
      </w:r>
      <w:r>
        <w:rPr>
          <w:rFonts w:ascii="Noto Sans" w:hAnsi="Noto Sans" w:eastAsia="Noto Sans"/>
          <w:sz w:val="18"/>
        </w:rPr>
        <w:t>Sadece 200 m³/gün permeat üretimine odaklanılırsa ham su ve reject unutulabilir. %75 recovery ile 200 m³ permeat için yaklaşık 266 m³ ham su gerekir ve 66 m³/gün reject oluşur. Bu reject hattı kanalizasyon/geri kazanım kapasitesi açısından kontrol edilmelidir.</w:t>
      </w:r>
    </w:p>
    <w:p>
      <w:pPr>
        <w:pStyle w:val="BBH1"/>
      </w:pPr>
      <w:r>
        <w:t>5. Hedef permeat kalitesi ve ölçüm planı</w:t>
      </w:r>
    </w:p>
    <w:p>
      <w:pPr>
        <w:pStyle w:val="BBBody"/>
      </w:pPr>
      <w:r>
        <w:t>Aşağıdaki değerler kesin satın alma şartnamesi değil, boyama banyosu için güvenli hedef aralığıdır. Nihai hedefler ham su kalitesi, kullanılan boya/kimyasal sistemi, açık/koyu renk reçeteler ve işletmenin mevcut kalite geçmişiyle birlikte doğrulanmalıdır.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984"/>
            <w:shd w:fill="1F4E5F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7"/>
              </w:rPr>
              <w:t>Parametre</w:t>
            </w:r>
          </w:p>
        </w:tc>
        <w:tc>
          <w:tcPr>
            <w:tcW w:type="dxa" w:w="2268"/>
            <w:shd w:fill="1F4E5F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7"/>
              </w:rPr>
              <w:t>Önerilen hedef</w:t>
            </w:r>
          </w:p>
        </w:tc>
        <w:tc>
          <w:tcPr>
            <w:tcW w:type="dxa" w:w="4535"/>
            <w:shd w:fill="1F4E5F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7"/>
              </w:rPr>
              <w:t>Neden önemli?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İletkenlik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Tercihen 20-80 µS/cm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Tuz yükü ve reçete tekrarlanabilirliği için hızlı saha göstergesidir.</w:t>
            </w:r>
          </w:p>
        </w:tc>
      </w:tr>
      <w:tr>
        <w:tc>
          <w:tcPr>
            <w:tcW w:type="dxa" w:w="1984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Toplam sertlik</w:t>
            </w:r>
          </w:p>
        </w:tc>
        <w:tc>
          <w:tcPr>
            <w:tcW w:type="dxa" w:w="2268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&lt;1-2 °fH</w:t>
            </w:r>
          </w:p>
        </w:tc>
        <w:tc>
          <w:tcPr>
            <w:tcW w:type="dxa" w:w="4535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Kalsiyum/magnezyum kaynaklı çökelme, leke ve ton sapması riskini azaltır.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Demir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&lt;0,05 mg/L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Sararma, leke ve renk tonu sapması riskini azaltır.</w:t>
            </w:r>
          </w:p>
        </w:tc>
      </w:tr>
      <w:tr>
        <w:tc>
          <w:tcPr>
            <w:tcW w:type="dxa" w:w="1984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Mangan</w:t>
            </w:r>
          </w:p>
        </w:tc>
        <w:tc>
          <w:tcPr>
            <w:tcW w:type="dxa" w:w="2268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&lt;0,02 mg/L</w:t>
            </w:r>
          </w:p>
        </w:tc>
        <w:tc>
          <w:tcPr>
            <w:tcW w:type="dxa" w:w="4535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Noktasal leke ve oksidatif renk problemlerini azaltır.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Bikarbonat / alkalinite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Tercihen &lt;20-30 mg/L CaCO₃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pH tampon etkisi nedeniyle özellikle reaktif boyamada reçete kontrolünü etkiler.</w:t>
            </w:r>
          </w:p>
        </w:tc>
      </w:tr>
      <w:tr>
        <w:tc>
          <w:tcPr>
            <w:tcW w:type="dxa" w:w="1984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Bulanıklık</w:t>
            </w:r>
          </w:p>
        </w:tc>
        <w:tc>
          <w:tcPr>
            <w:tcW w:type="dxa" w:w="2268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&lt;0,2 NTU hedef</w:t>
            </w:r>
          </w:p>
        </w:tc>
        <w:tc>
          <w:tcPr>
            <w:tcW w:type="dxa" w:w="4535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Partikül kaynaklı membran kirlenmesi ve banyo kirliliği riskini azaltır.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SDI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RO öncesinde mümkünse &lt;3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Membran kirlenme eğilimini gösterir; yüksek SDI sık temizlik ve kapasite düşüşü doğurur.</w:t>
            </w:r>
          </w:p>
        </w:tc>
      </w:tr>
    </w:tbl>
    <w:p/>
    <w:p>
      <w:pPr>
        <w:pStyle w:val="BBCallout"/>
      </w:pPr>
      <w:r>
        <w:rPr>
          <w:rFonts w:ascii="Noto Sans" w:hAnsi="Noto Sans" w:eastAsia="Noto Sans"/>
          <w:b/>
          <w:color w:val="1F4E5F"/>
          <w:sz w:val="18"/>
        </w:rPr>
        <w:t xml:space="preserve">Uygulama örneği: </w:t>
      </w:r>
      <w:r>
        <w:rPr>
          <w:rFonts w:ascii="Noto Sans" w:hAnsi="Noto Sans" w:eastAsia="Noto Sans"/>
          <w:sz w:val="18"/>
        </w:rPr>
        <w:t>Laboratuvarda reçete RO suyu ile hazırlanıp üretimde farklı iletkenlikte yumuşak su kullanılırsa laboratuvar-üretim renk tutarlılığı bozulabilir. Kritik renklerde lab ve üretim banyo suyu aynı standartta tutulmalıdır.</w:t>
      </w:r>
    </w:p>
    <w:p>
      <w:pPr>
        <w:pStyle w:val="BBH2"/>
      </w:pPr>
      <w:r>
        <w:t>5.1 Minimum ölçüm ve kayıt sıklığı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268"/>
            <w:shd w:fill="1F4E5F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7"/>
              </w:rPr>
              <w:t>Kontrol</w:t>
            </w:r>
          </w:p>
        </w:tc>
        <w:tc>
          <w:tcPr>
            <w:tcW w:type="dxa" w:w="2268"/>
            <w:shd w:fill="1F4E5F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7"/>
              </w:rPr>
              <w:t>Sıklık</w:t>
            </w:r>
          </w:p>
        </w:tc>
        <w:tc>
          <w:tcPr>
            <w:tcW w:type="dxa" w:w="4252"/>
            <w:shd w:fill="1F4E5F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7"/>
              </w:rPr>
              <w:t>Kayıt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Permeat iletkenliği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Her vardiya + otomatik trend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µS/cm, sıcaklık kompanzasyonu 25 °C</w:t>
            </w:r>
          </w:p>
        </w:tc>
      </w:tr>
      <w:tr>
        <w:tc>
          <w:tcPr>
            <w:tcW w:type="dxa" w:w="2268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Ham su iletkenliği</w:t>
            </w:r>
          </w:p>
        </w:tc>
        <w:tc>
          <w:tcPr>
            <w:tcW w:type="dxa" w:w="2268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Günlük</w:t>
            </w:r>
          </w:p>
        </w:tc>
        <w:tc>
          <w:tcPr>
            <w:tcW w:type="dxa" w:w="4252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µS/cm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Sertlik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Günlük veya vardiya başı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°fH veya mg/L CaCO₃; kullanılan birim sabitlenmeli</w:t>
            </w:r>
          </w:p>
        </w:tc>
      </w:tr>
      <w:tr>
        <w:tc>
          <w:tcPr>
            <w:tcW w:type="dxa" w:w="2268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Demir/mangan</w:t>
            </w:r>
          </w:p>
        </w:tc>
        <w:tc>
          <w:tcPr>
            <w:tcW w:type="dxa" w:w="2268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Haftalık veya ham su değişiminde</w:t>
            </w:r>
          </w:p>
        </w:tc>
        <w:tc>
          <w:tcPr>
            <w:tcW w:type="dxa" w:w="4252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mg/L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SDI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Devreye alma, performans düşüşü, filtre değişimi sonrası</w:t>
            </w:r>
          </w:p>
        </w:tc>
        <w:tc>
          <w:tcPr>
            <w:tcW w:type="dxa" w:w="4252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SDI değeri ve test koşulu</w:t>
            </w:r>
          </w:p>
        </w:tc>
      </w:tr>
      <w:tr>
        <w:tc>
          <w:tcPr>
            <w:tcW w:type="dxa" w:w="2268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RO basınç/debi/recovery</w:t>
            </w:r>
          </w:p>
        </w:tc>
        <w:tc>
          <w:tcPr>
            <w:tcW w:type="dxa" w:w="2268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Sürekli trend</w:t>
            </w:r>
          </w:p>
        </w:tc>
        <w:tc>
          <w:tcPr>
            <w:tcW w:type="dxa" w:w="4252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Feed, permeat, reject, diferansiyel basınç</w:t>
            </w:r>
          </w:p>
        </w:tc>
      </w:tr>
    </w:tbl>
    <w:p/>
    <w:p>
      <w:pPr>
        <w:pStyle w:val="BBH1"/>
      </w:pPr>
      <w:r>
        <w:t>6. İşletme riskleri ve kalite kapıları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984"/>
            <w:shd w:fill="1F4E5F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7"/>
              </w:rPr>
              <w:t>Risk</w:t>
            </w:r>
          </w:p>
        </w:tc>
        <w:tc>
          <w:tcPr>
            <w:tcW w:type="dxa" w:w="3118"/>
            <w:shd w:fill="1F4E5F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7"/>
              </w:rPr>
              <w:t>Belirti</w:t>
            </w:r>
          </w:p>
        </w:tc>
        <w:tc>
          <w:tcPr>
            <w:tcW w:type="dxa" w:w="3515"/>
            <w:shd w:fill="1F4E5F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7"/>
              </w:rPr>
              <w:t>Önlem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Kapasite sınırı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Tank seviyesi düşer, makineler su bekler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10 m³/saat seçim, tank seviye trendi, dolum takvimi</w:t>
            </w:r>
          </w:p>
        </w:tc>
      </w:tr>
      <w:tr>
        <w:tc>
          <w:tcPr>
            <w:tcW w:type="dxa" w:w="1984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Membran kirlenmesi</w:t>
            </w:r>
          </w:p>
        </w:tc>
        <w:tc>
          <w:tcPr>
            <w:tcW w:type="dxa" w:w="3118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Aynı permeat için basınç artar, iletkenlik yükselir</w:t>
            </w:r>
          </w:p>
        </w:tc>
        <w:tc>
          <w:tcPr>
            <w:tcW w:type="dxa" w:w="3515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Ön arıtma kontrolü, SDI takibi, zamanında CIP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Recovery fazla zorlanır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Kireçlenme, debi düşüşü, sık temizlik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Ham su analizine göre recovery limiti ve antiskalant</w:t>
            </w:r>
          </w:p>
        </w:tc>
      </w:tr>
      <w:tr>
        <w:tc>
          <w:tcPr>
            <w:tcW w:type="dxa" w:w="1984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Sertlik kaçağı</w:t>
            </w:r>
          </w:p>
        </w:tc>
        <w:tc>
          <w:tcPr>
            <w:tcW w:type="dxa" w:w="3118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Leke, ton farkı, sabun çökelmesi</w:t>
            </w:r>
          </w:p>
        </w:tc>
        <w:tc>
          <w:tcPr>
            <w:tcW w:type="dxa" w:w="3515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Yumuşatma/antiskalant kontrolü, sertlik testi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Lab-üretim su farkı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Reçete tutmaz, renk tekrarlanabilirliği düşer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Laboratuvar ve üretim için aynı su standardı</w:t>
            </w:r>
          </w:p>
        </w:tc>
      </w:tr>
      <w:tr>
        <w:tc>
          <w:tcPr>
            <w:tcW w:type="dxa" w:w="1984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Yanlış birim okuması</w:t>
            </w:r>
          </w:p>
        </w:tc>
        <w:tc>
          <w:tcPr>
            <w:tcW w:type="dxa" w:w="3118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µS/cm, mS/cm, ppm TDS karışır</w:t>
            </w:r>
          </w:p>
        </w:tc>
        <w:tc>
          <w:tcPr>
            <w:tcW w:type="dxa" w:w="3515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Cihaz birimi ve kompanzasyon ayarı standartlaştırılır</w:t>
            </w:r>
          </w:p>
        </w:tc>
      </w:tr>
    </w:tbl>
    <w:p/>
    <w:p>
      <w:pPr>
        <w:pStyle w:val="BBCallout"/>
      </w:pPr>
      <w:r>
        <w:rPr>
          <w:rFonts w:ascii="Noto Sans" w:hAnsi="Noto Sans" w:eastAsia="Noto Sans"/>
          <w:b/>
          <w:color w:val="1F4E5F"/>
          <w:sz w:val="18"/>
        </w:rPr>
        <w:t xml:space="preserve">Uygulama örneği: </w:t>
      </w:r>
      <w:r>
        <w:rPr>
          <w:rFonts w:ascii="Noto Sans" w:hAnsi="Noto Sans" w:eastAsia="Noto Sans"/>
          <w:sz w:val="18"/>
        </w:rPr>
        <w:t>Permeat iletkenliği 40 µS/cm seviyesinden 120 µS/cm seviyesine çıkıyorsa ilk karar “reçeteyi değiştirmek” olmamalıdır. Önce membran performansı, basınç farkı, recovery, kartuş filtre basınç farkı ve ham su iletkenliği birlikte kontrol edilmelidir.</w:t>
      </w:r>
    </w:p>
    <w:p>
      <w:pPr>
        <w:pStyle w:val="BBH1"/>
      </w:pPr>
      <w:r>
        <w:t>7. Satın alma şartnamesine yazılması gereken ana maddeler</w:t>
      </w:r>
    </w:p>
    <w:p>
      <w:pPr>
        <w:pStyle w:val="BBBody"/>
      </w:pPr>
      <w:r>
        <w:t>• Net permeat kapasitesi 10 m³/saat olarak garanti edilmeli; kapasite değeri brüt pompa debisi değil, ölçülen permeat debisi olmalıdır.</w:t>
      </w:r>
    </w:p>
    <w:p>
      <w:pPr>
        <w:pStyle w:val="BBBody"/>
      </w:pPr>
      <w:r>
        <w:t>• Tasarım recovery değeri ham su analizine göre teklif dosyasında açıklanmalıdır. %75 bu dokümanda hesap varsayımıdır.</w:t>
      </w:r>
    </w:p>
    <w:p>
      <w:pPr>
        <w:pStyle w:val="BBBody"/>
      </w:pPr>
      <w:r>
        <w:t>• Teklifte ham su analizi, ön arıtma şeması, membran modeli, membran sayısı, basınç kabı dizilimi, pompa gücü, otomasyon noktaları ve CIP yapısı verilmelidir.</w:t>
      </w:r>
    </w:p>
    <w:p>
      <w:pPr>
        <w:pStyle w:val="BBBody"/>
      </w:pPr>
      <w:r>
        <w:t>• Permeat tankı 100-120 m³ aralığında projelendirilmeli; en büyük eş zamanlı makine dolum senaryosuyla doğrulanmalıdır.</w:t>
      </w:r>
    </w:p>
    <w:p>
      <w:pPr>
        <w:pStyle w:val="BBBody"/>
      </w:pPr>
      <w:r>
        <w:t>• Permeat iletkenliği, feed/reject/permeat debileri, basınçlar ve alarm geçmişi operatör ekranında izlenebilir olmalıdır.</w:t>
      </w:r>
    </w:p>
    <w:p>
      <w:pPr>
        <w:pStyle w:val="BBBody"/>
      </w:pPr>
      <w:r>
        <w:t>• Devreye alma sonunda performans kabul testi yapılmalı: permeat debisi, permeat iletkenliği, recovery, basınçlar, tank dolum süresi ve alarm fonksiyonları kayıt altına alınmalıdır.</w:t>
      </w:r>
    </w:p>
    <w:p>
      <w:pPr>
        <w:pStyle w:val="BBH1"/>
      </w:pPr>
      <w:r>
        <w:t>8. İki aşamalı kontrol sonucu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835"/>
            <w:shd w:fill="1F4E5F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7"/>
              </w:rPr>
              <w:t>Kontrol</w:t>
            </w:r>
          </w:p>
        </w:tc>
        <w:tc>
          <w:tcPr>
            <w:tcW w:type="dxa" w:w="6236"/>
            <w:shd w:fill="1F4E5F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/>
                <w:color w:val="FFFFFF"/>
                <w:sz w:val="17"/>
              </w:rPr>
              <w:t>Sonuç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1. teknik kontrol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Flotte hesabı, kapasite tablosu, 8-10 m³/saat karşılaştırması ve %75 recovery debileri yeniden hesaplandı.</w:t>
            </w:r>
          </w:p>
        </w:tc>
      </w:tr>
      <w:tr>
        <w:tc>
          <w:tcPr>
            <w:tcW w:type="dxa" w:w="2835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2. yayın kontrolü</w:t>
            </w:r>
          </w:p>
        </w:tc>
        <w:tc>
          <w:tcPr>
            <w:tcW w:type="dxa" w:w="6236"/>
            <w:vAlign w:val="center"/>
            <w:shd w:fill="F3F7FA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Tekrar eden sosyal/site cümleleri birleştirildi; video bölümü çıkarıldı; ZIP klasör yapısı BB-507 standardına göre kuruldu.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Kalan belirsizlik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/>
            <w:r>
              <w:rPr>
                <w:rFonts w:ascii="Noto Sans" w:hAnsi="Noto Sans" w:eastAsia="Noto Sans"/>
                <w:b w:val="0"/>
                <w:sz w:val="17"/>
              </w:rPr>
              <w:t>Ham su analizi yoksa nihai membran dizilimi ve gerçek recovery kesinleştirilemez.</w:t>
            </w:r>
          </w:p>
        </w:tc>
      </w:tr>
    </w:tbl>
    <w:p/>
    <w:p>
      <w:pPr>
        <w:pStyle w:val="BBH1"/>
      </w:pPr>
      <w:r>
        <w:t>9. Kaynakça ve doğrulama notları</w:t>
      </w:r>
    </w:p>
    <w:p>
      <w:pPr>
        <w:pStyle w:val="BBBody"/>
      </w:pPr>
      <w:r>
        <w:rPr>
          <w:b/>
        </w:rPr>
        <w:t xml:space="preserve">DuPont FilmTec Reverse Osmosis/Nanofiltration Membranes Technical Manual, Rev. 19, February 2026. </w:t>
      </w:r>
      <w:r>
        <w:t>BW30 tipi brackish water RO uygulaması, membran sınıfları ve temel tasarım kavramları için kullanıldı.</w:t>
      </w:r>
    </w:p>
    <w:p>
      <w:pPr>
        <w:pStyle w:val="BBBody"/>
      </w:pPr>
      <w:r>
        <w:rPr>
          <w:b/>
        </w:rPr>
        <w:t xml:space="preserve">DuPont FilmTec Membrane System Design Guidelines for 8-inch Elements, Rev. 14, February 2026. </w:t>
      </w:r>
      <w:r>
        <w:t>RO sistemlerinde feed su kalitesine göre SDI, flux, minimum concentrate flow ve tasarım sınırlarının önemini doğrulamak için kullanıldı.</w:t>
      </w:r>
    </w:p>
    <w:p>
      <w:pPr>
        <w:pStyle w:val="BBBody"/>
      </w:pPr>
      <w:r>
        <w:rPr>
          <w:b/>
        </w:rPr>
        <w:t xml:space="preserve">DuPont FilmTec Factors Affecting RO Membrane Performance, June 2025. </w:t>
      </w:r>
      <w:r>
        <w:t>Recovery, rejection, permeate, feed/concentrate flow, basınç ve sıcaklığın membran performansına etkisi için kullanıldı.</w:t>
      </w:r>
    </w:p>
    <w:p>
      <w:pPr>
        <w:pStyle w:val="BBBody"/>
      </w:pPr>
      <w:r>
        <w:rPr>
          <w:b/>
        </w:rPr>
        <w:t xml:space="preserve">Puretec Industrial Water, Reverse Osmosis - The Basics, 2024. </w:t>
      </w:r>
      <w:r>
        <w:t>Endüstriyel RO sistemlerinde recovery aralığı ve feed/permeate/concentrate hesabı için ikincil teknik kaynak olarak değerlendirildi.</w:t>
      </w:r>
    </w:p>
    <w:p>
      <w:pPr>
        <w:pStyle w:val="BBBody"/>
      </w:pPr>
      <w:r>
        <w:rPr>
          <w:b/>
        </w:rPr>
        <w:t xml:space="preserve">Tekstil su kalitesi literatürü ve saha kabul değerleri. </w:t>
      </w:r>
      <w:r>
        <w:t>Sertlik, demir, mangan, bikarbonat ve iletkenlik hedefleri için tekstil boyama pratikleriyle uyumlu güvenli hedef aralıkları kullanıldı; işletmeye özel limitler ham su ve reçete geçmişiyle kesinleşmelidir.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964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BBSmall"/>
      <w:jc w:val="center"/>
    </w:pPr>
    <w:r>
      <w:t>Versiyon 1.0 | Video üretimi hariç tutulmuştur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BBSmall"/>
      <w:jc w:val="right"/>
    </w:pPr>
    <w:r>
      <w:t>BB-KSS Master Doküman | RO 20K Kapasite Seçimi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eastAsia="Noto Sans"/>
      <w:color w:val="23232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BTitle">
    <w:name w:val="BB Title"/>
    <w:pPr>
      <w:spacing w:before="0" w:after="200" w:line="259" w:lineRule="auto"/>
    </w:pPr>
    <w:rPr>
      <w:rFonts w:ascii="Noto Sans" w:hAnsi="Noto Sans" w:eastAsia="Noto Sans"/>
      <w:b/>
      <w:color w:val="123140"/>
      <w:sz w:val="48"/>
    </w:rPr>
  </w:style>
  <w:style w:type="paragraph" w:customStyle="1" w:styleId="BBSubtitle">
    <w:name w:val="BB Subtitle"/>
    <w:pPr>
      <w:spacing w:before="0" w:after="240" w:line="259" w:lineRule="auto"/>
    </w:pPr>
    <w:rPr>
      <w:rFonts w:ascii="Noto Sans" w:hAnsi="Noto Sans" w:eastAsia="Noto Sans"/>
      <w:b w:val="0"/>
      <w:color w:val="4B6672"/>
      <w:sz w:val="24"/>
    </w:rPr>
  </w:style>
  <w:style w:type="paragraph" w:customStyle="1" w:styleId="BBH1">
    <w:name w:val="BB H1"/>
    <w:pPr>
      <w:spacing w:before="280" w:after="120" w:line="259" w:lineRule="auto"/>
    </w:pPr>
    <w:rPr>
      <w:rFonts w:ascii="Noto Sans" w:hAnsi="Noto Sans" w:eastAsia="Noto Sans"/>
      <w:b/>
      <w:color w:val="123140"/>
      <w:sz w:val="30"/>
    </w:rPr>
  </w:style>
  <w:style w:type="paragraph" w:customStyle="1" w:styleId="BBH2">
    <w:name w:val="BB H2"/>
    <w:pPr>
      <w:spacing w:before="200" w:after="80" w:line="259" w:lineRule="auto"/>
    </w:pPr>
    <w:rPr>
      <w:rFonts w:ascii="Noto Sans" w:hAnsi="Noto Sans" w:eastAsia="Noto Sans"/>
      <w:b/>
      <w:color w:val="1F4E5F"/>
      <w:sz w:val="24"/>
    </w:rPr>
  </w:style>
  <w:style w:type="paragraph" w:customStyle="1" w:styleId="BBBody">
    <w:name w:val="BB Body"/>
    <w:pPr>
      <w:spacing w:before="0" w:after="100" w:line="259" w:lineRule="auto"/>
    </w:pPr>
    <w:rPr>
      <w:rFonts w:ascii="Noto Sans" w:hAnsi="Noto Sans" w:eastAsia="Noto Sans"/>
      <w:b w:val="0"/>
      <w:color w:val="222222"/>
      <w:sz w:val="19"/>
    </w:rPr>
  </w:style>
  <w:style w:type="paragraph" w:customStyle="1" w:styleId="BBSmall">
    <w:name w:val="BB Small"/>
    <w:pPr>
      <w:spacing w:before="0" w:after="60" w:line="259" w:lineRule="auto"/>
    </w:pPr>
    <w:rPr>
      <w:rFonts w:ascii="Noto Sans" w:hAnsi="Noto Sans" w:eastAsia="Noto Sans"/>
      <w:b w:val="0"/>
      <w:color w:val="555555"/>
      <w:sz w:val="16"/>
    </w:rPr>
  </w:style>
  <w:style w:type="paragraph" w:customStyle="1" w:styleId="BBCallout">
    <w:name w:val="BB Callout"/>
    <w:pPr>
      <w:spacing w:before="80" w:after="120" w:line="259" w:lineRule="auto"/>
    </w:pPr>
    <w:rPr>
      <w:rFonts w:ascii="Noto Sans" w:hAnsi="Noto Sans" w:eastAsia="Noto Sans"/>
      <w:b w:val="0"/>
      <w:color w:val="22222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