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6d7d82e92ec2a880cac0890b70a7f7f4cc9f447"/>
    <w:p>
      <w:pPr>
        <w:pStyle w:val="Heading1"/>
        <w:keepNext/>
        <w:spacing w:before="160" w:after="200"/>
      </w:pPr>
      <w:r>
        <w:rPr>
          <w:rStyle w:val="SectionNumber"/>
        </w:rPr>
        <w:t xml:space="preserve">1</w:t>
      </w:r>
      <w:r>
        <w:tab/>
      </w:r>
      <w:r>
        <w:t xml:space="preserve">Reaktif Boyamada pH, Sıcaklık, Tuz ve Alkali Yönetimi</w:t>
      </w:r>
    </w:p>
    <w:p>
      <w:pPr>
        <w:pStyle w:val="FirstParagraph"/>
      </w:pPr>
      <w:r>
        <w:rPr>
          <w:b/>
          <w:bCs/>
        </w:rPr>
        <w:t xml:space="preserve">Doküman Kodu:</w:t>
      </w:r>
      <w:r>
        <w:t xml:space="preserve"> </w:t>
      </w:r>
      <w:r>
        <w:t xml:space="preserve">BB-BOY-TP-001</w:t>
      </w:r>
      <w:r>
        <w:br/>
      </w:r>
      <w:r>
        <w:rPr>
          <w:b/>
          <w:bCs/>
        </w:rPr>
        <w:t xml:space="preserve">Revizyon:</w:t>
      </w:r>
      <w:r>
        <w:t xml:space="preserve"> </w:t>
      </w:r>
      <w:r>
        <w:t xml:space="preserve">R00</w:t>
      </w:r>
      <w:r>
        <w:br/>
      </w:r>
      <w:r>
        <w:rPr>
          <w:b/>
          <w:bCs/>
        </w:rPr>
        <w:t xml:space="preserve">Revizyon Tarihi:</w:t>
      </w:r>
      <w:r>
        <w:t xml:space="preserve"> </w:t>
      </w:r>
      <w:r>
        <w:t xml:space="preserve">24 Temmuz 2026</w:t>
      </w:r>
      <w:r>
        <w:br/>
      </w:r>
      <w:r>
        <w:rPr>
          <w:b/>
          <w:bCs/>
        </w:rPr>
        <w:t xml:space="preserve">Durum:</w:t>
      </w:r>
      <w:r>
        <w:t xml:space="preserve"> </w:t>
      </w:r>
      <w:r>
        <w:t xml:space="preserve">Yayında</w:t>
      </w:r>
      <w:r>
        <w:br/>
      </w:r>
      <w:r>
        <w:rPr>
          <w:b/>
          <w:bCs/>
        </w:rPr>
        <w:t xml:space="preserve">Proses Alanı:</w:t>
      </w:r>
      <w:r>
        <w:t xml:space="preserve"> </w:t>
      </w:r>
      <w:r>
        <w:t xml:space="preserve">Boya</w:t>
      </w:r>
    </w:p>
    <w:bookmarkStart w:id="20" w:name="Xff8a569e945997c9649d78cbee84743f80b02f2"/>
    <w:p>
      <w:pPr>
        <w:pStyle w:val="Heading2"/>
        <w:keepNext/>
        <w:spacing w:before="160" w:after="60"/>
      </w:pPr>
      <w:r>
        <w:rPr>
          <w:rStyle w:val="SectionNumber"/>
        </w:rPr>
        <w:t xml:space="preserve">1.1</w:t>
      </w:r>
      <w:r>
        <w:tab/>
      </w:r>
      <w:r>
        <w:t xml:space="preserve">1. Amaç / Purpose</w:t>
      </w:r>
    </w:p>
    <w:p>
      <w:pPr>
        <w:pStyle w:val="FirstParagraph"/>
      </w:pPr>
      <w:r>
        <w:t xml:space="preserve">Bu teknik yayın; pamuk ve diğer selülozik materyallerin</w:t>
      </w:r>
      <w:r>
        <w:t xml:space="preserve"> </w:t>
      </w:r>
      <w:r>
        <w:rPr>
          <w:b/>
          <w:bCs/>
        </w:rPr>
        <w:t xml:space="preserve">Çektirme Yöntemi / Exhaust Method</w:t>
      </w:r>
      <w:r>
        <w:t xml:space="preserve"> </w:t>
      </w:r>
      <w:r>
        <w:t xml:space="preserve">ile reaktif boyanmasında</w:t>
      </w:r>
      <w:r>
        <w:t xml:space="preserve"> </w:t>
      </w:r>
      <w:r>
        <w:rPr>
          <w:b/>
          <w:bCs/>
        </w:rPr>
        <w:t xml:space="preserve">pH, Sıcaklık / Temperature, Tuz–Elektrolit / Salt–Electrolyte ve Alkali / Alkali</w:t>
      </w:r>
      <w:r>
        <w:t xml:space="preserve"> </w:t>
      </w:r>
      <w:r>
        <w:t xml:space="preserve">değişkenlerinin birbirinden bağımsız değil, aynı reaksiyon sisteminin parçaları olarak yönetilmesini amaçlar.</w:t>
      </w:r>
    </w:p>
    <w:p>
      <w:pPr>
        <w:pStyle w:val="BodyText"/>
      </w:pPr>
      <w:r>
        <w:t xml:space="preserve">Temel saha kuralı şudur:</w:t>
      </w:r>
    </w:p>
    <w:p>
      <w:pPr>
        <w:pStyle w:val="BlockText"/>
      </w:pPr>
      <w:r>
        <w:t xml:space="preserve">Tuz boyayı life bağlamaz; boyanın lif yüzeyine yaklaşmasını ve banyodan çekilmesini destekler. Kovalent bağlanmayı alkali ortamda aktive edilen selüloz sağlar. Aynı alkali ve sıcaklık, boya–lif reaksiyonunu hızlandırırken boyanın su ile hidrolizini de hızlandırabilir.</w:t>
      </w:r>
    </w:p>
    <w:p>
      <w:pPr>
        <w:pStyle w:val="FirstParagraph"/>
      </w:pPr>
      <w:r>
        <w:t xml:space="preserve">Bu nedenle hedef yalnızca koyu renk elde etmek değildir. Hedef;</w:t>
      </w:r>
      <w:r>
        <w:t xml:space="preserve"> </w:t>
      </w:r>
      <w:r>
        <w:rPr>
          <w:b/>
          <w:bCs/>
        </w:rPr>
        <w:t xml:space="preserve">Düzgünlük / Levelness, Tekrarlanabilirlik / Reproducibility, Fiksaj / Fixation, Yıkama Haslığı / Wash Fastness, Yaş Sürtme Haslığı / Wet Rubbing Fastness ve düşük yeniden işlem oranını</w:t>
      </w:r>
      <w:r>
        <w:t xml:space="preserve"> </w:t>
      </w:r>
      <w:r>
        <w:t xml:space="preserve">birlikte sağlamaktır.</w:t>
      </w:r>
    </w:p>
    <w:p>
      <w:pPr>
        <w:pStyle w:val="BodyText"/>
      </w:pPr>
      <w:r>
        <w:rPr>
          <w:i/>
          <w:iCs/>
        </w:rPr>
        <w:t xml:space="preserve">Görsel notu: Bu yayın için kullanılan mevcut proses görseli temsili niteliktedir. İdeal saha fotoğrafı; boya makinesi numune alma noktası, pH probu veya dozaj hattını birlikte gösterecek şekilde, yaklaşık 45° açıyla ve firma bilgisi görünmeden çekilmelidir.</w:t>
      </w:r>
    </w:p>
    <w:bookmarkEnd w:id="20"/>
    <w:bookmarkStart w:id="21" w:name="X27a975973b6dab8047210e0eecf216258486462"/>
    <w:p>
      <w:pPr>
        <w:pStyle w:val="Heading2"/>
        <w:keepNext/>
        <w:spacing w:before="160" w:after="60"/>
      </w:pPr>
      <w:r>
        <w:rPr>
          <w:rStyle w:val="SectionNumber"/>
        </w:rPr>
        <w:t xml:space="preserve">1.2</w:t>
      </w:r>
      <w:r>
        <w:tab/>
      </w:r>
      <w:r>
        <w:t xml:space="preserve">2. Kapsam ve Teknik Sınır / Scope and Technical Boundary</w:t>
      </w:r>
    </w:p>
    <w:p>
      <w:pPr>
        <w:pStyle w:val="FirstParagraph"/>
      </w:pPr>
      <w:r>
        <w:t xml:space="preserve">Yayın aşağıdaki sistemlere odaklanır:</w:t>
      </w:r>
    </w:p>
    <w:p>
      <w:pPr>
        <w:pStyle w:val="Compact"/>
        <w:numPr>
          <w:ilvl w:val="0"/>
          <w:numId w:val="1001"/>
        </w:numPr>
      </w:pPr>
      <w:r>
        <w:t xml:space="preserve">Pamuk, viskon ve benzeri selülozik lifler</w:t>
      </w:r>
    </w:p>
    <w:p>
      <w:pPr>
        <w:pStyle w:val="Compact"/>
        <w:numPr>
          <w:ilvl w:val="0"/>
          <w:numId w:val="1001"/>
        </w:numPr>
      </w:pPr>
      <w:r>
        <w:t xml:space="preserve">Örme veya dokuma kumaş</w:t>
      </w:r>
    </w:p>
    <w:p>
      <w:pPr>
        <w:pStyle w:val="Compact"/>
        <w:numPr>
          <w:ilvl w:val="0"/>
          <w:numId w:val="1001"/>
        </w:numPr>
      </w:pPr>
      <w:r>
        <w:t xml:space="preserve">Çektirme yöntemiyle reaktif boyama</w:t>
      </w:r>
    </w:p>
    <w:p>
      <w:pPr>
        <w:pStyle w:val="Compact"/>
        <w:numPr>
          <w:ilvl w:val="0"/>
          <w:numId w:val="1001"/>
        </w:numPr>
      </w:pPr>
      <w:r>
        <w:t xml:space="preserve">Tek banyolu veya kontrollü çok aşamalı prosesler</w:t>
      </w:r>
    </w:p>
    <w:p>
      <w:pPr>
        <w:pStyle w:val="Compact"/>
        <w:numPr>
          <w:ilvl w:val="0"/>
          <w:numId w:val="1001"/>
        </w:numPr>
      </w:pPr>
      <w:r>
        <w:t xml:space="preserve">Konvansiyonel tuz–alkali sistemi kullanan prosesler</w:t>
      </w:r>
    </w:p>
    <w:p>
      <w:pPr>
        <w:pStyle w:val="FirstParagraph"/>
      </w:pPr>
      <w:r>
        <w:t xml:space="preserve">Aşağıdaki uygulamalar aynı kontrol mantığından yararlansa da ayrı doğrulama gerektirir:</w:t>
      </w:r>
    </w:p>
    <w:p>
      <w:pPr>
        <w:pStyle w:val="Compact"/>
        <w:numPr>
          <w:ilvl w:val="0"/>
          <w:numId w:val="1002"/>
        </w:numPr>
      </w:pPr>
      <w:r>
        <w:t xml:space="preserve">Katyonize pamuk / Cationized Cotton</w:t>
      </w:r>
    </w:p>
    <w:p>
      <w:pPr>
        <w:pStyle w:val="Compact"/>
        <w:numPr>
          <w:ilvl w:val="0"/>
          <w:numId w:val="1002"/>
        </w:numPr>
      </w:pPr>
      <w:r>
        <w:t xml:space="preserve">Tuzsuz veya düşük tuzlu özel sistemler</w:t>
      </w:r>
    </w:p>
    <w:p>
      <w:pPr>
        <w:pStyle w:val="Compact"/>
        <w:numPr>
          <w:ilvl w:val="0"/>
          <w:numId w:val="1002"/>
        </w:numPr>
      </w:pPr>
      <w:r>
        <w:t xml:space="preserve">Soğuk bekletme / Cold Pad-Batch</w:t>
      </w:r>
    </w:p>
    <w:p>
      <w:pPr>
        <w:pStyle w:val="Compact"/>
        <w:numPr>
          <w:ilvl w:val="0"/>
          <w:numId w:val="1002"/>
        </w:numPr>
      </w:pPr>
      <w:r>
        <w:t xml:space="preserve">Pad–Steam ve sürekli boyama</w:t>
      </w:r>
    </w:p>
    <w:p>
      <w:pPr>
        <w:pStyle w:val="Compact"/>
        <w:numPr>
          <w:ilvl w:val="0"/>
          <w:numId w:val="1002"/>
        </w:numPr>
      </w:pPr>
      <w:r>
        <w:t xml:space="preserve">Reaktif baskı</w:t>
      </w:r>
    </w:p>
    <w:p>
      <w:pPr>
        <w:pStyle w:val="Compact"/>
        <w:numPr>
          <w:ilvl w:val="0"/>
          <w:numId w:val="1002"/>
        </w:numPr>
      </w:pPr>
      <w:r>
        <w:t xml:space="preserve">Protein lifleri veya poliamid üzerinde reaktif boya</w:t>
      </w:r>
    </w:p>
    <w:p>
      <w:pPr>
        <w:pStyle w:val="Compact"/>
        <w:numPr>
          <w:ilvl w:val="0"/>
          <w:numId w:val="1002"/>
        </w:numPr>
      </w:pPr>
      <w:r>
        <w:t xml:space="preserve">Özel tamponlu veya nötr fiksaj sistemleri</w:t>
      </w:r>
    </w:p>
    <w:p>
      <w:pPr>
        <w:pStyle w:val="FirstParagraph"/>
      </w:pPr>
      <w:r>
        <w:rPr>
          <w:b/>
          <w:bCs/>
        </w:rPr>
        <w:t xml:space="preserve">Teknik ikaz:</w:t>
      </w:r>
      <w:r>
        <w:t xml:space="preserve"> </w:t>
      </w:r>
      <w:r>
        <w:t xml:space="preserve">Bu yayındaki pH ve sıcaklık aralıkları genel proses pencereleridir; boya üreticisinin</w:t>
      </w:r>
      <w:r>
        <w:t xml:space="preserve"> </w:t>
      </w:r>
      <w:r>
        <w:rPr>
          <w:b/>
          <w:bCs/>
        </w:rPr>
        <w:t xml:space="preserve">Teknik Veri Föyü / Technical Data Sheet (TDS)</w:t>
      </w:r>
      <w:r>
        <w:t xml:space="preserve"> </w:t>
      </w:r>
      <w:r>
        <w:t xml:space="preserve">ve işletme doğrulaması her zaman önceliklidir. Reaktif grup tipi değiştiğinde uygun sıcaklık, alkali tipi, dozaj süresi ve fiksaj süresi de değişebilir.</w:t>
      </w:r>
    </w:p>
    <w:bookmarkEnd w:id="21"/>
    <w:bookmarkStart w:id="22" w:name="Xacf9f3b76e63d7172e890eb63a064bd5fcae425"/>
    <w:p>
      <w:pPr>
        <w:pStyle w:val="Heading2"/>
        <w:keepNext/>
        <w:spacing w:before="160" w:after="60"/>
      </w:pPr>
      <w:r>
        <w:rPr>
          <w:rStyle w:val="SectionNumber"/>
        </w:rPr>
        <w:t xml:space="preserve">1.3</w:t>
      </w:r>
      <w:r>
        <w:tab/>
      </w:r>
      <w:r>
        <w:t xml:space="preserve">3. Reaksiyon Mantığı / Reaction Logic</w:t>
      </w:r>
    </w:p>
    <w:p>
      <w:pPr>
        <w:pStyle w:val="FirstParagraph"/>
      </w:pPr>
      <w:r>
        <w:t xml:space="preserve">Reaktif boyamada üç olay eş zamanlı yürür: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Banyodan çekim / Exhaustion:</w:t>
      </w:r>
      <w:r>
        <w:t xml:space="preserve"> </w:t>
      </w:r>
      <w:r>
        <w:t xml:space="preserve">Anyonik boya molekülünün selüloz yüzeyine taşınması.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 içine difüzyon / Diffusion:</w:t>
      </w:r>
      <w:r>
        <w:t xml:space="preserve"> </w:t>
      </w:r>
      <w:r>
        <w:t xml:space="preserve">Boyanın lifin erişilebilir bölgelerine ilerlemesi.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Kovalent bağlanma / Covalent Fixation:</w:t>
      </w:r>
      <w:r>
        <w:t xml:space="preserve"> </w:t>
      </w:r>
      <w:r>
        <w:t xml:space="preserve">Reaktif grubun aktive edilmiş selüloz ile reaksiyona girmesi.</w:t>
      </w:r>
    </w:p>
    <w:p>
      <w:pPr>
        <w:pStyle w:val="FirstParagraph"/>
      </w:pPr>
      <w:r>
        <w:t xml:space="preserve">Basitleştirilmiş aktivasyon:</w:t>
      </w:r>
    </w:p>
    <w:p>
      <w:pPr>
        <w:pStyle w:val="SourceCode"/>
      </w:pPr>
      <w:r>
        <w:rPr>
          <w:rStyle w:val="VerbatimChar"/>
        </w:rPr>
        <w:t xml:space="preserve">Cell-OH + OH- &lt;=&gt; Cell-O- + H2O</w:t>
      </w:r>
    </w:p>
    <w:p>
      <w:pPr>
        <w:pStyle w:val="FirstParagraph"/>
      </w:pPr>
      <w:r>
        <w:t xml:space="preserve">Basitleştirilmiş fiksaj:</w:t>
      </w:r>
    </w:p>
    <w:p>
      <w:pPr>
        <w:pStyle w:val="SourceCode"/>
      </w:pPr>
      <w:r>
        <w:rPr>
          <w:rStyle w:val="VerbatimChar"/>
        </w:rPr>
        <w:t xml:space="preserve">Dye-X + Cell-O- -&gt; Dye-O-Cell + X-</w:t>
      </w:r>
    </w:p>
    <w:p>
      <w:pPr>
        <w:pStyle w:val="FirstParagraph"/>
      </w:pPr>
      <w:r>
        <w:t xml:space="preserve">İstenmeyen yan reaksiyon olan hidroliz:</w:t>
      </w:r>
    </w:p>
    <w:p>
      <w:pPr>
        <w:pStyle w:val="SourceCode"/>
      </w:pPr>
      <w:r>
        <w:rPr>
          <w:rStyle w:val="VerbatimChar"/>
        </w:rPr>
        <w:t xml:space="preserve">Dye-X + OH- / H2O -&gt; Dye-OH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Cell-OH</w:t>
      </w:r>
      <w:r>
        <w:t xml:space="preserve">: selüloz hidroksil grubu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Cell-O-</w:t>
      </w:r>
      <w:r>
        <w:t xml:space="preserve">: alkali ortamda aktive edilmiş selüloz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Dye-X</w:t>
      </w:r>
      <w:r>
        <w:t xml:space="preserve">: reaktif grubu aktif boya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Dye-OH</w:t>
      </w:r>
      <w:r>
        <w:t xml:space="preserve">: hidrolize olmuş ve lifle artık kovalent bağ kuramayan boya</w:t>
      </w:r>
    </w:p>
    <w:p>
      <w:pPr>
        <w:pStyle w:val="FirstParagraph"/>
      </w:pPr>
      <w:r>
        <w:t xml:space="preserve">Bu denklemler reaksiyon mekanizmasını sadeleştirmek için verilmiştir. Gerçek mekanizma; monoklortriazin, vinil sülfon, bifonksiyonel veya polifonksiyonel reaktif gruba göre değişir.</w:t>
      </w:r>
    </w:p>
    <w:bookmarkEnd w:id="22"/>
    <w:bookmarkStart w:id="27" w:name="Xdc681cef0a7cd0f7ee5e928c7f39ba74797452b"/>
    <w:p>
      <w:pPr>
        <w:pStyle w:val="Heading2"/>
        <w:keepNext/>
        <w:spacing w:before="160" w:after="60"/>
      </w:pPr>
      <w:r>
        <w:rPr>
          <w:rStyle w:val="SectionNumber"/>
        </w:rPr>
        <w:t xml:space="preserve">1.4</w:t>
      </w:r>
      <w:r>
        <w:tab/>
      </w:r>
      <w:r>
        <w:t xml:space="preserve">4. Dört Ana Proses Değişkeni / Four Main Process Variables</w:t>
      </w:r>
    </w:p>
    <w:bookmarkStart w:id="23" w:name="Xf3218ccabdf00418aaf57c37102357fe3313730"/>
    <w:p>
      <w:pPr>
        <w:pStyle w:val="Heading3"/>
        <w:keepNext/>
        <w:spacing w:before="160" w:after="60"/>
      </w:pPr>
      <w:r>
        <w:rPr>
          <w:rStyle w:val="SectionNumber"/>
        </w:rPr>
        <w:t xml:space="preserve">1.4.1</w:t>
      </w:r>
      <w:r>
        <w:tab/>
      </w:r>
      <w:r>
        <w:t xml:space="preserve">4.1 pH Yönetimi / pH Management</w:t>
      </w:r>
    </w:p>
    <w:p>
      <w:pPr>
        <w:pStyle w:val="FirstParagraph"/>
      </w:pPr>
      <w:r>
        <w:t xml:space="preserve">pH; selülozun aktivasyonunu ve boya reaktivitesini belirler.</w:t>
      </w:r>
    </w:p>
    <w:p>
      <w:pPr>
        <w:pStyle w:val="Compact"/>
        <w:numPr>
          <w:ilvl w:val="0"/>
          <w:numId w:val="1005"/>
        </w:numPr>
      </w:pPr>
      <w:r>
        <w:t xml:space="preserve">Nötr veya nötre yakın aşama, boyanın kontrollü çekimi ve düzgün dağılması için kullanılır.</w:t>
      </w:r>
    </w:p>
    <w:p>
      <w:pPr>
        <w:pStyle w:val="Compact"/>
        <w:numPr>
          <w:ilvl w:val="0"/>
          <w:numId w:val="1005"/>
        </w:numPr>
      </w:pPr>
      <w:r>
        <w:t xml:space="preserve">Alkali ilavesiyle selülozun nükleofilik karakteri artar ve kovalent bağlanma başlar.</w:t>
      </w:r>
    </w:p>
    <w:p>
      <w:pPr>
        <w:pStyle w:val="Compact"/>
        <w:numPr>
          <w:ilvl w:val="0"/>
          <w:numId w:val="1005"/>
        </w:numPr>
      </w:pPr>
      <w:r>
        <w:t xml:space="preserve">pH gereğinden düşük kalırsa fiksaj yetersiz olabilir.</w:t>
      </w:r>
    </w:p>
    <w:p>
      <w:pPr>
        <w:pStyle w:val="Compact"/>
        <w:numPr>
          <w:ilvl w:val="0"/>
          <w:numId w:val="1005"/>
        </w:numPr>
      </w:pPr>
      <w:r>
        <w:t xml:space="preserve">pH gereğinden hızlı veya yüksek yükselirse lokal fiksaj, düzgünsüzlük ve hidroliz riski artar.</w:t>
      </w:r>
    </w:p>
    <w:p>
      <w:pPr>
        <w:pStyle w:val="FirstParagraph"/>
      </w:pPr>
      <w:r>
        <w:t xml:space="preserve">Birçok konvansiyonel sistemde fiksaj banyosu yaklaşık</w:t>
      </w:r>
      <w:r>
        <w:t xml:space="preserve"> </w:t>
      </w:r>
      <w:r>
        <w:rPr>
          <w:b/>
          <w:bCs/>
        </w:rPr>
        <w:t xml:space="preserve">pH 10.5–11.5</w:t>
      </w:r>
      <w:r>
        <w:t xml:space="preserve"> </w:t>
      </w:r>
      <w:r>
        <w:t xml:space="preserve">aralığında çalışabilir. Bu değer evrensel reçete değildir; boya sınıfı, alkali kombinasyonu, flotte oranı ve sıcaklıkla birlikte doğrulanmalıdır.</w:t>
      </w:r>
    </w:p>
    <w:p>
      <w:pPr>
        <w:pStyle w:val="BodyText"/>
      </w:pPr>
      <w:r>
        <w:rPr>
          <w:b/>
          <w:bCs/>
        </w:rPr>
        <w:t xml:space="preserve">Ölçüm disiplini:</w:t>
      </w:r>
    </w:p>
    <w:p>
      <w:pPr>
        <w:pStyle w:val="Compact"/>
        <w:numPr>
          <w:ilvl w:val="0"/>
          <w:numId w:val="1006"/>
        </w:numPr>
      </w:pPr>
      <w:r>
        <w:t xml:space="preserve">pH metre günlük veya vardiya başlangıcında uygun tamponlarla kalibre edilmelidir.</w:t>
      </w:r>
    </w:p>
    <w:p>
      <w:pPr>
        <w:pStyle w:val="Compact"/>
        <w:numPr>
          <w:ilvl w:val="0"/>
          <w:numId w:val="1006"/>
        </w:numPr>
      </w:pPr>
      <w:r>
        <w:t xml:space="preserve">Numune sıcaklığı sabitlenmeden alınan pH değerleri karşılaştırılmamalıdır.</w:t>
      </w:r>
    </w:p>
    <w:p>
      <w:pPr>
        <w:pStyle w:val="Compact"/>
        <w:numPr>
          <w:ilvl w:val="0"/>
          <w:numId w:val="1006"/>
        </w:numPr>
      </w:pPr>
      <w:r>
        <w:t xml:space="preserve">Otomatik sıcaklık kompanzasyonu olsa dahi işletme kayıt yöntemi sabit olmalıdır.</w:t>
      </w:r>
    </w:p>
    <w:p>
      <w:pPr>
        <w:pStyle w:val="Compact"/>
        <w:numPr>
          <w:ilvl w:val="0"/>
          <w:numId w:val="1006"/>
        </w:numPr>
      </w:pPr>
      <w:r>
        <w:t xml:space="preserve">Alkali dozajı sırasında yalnız başlangıç ve bitiş değil, dozaj eğrisi boyunca pH kaydedilmelidir.</w:t>
      </w:r>
    </w:p>
    <w:bookmarkEnd w:id="23"/>
    <w:bookmarkStart w:id="24" w:name="X9dbc691df76ab3dcd8bc94b19631d276506ea2f"/>
    <w:p>
      <w:pPr>
        <w:pStyle w:val="Heading3"/>
        <w:keepNext/>
        <w:spacing w:before="160" w:after="60"/>
      </w:pPr>
      <w:r>
        <w:rPr>
          <w:rStyle w:val="SectionNumber"/>
        </w:rPr>
        <w:t xml:space="preserve">1.4.2</w:t>
      </w:r>
      <w:r>
        <w:tab/>
      </w:r>
      <w:r>
        <w:t xml:space="preserve">4.2 Sıcaklık Yönetimi / Temperature Management</w:t>
      </w:r>
    </w:p>
    <w:p>
      <w:pPr>
        <w:pStyle w:val="FirstParagraph"/>
      </w:pPr>
      <w:r>
        <w:t xml:space="preserve">Sıcaklık; difüzyon, reaksiyon hızı ve hidroliz hızını aynı anda etkiler.</w:t>
      </w:r>
    </w:p>
    <w:p>
      <w:pPr>
        <w:pStyle w:val="BodyText"/>
      </w:pPr>
      <w:r>
        <w:t xml:space="preserve">Genel sınıflandırma: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Reaktif sistem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b/>
                <w:sz w:val="15"/>
              </w:rPr>
              <w:t xml:space="preserve">Genel sıcaklık yaklaşımı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Teknik not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Soğuk tip / Cold-reactive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b w:val="0"/>
                <w:sz w:val="15"/>
              </w:rPr>
              <w:t xml:space="preserve">yaklaşık 30–40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Yüksek reaktivite; alkali ve bekleme süresi kritik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Ilık tip / Warm-reactive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b w:val="0"/>
                <w:sz w:val="15"/>
              </w:rPr>
              <w:t xml:space="preserve">yaklaşık 50–60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Birçok bifonksiyonel sistem bu bölgede çalışır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Sıcak tip / Hot-reactive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rFonts w:ascii="Arial" w:hAnsi="Arial"/>
                <w:b w:val="0"/>
                <w:sz w:val="15"/>
              </w:rPr>
              <w:t xml:space="preserve">yaklaşık 70–80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Daha düşük reaktivite; daha yüksek sıcaklık gerekebilir</w:t>
            </w:r>
          </w:p>
        </w:tc>
      </w:tr>
    </w:tbl>
    <w:p>
      <w:pPr>
        <w:pStyle w:val="BodyText"/>
      </w:pPr>
      <w:r>
        <w:t xml:space="preserve">Bu tablo yalnızca sınıflandırma içindir. Aynı ticari seri içinde dahi önerilen sıcaklık farklı olabilir.</w:t>
      </w:r>
    </w:p>
    <w:p>
      <w:pPr>
        <w:pStyle w:val="BodyText"/>
      </w:pPr>
      <w:r>
        <w:t xml:space="preserve">Kritik saha noktaları:</w:t>
      </w:r>
    </w:p>
    <w:p>
      <w:pPr>
        <w:pStyle w:val="Compact"/>
        <w:numPr>
          <w:ilvl w:val="0"/>
          <w:numId w:val="1007"/>
        </w:numPr>
      </w:pPr>
      <w:r>
        <w:t xml:space="preserve">Kumaşın tamamı hedef sıcaklığa ulaşmadan fiksaj süresi başlatılmamalıdır.</w:t>
      </w:r>
    </w:p>
    <w:p>
      <w:pPr>
        <w:pStyle w:val="Compact"/>
        <w:numPr>
          <w:ilvl w:val="0"/>
          <w:numId w:val="1007"/>
        </w:numPr>
      </w:pPr>
      <w:r>
        <w:t xml:space="preserve">Isıtma hızı / Heating Rate, makine yükü ve sirkülasyonla birlikte tanımlanmalıdır.</w:t>
      </w:r>
    </w:p>
    <w:p>
      <w:pPr>
        <w:pStyle w:val="Compact"/>
        <w:numPr>
          <w:ilvl w:val="0"/>
          <w:numId w:val="1007"/>
        </w:numPr>
      </w:pPr>
      <w:r>
        <w:t xml:space="preserve">Eşanjör performansı ve gerçek banyo sıcaklığı, yalnız kontrol paneli set değeriyle doğrulanmamalıdır.</w:t>
      </w:r>
    </w:p>
    <w:p>
      <w:pPr>
        <w:pStyle w:val="Compact"/>
        <w:numPr>
          <w:ilvl w:val="0"/>
          <w:numId w:val="1007"/>
        </w:numPr>
      </w:pPr>
      <w:r>
        <w:t xml:space="preserve">Sıcaklık dalgalanması, özellikle alkali dozajıyla çakıştığında ton farkını büyütebilir.</w:t>
      </w:r>
    </w:p>
    <w:bookmarkEnd w:id="24"/>
    <w:bookmarkStart w:id="25" w:name="X5363272be34c4c3244cf4f2fe3d8df70bbd8c0d"/>
    <w:p>
      <w:pPr>
        <w:pStyle w:val="Heading3"/>
        <w:keepNext/>
        <w:spacing w:before="160" w:after="60"/>
      </w:pPr>
      <w:r>
        <w:rPr>
          <w:rStyle w:val="SectionNumber"/>
        </w:rPr>
        <w:t xml:space="preserve">1.4.3</w:t>
      </w:r>
      <w:r>
        <w:tab/>
      </w:r>
      <w:r>
        <w:t xml:space="preserve">4.3 Tuz–Elektrolit Yönetimi / Salt–Electrolyte Management</w:t>
      </w:r>
    </w:p>
    <w:p>
      <w:pPr>
        <w:pStyle w:val="FirstParagraph"/>
      </w:pPr>
      <w:r>
        <w:t xml:space="preserve">Selüloz ve reaktif boya banyoda çoğunlukla negatif yüklüdür.</w:t>
      </w:r>
      <w:r>
        <w:t xml:space="preserve"> </w:t>
      </w:r>
      <w:r>
        <w:rPr>
          <w:b/>
          <w:bCs/>
        </w:rPr>
        <w:t xml:space="preserve">Sodyum Klorür / Sodium Chloride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Sodyum Sülfat / Sodium Sulfate</w:t>
      </w:r>
      <w:r>
        <w:t xml:space="preserve">, elektrostatik itmenin etkisini azaltarak boyanın life yaklaşmasını ve banyodan çekilmesini destekler.</w:t>
      </w:r>
    </w:p>
    <w:p>
      <w:pPr>
        <w:pStyle w:val="BodyText"/>
      </w:pPr>
      <w:r>
        <w:t xml:space="preserve">Tuzun işlevi:</w:t>
      </w:r>
    </w:p>
    <w:p>
      <w:pPr>
        <w:pStyle w:val="Compact"/>
        <w:numPr>
          <w:ilvl w:val="0"/>
          <w:numId w:val="1008"/>
        </w:numPr>
      </w:pPr>
      <w:r>
        <w:t xml:space="preserve">Çekimi artırır.</w:t>
      </w:r>
    </w:p>
    <w:p>
      <w:pPr>
        <w:pStyle w:val="Compact"/>
        <w:numPr>
          <w:ilvl w:val="0"/>
          <w:numId w:val="1008"/>
        </w:numPr>
      </w:pPr>
      <w:r>
        <w:t xml:space="preserve">Çekim hızını değiştirir.</w:t>
      </w:r>
    </w:p>
    <w:p>
      <w:pPr>
        <w:pStyle w:val="Compact"/>
        <w:numPr>
          <w:ilvl w:val="0"/>
          <w:numId w:val="1008"/>
        </w:numPr>
      </w:pPr>
      <w:r>
        <w:t xml:space="preserve">Düzgünlük ve migrasyon dengesini etkiler.</w:t>
      </w:r>
    </w:p>
    <w:p>
      <w:pPr>
        <w:pStyle w:val="Compact"/>
        <w:numPr>
          <w:ilvl w:val="0"/>
          <w:numId w:val="1008"/>
        </w:numPr>
      </w:pPr>
      <w:r>
        <w:t xml:space="preserve">Banyodaki iyonik kuvveti ve iletkenliği yükseltir.</w:t>
      </w:r>
    </w:p>
    <w:p>
      <w:pPr>
        <w:pStyle w:val="FirstParagraph"/>
      </w:pPr>
      <w:r>
        <w:t xml:space="preserve">Tuzun işlevi olmayan konu:</w:t>
      </w:r>
    </w:p>
    <w:p>
      <w:pPr>
        <w:pStyle w:val="Compact"/>
        <w:numPr>
          <w:ilvl w:val="0"/>
          <w:numId w:val="1009"/>
        </w:numPr>
      </w:pPr>
      <w:r>
        <w:t xml:space="preserve">Tuz tek başına kovalent fiksaj oluşturmaz.</w:t>
      </w:r>
    </w:p>
    <w:p>
      <w:pPr>
        <w:pStyle w:val="FirstParagraph"/>
      </w:pPr>
      <w:r>
        <w:t xml:space="preserve">Aşırı veya çok hızlı tuz ilavesi:</w:t>
      </w:r>
    </w:p>
    <w:p>
      <w:pPr>
        <w:pStyle w:val="Compact"/>
        <w:numPr>
          <w:ilvl w:val="0"/>
          <w:numId w:val="1010"/>
        </w:numPr>
      </w:pPr>
      <w:r>
        <w:t xml:space="preserve">Boyanın yüzeye ani çekimine,</w:t>
      </w:r>
    </w:p>
    <w:p>
      <w:pPr>
        <w:pStyle w:val="Compact"/>
        <w:numPr>
          <w:ilvl w:val="0"/>
          <w:numId w:val="1010"/>
        </w:numPr>
      </w:pPr>
      <w:r>
        <w:t xml:space="preserve">Baş–son, iç–dış veya kenar–orta farkına,</w:t>
      </w:r>
    </w:p>
    <w:p>
      <w:pPr>
        <w:pStyle w:val="Compact"/>
        <w:numPr>
          <w:ilvl w:val="0"/>
          <w:numId w:val="1010"/>
        </w:numPr>
      </w:pPr>
      <w:r>
        <w:t xml:space="preserve">Düşük migrasyona,</w:t>
      </w:r>
    </w:p>
    <w:p>
      <w:pPr>
        <w:pStyle w:val="Compact"/>
        <w:numPr>
          <w:ilvl w:val="0"/>
          <w:numId w:val="1010"/>
        </w:numPr>
      </w:pPr>
      <w:r>
        <w:t xml:space="preserve">Düzgünsüzlük riskine</w:t>
      </w:r>
    </w:p>
    <w:p>
      <w:pPr>
        <w:pStyle w:val="FirstParagraph"/>
      </w:pPr>
      <w:r>
        <w:t xml:space="preserve">neden olabilir.</w:t>
      </w:r>
    </w:p>
    <w:p>
      <w:pPr>
        <w:pStyle w:val="BodyText"/>
      </w:pPr>
      <w:r>
        <w:t xml:space="preserve">Eksik tuz veya düşük efektif iyonik kuvvet:</w:t>
      </w:r>
    </w:p>
    <w:p>
      <w:pPr>
        <w:pStyle w:val="Compact"/>
        <w:numPr>
          <w:ilvl w:val="0"/>
          <w:numId w:val="1011"/>
        </w:numPr>
      </w:pPr>
      <w:r>
        <w:t xml:space="preserve">Düşük çekim,</w:t>
      </w:r>
    </w:p>
    <w:p>
      <w:pPr>
        <w:pStyle w:val="Compact"/>
        <w:numPr>
          <w:ilvl w:val="0"/>
          <w:numId w:val="1011"/>
        </w:numPr>
      </w:pPr>
      <w:r>
        <w:t xml:space="preserve">Açık ton,</w:t>
      </w:r>
    </w:p>
    <w:p>
      <w:pPr>
        <w:pStyle w:val="Compact"/>
        <w:numPr>
          <w:ilvl w:val="0"/>
          <w:numId w:val="1011"/>
        </w:numPr>
      </w:pPr>
      <w:r>
        <w:t xml:space="preserve">Fazla boyanın banyoda kalması,</w:t>
      </w:r>
    </w:p>
    <w:p>
      <w:pPr>
        <w:pStyle w:val="Compact"/>
        <w:numPr>
          <w:ilvl w:val="0"/>
          <w:numId w:val="1011"/>
        </w:numPr>
      </w:pPr>
      <w:r>
        <w:t xml:space="preserve">Düşük toplam renk verimi</w:t>
      </w:r>
    </w:p>
    <w:p>
      <w:pPr>
        <w:pStyle w:val="FirstParagraph"/>
      </w:pPr>
      <w:r>
        <w:t xml:space="preserve">sonucunu doğurabilir.</w:t>
      </w:r>
    </w:p>
    <w:p>
      <w:pPr>
        <w:pStyle w:val="BodyText"/>
      </w:pPr>
      <w:r>
        <w:rPr>
          <w:b/>
          <w:bCs/>
        </w:rPr>
        <w:t xml:space="preserve">İletkenlik / Conductivity ikazı:</w:t>
      </w:r>
      <w:r>
        <w:t xml:space="preserve"> </w:t>
      </w:r>
      <w:r>
        <w:t xml:space="preserve">İletkenlik, tuz konsantrasyonunu izlemek için yararlı bir proses sinyalidir; fakat farklı tuz türleri, alkali, sıcaklık, su sertliği ve diğer iyonlar aynı iletkenliği farklı şekilde etkiler. Evrensel “mS/cm = g/L tuz” dönüşümü kullanılmamalı; işletmeye özel sıcaklık kontrollü kalibrasyon eğrisi oluşturulmalıdır.</w:t>
      </w:r>
    </w:p>
    <w:bookmarkEnd w:id="25"/>
    <w:bookmarkStart w:id="26" w:name="Xe2fc9cf9ca6ccbbfaf1b7e39726ec9d456ac20e"/>
    <w:p>
      <w:pPr>
        <w:pStyle w:val="Heading3"/>
        <w:keepNext/>
        <w:spacing w:before="160" w:after="60"/>
      </w:pPr>
      <w:r>
        <w:rPr>
          <w:rStyle w:val="SectionNumber"/>
        </w:rPr>
        <w:t xml:space="preserve">1.4.4</w:t>
      </w:r>
      <w:r>
        <w:tab/>
      </w:r>
      <w:r>
        <w:t xml:space="preserve">4.4 Alkali Yönetimi / Alkali Management</w:t>
      </w:r>
    </w:p>
    <w:p>
      <w:pPr>
        <w:pStyle w:val="FirstParagraph"/>
      </w:pPr>
      <w:r>
        <w:t xml:space="preserve">Yaygın alkali kaynakları:</w:t>
      </w:r>
    </w:p>
    <w:p>
      <w:pPr>
        <w:pStyle w:val="Compact"/>
        <w:numPr>
          <w:ilvl w:val="0"/>
          <w:numId w:val="1012"/>
        </w:numPr>
      </w:pPr>
      <w:r>
        <w:t xml:space="preserve">Soda / Soda Ash / Sodium Carbonate</w:t>
      </w:r>
    </w:p>
    <w:p>
      <w:pPr>
        <w:pStyle w:val="Compact"/>
        <w:numPr>
          <w:ilvl w:val="0"/>
          <w:numId w:val="1012"/>
        </w:numPr>
      </w:pPr>
      <w:r>
        <w:t xml:space="preserve">Kostik Soda / Caustic Soda / Sodium Hydroxide</w:t>
      </w:r>
    </w:p>
    <w:p>
      <w:pPr>
        <w:pStyle w:val="Compact"/>
        <w:numPr>
          <w:ilvl w:val="0"/>
          <w:numId w:val="1012"/>
        </w:numPr>
      </w:pPr>
      <w:r>
        <w:t xml:space="preserve">Sodyum Bikarbonat / Sodium Bicarbonate</w:t>
      </w:r>
    </w:p>
    <w:p>
      <w:pPr>
        <w:pStyle w:val="Compact"/>
        <w:numPr>
          <w:ilvl w:val="0"/>
          <w:numId w:val="1012"/>
        </w:numPr>
      </w:pPr>
      <w:r>
        <w:t xml:space="preserve">Hazır tamponlu alkali sistemleri / Buffered Alkali Systems</w:t>
      </w:r>
    </w:p>
    <w:p>
      <w:pPr>
        <w:pStyle w:val="FirstParagraph"/>
      </w:pPr>
      <w:r>
        <w:t xml:space="preserve">Alkali seçimi ve kombinasyonu şu değişkenlere bağlıdır:</w:t>
      </w:r>
    </w:p>
    <w:p>
      <w:pPr>
        <w:pStyle w:val="Compact"/>
        <w:numPr>
          <w:ilvl w:val="0"/>
          <w:numId w:val="1013"/>
        </w:numPr>
      </w:pPr>
      <w:r>
        <w:t xml:space="preserve">Reaktif grup tipi</w:t>
      </w:r>
    </w:p>
    <w:p>
      <w:pPr>
        <w:pStyle w:val="Compact"/>
        <w:numPr>
          <w:ilvl w:val="0"/>
          <w:numId w:val="1013"/>
        </w:numPr>
      </w:pPr>
      <w:r>
        <w:t xml:space="preserve">Renk derinliği</w:t>
      </w:r>
    </w:p>
    <w:p>
      <w:pPr>
        <w:pStyle w:val="Compact"/>
        <w:numPr>
          <w:ilvl w:val="0"/>
          <w:numId w:val="1013"/>
        </w:numPr>
      </w:pPr>
      <w:r>
        <w:t xml:space="preserve">Boya kombinasyonu</w:t>
      </w:r>
    </w:p>
    <w:p>
      <w:pPr>
        <w:pStyle w:val="Compact"/>
        <w:numPr>
          <w:ilvl w:val="0"/>
          <w:numId w:val="1013"/>
        </w:numPr>
      </w:pPr>
      <w:r>
        <w:t xml:space="preserve">Flotte oranı</w:t>
      </w:r>
    </w:p>
    <w:p>
      <w:pPr>
        <w:pStyle w:val="Compact"/>
        <w:numPr>
          <w:ilvl w:val="0"/>
          <w:numId w:val="1013"/>
        </w:numPr>
      </w:pPr>
      <w:r>
        <w:t xml:space="preserve">Sıcaklık</w:t>
      </w:r>
    </w:p>
    <w:p>
      <w:pPr>
        <w:pStyle w:val="Compact"/>
        <w:numPr>
          <w:ilvl w:val="0"/>
          <w:numId w:val="1013"/>
        </w:numPr>
      </w:pPr>
      <w:r>
        <w:t xml:space="preserve">Dozaj süresi</w:t>
      </w:r>
    </w:p>
    <w:p>
      <w:pPr>
        <w:pStyle w:val="Compact"/>
        <w:numPr>
          <w:ilvl w:val="0"/>
          <w:numId w:val="1013"/>
        </w:numPr>
      </w:pPr>
      <w:r>
        <w:t xml:space="preserve">Makine sirkülasyonu</w:t>
      </w:r>
    </w:p>
    <w:p>
      <w:pPr>
        <w:pStyle w:val="Compact"/>
        <w:numPr>
          <w:ilvl w:val="0"/>
          <w:numId w:val="1013"/>
        </w:numPr>
      </w:pPr>
      <w:r>
        <w:t xml:space="preserve">İstenen fiksaj profili</w:t>
      </w:r>
    </w:p>
    <w:p>
      <w:pPr>
        <w:pStyle w:val="FirstParagraph"/>
      </w:pPr>
      <w:r>
        <w:t xml:space="preserve">Alkali tek noktadan, yüksek konsantrasyonda ve kısa sürede verildiğinde lokal pH yükselmesi oluşabilir. Sonuç; lokal hızlı fiksaj, lekelenme, ton farkı veya tekrarlanabilirlik kaybıdır.</w:t>
      </w:r>
    </w:p>
    <w:p>
      <w:pPr>
        <w:pStyle w:val="BodyText"/>
      </w:pPr>
      <w:r>
        <w:t xml:space="preserve">Güvenli proses yaklaşımı:</w:t>
      </w:r>
    </w:p>
    <w:p>
      <w:pPr>
        <w:pStyle w:val="Compact"/>
        <w:numPr>
          <w:ilvl w:val="0"/>
          <w:numId w:val="1014"/>
        </w:numPr>
      </w:pPr>
      <w:r>
        <w:t xml:space="preserve">Alkali çözeltisini doğrulanmış konsantrasyonda hazırlamak,</w:t>
      </w:r>
    </w:p>
    <w:p>
      <w:pPr>
        <w:pStyle w:val="Compact"/>
        <w:numPr>
          <w:ilvl w:val="0"/>
          <w:numId w:val="1014"/>
        </w:numPr>
      </w:pPr>
      <w:r>
        <w:t xml:space="preserve">Yeterli çözünme ve filtrasyon sağlamak,</w:t>
      </w:r>
    </w:p>
    <w:p>
      <w:pPr>
        <w:pStyle w:val="Compact"/>
        <w:numPr>
          <w:ilvl w:val="0"/>
          <w:numId w:val="1014"/>
        </w:numPr>
      </w:pPr>
      <w:r>
        <w:t xml:space="preserve">Kademeli veya lineer dozaj kullanmak,</w:t>
      </w:r>
    </w:p>
    <w:p>
      <w:pPr>
        <w:pStyle w:val="Compact"/>
        <w:numPr>
          <w:ilvl w:val="0"/>
          <w:numId w:val="1014"/>
        </w:numPr>
      </w:pPr>
      <w:r>
        <w:t xml:space="preserve">Dozaj süresini makine devri ve banyo çevrim süresiyle ilişkilendirmek,</w:t>
      </w:r>
    </w:p>
    <w:p>
      <w:pPr>
        <w:pStyle w:val="Compact"/>
        <w:numPr>
          <w:ilvl w:val="0"/>
          <w:numId w:val="1014"/>
        </w:numPr>
      </w:pPr>
      <w:r>
        <w:t xml:space="preserve">Dozaj hattı geri kaçaklarını ve ölü hacmi kontrol etmek,</w:t>
      </w:r>
    </w:p>
    <w:p>
      <w:pPr>
        <w:pStyle w:val="Compact"/>
        <w:numPr>
          <w:ilvl w:val="0"/>
          <w:numId w:val="1014"/>
        </w:numPr>
      </w:pPr>
      <w:r>
        <w:t xml:space="preserve">pH profilini gerçek numunelerle doğrulamak.</w:t>
      </w:r>
    </w:p>
    <w:bookmarkEnd w:id="26"/>
    <w:bookmarkEnd w:id="27"/>
    <w:bookmarkStart w:id="28" w:name="X6656d0bcf86c34d67ba44fe0691ddf579d9cd70"/>
    <w:p>
      <w:pPr>
        <w:pStyle w:val="Heading2"/>
        <w:keepNext/>
        <w:spacing w:before="160" w:after="60"/>
      </w:pPr>
      <w:r>
        <w:rPr>
          <w:rStyle w:val="SectionNumber"/>
        </w:rPr>
        <w:t xml:space="preserve">1.5</w:t>
      </w:r>
      <w:r>
        <w:tab/>
      </w:r>
      <w:r>
        <w:t xml:space="preserve">5. Flotte Oranı ve Makine Hidrodinamiği / Liquor Ratio and Machine Hydrodynamics</w:t>
      </w:r>
    </w:p>
    <w:p>
      <w:pPr>
        <w:pStyle w:val="FirstParagraph"/>
      </w:pPr>
      <w:r>
        <w:t xml:space="preserve">Aynı reçete yüzdesi, farklı</w:t>
      </w:r>
      <w:r>
        <w:t xml:space="preserve"> </w:t>
      </w:r>
      <w:r>
        <w:rPr>
          <w:b/>
          <w:bCs/>
        </w:rPr>
        <w:t xml:space="preserve">Flotte Oranı / Liquor Ratio (LR)</w:t>
      </w:r>
      <w:r>
        <w:t xml:space="preserve"> </w:t>
      </w:r>
      <w:r>
        <w:t xml:space="preserve">veya farklı efektif banyo hacminde aynı g/L değerini oluşturmaz.</w:t>
      </w:r>
    </w:p>
    <w:p>
      <w:pPr>
        <w:pStyle w:val="BodyText"/>
      </w:pPr>
      <w:r>
        <w:t xml:space="preserve">Tanım:</w:t>
      </w:r>
    </w:p>
    <w:p>
      <w:pPr>
        <w:pStyle w:val="SourceCode"/>
      </w:pPr>
      <w:r>
        <w:rPr>
          <w:rStyle w:val="VerbatimChar"/>
        </w:rPr>
        <w:t xml:space="preserve">LR = Banyo hacmi (L) / Kumaş kütlesi (kg)</w:t>
      </w:r>
    </w:p>
    <w:p>
      <w:pPr>
        <w:pStyle w:val="FirstParagraph"/>
      </w:pPr>
      <w:r>
        <w:t xml:space="preserve">Yaklaşık banyo hacmi:</w:t>
      </w:r>
    </w:p>
    <w:p>
      <w:pPr>
        <w:pStyle w:val="SourceCode"/>
      </w:pPr>
      <w:r>
        <w:rPr>
          <w:rStyle w:val="VerbatimChar"/>
        </w:rPr>
        <w:t xml:space="preserve">V = M x LR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</w:t>
      </w:r>
      <w:r>
        <w:t xml:space="preserve">: efektif banyo hacmi, 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</w:t>
      </w:r>
      <w:r>
        <w:t xml:space="preserve">: kumaş kütlesi, kg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LR</w:t>
      </w:r>
      <w:r>
        <w:t xml:space="preserve">: L/kg</w:t>
      </w:r>
    </w:p>
    <w:p>
      <w:pPr>
        <w:pStyle w:val="FirstParagraph"/>
      </w:pPr>
      <w:r>
        <w:t xml:space="preserve">Ancak gerçek makine hacmi; tesisat ölü hacmi, filtre, eşanjör, dozaj tankı ve kumaşın tuttuğu çözelti nedeniyle teorik değerden farklı olabilir. Reçete hesaplarında makinenin doğrulanmış efektif hacmi kullanılmalıdır.</w:t>
      </w:r>
    </w:p>
    <w:p>
      <w:pPr>
        <w:pStyle w:val="BodyText"/>
      </w:pPr>
      <w:r>
        <w:t xml:space="preserve">Hidrodinamik açıdan kontrol edilmesi gerekenler:</w:t>
      </w:r>
    </w:p>
    <w:p>
      <w:pPr>
        <w:pStyle w:val="Compact"/>
        <w:numPr>
          <w:ilvl w:val="0"/>
          <w:numId w:val="1016"/>
        </w:numPr>
      </w:pPr>
      <w:r>
        <w:t xml:space="preserve">Nozul basıncı ve çapı</w:t>
      </w:r>
    </w:p>
    <w:p>
      <w:pPr>
        <w:pStyle w:val="Compact"/>
        <w:numPr>
          <w:ilvl w:val="0"/>
          <w:numId w:val="1016"/>
        </w:numPr>
      </w:pPr>
      <w:r>
        <w:t xml:space="preserve">Kumaş hızı ve tur süresi</w:t>
      </w:r>
    </w:p>
    <w:p>
      <w:pPr>
        <w:pStyle w:val="Compact"/>
        <w:numPr>
          <w:ilvl w:val="0"/>
          <w:numId w:val="1016"/>
        </w:numPr>
      </w:pPr>
      <w:r>
        <w:t xml:space="preserve">Pompa debisi</w:t>
      </w:r>
    </w:p>
    <w:p>
      <w:pPr>
        <w:pStyle w:val="Compact"/>
        <w:numPr>
          <w:ilvl w:val="0"/>
          <w:numId w:val="1016"/>
        </w:numPr>
      </w:pPr>
      <w:r>
        <w:t xml:space="preserve">Yükleme oranı</w:t>
      </w:r>
    </w:p>
    <w:p>
      <w:pPr>
        <w:pStyle w:val="Compact"/>
        <w:numPr>
          <w:ilvl w:val="0"/>
          <w:numId w:val="1016"/>
        </w:numPr>
      </w:pPr>
      <w:r>
        <w:t xml:space="preserve">Halat açılması</w:t>
      </w:r>
    </w:p>
    <w:p>
      <w:pPr>
        <w:pStyle w:val="Compact"/>
        <w:numPr>
          <w:ilvl w:val="0"/>
          <w:numId w:val="1016"/>
        </w:numPr>
      </w:pPr>
      <w:r>
        <w:t xml:space="preserve">Filtre temizliği</w:t>
      </w:r>
    </w:p>
    <w:p>
      <w:pPr>
        <w:pStyle w:val="Compact"/>
        <w:numPr>
          <w:ilvl w:val="0"/>
          <w:numId w:val="1016"/>
        </w:numPr>
      </w:pPr>
      <w:r>
        <w:t xml:space="preserve">Köpük ve hava kilidi</w:t>
      </w:r>
    </w:p>
    <w:p>
      <w:pPr>
        <w:pStyle w:val="Compact"/>
        <w:numPr>
          <w:ilvl w:val="0"/>
          <w:numId w:val="1016"/>
        </w:numPr>
      </w:pPr>
      <w:r>
        <w:t xml:space="preserve">Dozajın banyo içinde homojenleşme süresi</w:t>
      </w:r>
    </w:p>
    <w:bookmarkEnd w:id="28"/>
    <w:bookmarkStart w:id="35" w:name="X34303122a7d338421dd30bab73e9894ad97b11f"/>
    <w:p>
      <w:pPr>
        <w:pStyle w:val="Heading2"/>
        <w:keepNext/>
        <w:spacing w:before="160" w:after="60"/>
      </w:pPr>
      <w:r>
        <w:rPr>
          <w:rStyle w:val="SectionNumber"/>
        </w:rPr>
        <w:t xml:space="preserve">1.6</w:t>
      </w:r>
      <w:r>
        <w:tab/>
      </w:r>
      <w:r>
        <w:t xml:space="preserve">6. Önerilen Proses Kontrol Sırası / Recommended Process Control Sequence</w:t>
      </w:r>
    </w:p>
    <w:bookmarkStart w:id="29" w:name="aşama-1--ön-kontrol--pre-check"/>
    <w:p>
      <w:pPr>
        <w:pStyle w:val="Heading3"/>
        <w:keepNext/>
        <w:spacing w:before="160" w:after="60"/>
      </w:pPr>
      <w:r>
        <w:rPr>
          <w:rStyle w:val="SectionNumber"/>
        </w:rPr>
        <w:t xml:space="preserve">1.6.1</w:t>
      </w:r>
      <w:r>
        <w:tab/>
      </w:r>
      <w:r>
        <w:t xml:space="preserve">Aşama 1 — Ön kontrol / Pre-check</w:t>
      </w:r>
    </w:p>
    <w:p>
      <w:pPr>
        <w:pStyle w:val="Compact"/>
        <w:numPr>
          <w:ilvl w:val="0"/>
          <w:numId w:val="1017"/>
        </w:numPr>
      </w:pPr>
      <w:r>
        <w:t xml:space="preserve">Kumaş lotu, gramajı ve yükleme miktarı doğrulanır.</w:t>
      </w:r>
    </w:p>
    <w:p>
      <w:pPr>
        <w:pStyle w:val="Compact"/>
        <w:numPr>
          <w:ilvl w:val="0"/>
          <w:numId w:val="1017"/>
        </w:numPr>
      </w:pPr>
      <w:r>
        <w:t xml:space="preserve">Ön terbiye düzgünlüğü, emicilik ve artık peroksit kontrol edilir.</w:t>
      </w:r>
    </w:p>
    <w:p>
      <w:pPr>
        <w:pStyle w:val="Compact"/>
        <w:numPr>
          <w:ilvl w:val="0"/>
          <w:numId w:val="1017"/>
        </w:numPr>
      </w:pPr>
      <w:r>
        <w:t xml:space="preserve">Su pH’ı, sertliği ve iletkenliği kaydedilir.</w:t>
      </w:r>
    </w:p>
    <w:p>
      <w:pPr>
        <w:pStyle w:val="Compact"/>
        <w:numPr>
          <w:ilvl w:val="0"/>
          <w:numId w:val="1017"/>
        </w:numPr>
      </w:pPr>
      <w:r>
        <w:t xml:space="preserve">Boya ve kimyasal lotları doğrulanır.</w:t>
      </w:r>
    </w:p>
    <w:p>
      <w:pPr>
        <w:pStyle w:val="Compact"/>
        <w:numPr>
          <w:ilvl w:val="0"/>
          <w:numId w:val="1017"/>
        </w:numPr>
      </w:pPr>
      <w:r>
        <w:t xml:space="preserve">Makine temizliği, filtre ve dozaj hatları kontrol edilir.</w:t>
      </w:r>
    </w:p>
    <w:bookmarkEnd w:id="29"/>
    <w:bookmarkStart w:id="30" w:name="X524edc075d597b7b95503cac28196b3d8a04a76"/>
    <w:p>
      <w:pPr>
        <w:pStyle w:val="Heading3"/>
        <w:keepNext/>
        <w:spacing w:before="160" w:after="60"/>
      </w:pPr>
      <w:r>
        <w:rPr>
          <w:rStyle w:val="SectionNumber"/>
        </w:rPr>
        <w:t xml:space="preserve">1.6.2</w:t>
      </w:r>
      <w:r>
        <w:tab/>
      </w:r>
      <w:r>
        <w:t xml:space="preserve">Aşama 2 — Boya alımı ve homojenizasyon / Dye Admission and Homogenization</w:t>
      </w:r>
    </w:p>
    <w:p>
      <w:pPr>
        <w:pStyle w:val="Compact"/>
        <w:numPr>
          <w:ilvl w:val="0"/>
          <w:numId w:val="1018"/>
        </w:numPr>
      </w:pPr>
      <w:r>
        <w:t xml:space="preserve">Boya uygun su kalitesinde tamamen çözülür veya disperse edilir.</w:t>
      </w:r>
    </w:p>
    <w:p>
      <w:pPr>
        <w:pStyle w:val="Compact"/>
        <w:numPr>
          <w:ilvl w:val="0"/>
          <w:numId w:val="1018"/>
        </w:numPr>
      </w:pPr>
      <w:r>
        <w:t xml:space="preserve">Üretici talimatına göre filtrasyon yapılır.</w:t>
      </w:r>
    </w:p>
    <w:p>
      <w:pPr>
        <w:pStyle w:val="Compact"/>
        <w:numPr>
          <w:ilvl w:val="0"/>
          <w:numId w:val="1018"/>
        </w:numPr>
      </w:pPr>
      <w:r>
        <w:t xml:space="preserve">Boya banyoya kontrollü alınır.</w:t>
      </w:r>
    </w:p>
    <w:p>
      <w:pPr>
        <w:pStyle w:val="Compact"/>
        <w:numPr>
          <w:ilvl w:val="0"/>
          <w:numId w:val="1018"/>
        </w:numPr>
      </w:pPr>
      <w:r>
        <w:t xml:space="preserve">Kumaş en az bir veya daha fazla doğrulanmış banyo çevrimi boyunca homojenleştirilir.</w:t>
      </w:r>
    </w:p>
    <w:bookmarkEnd w:id="30"/>
    <w:bookmarkStart w:id="31" w:name="X7767abfa1d307047f84590b4697c94e182926f7"/>
    <w:p>
      <w:pPr>
        <w:pStyle w:val="Heading3"/>
        <w:keepNext/>
        <w:spacing w:before="160" w:after="60"/>
      </w:pPr>
      <w:r>
        <w:rPr>
          <w:rStyle w:val="SectionNumber"/>
        </w:rPr>
        <w:t xml:space="preserve">1.6.3</w:t>
      </w:r>
      <w:r>
        <w:tab/>
      </w:r>
      <w:r>
        <w:t xml:space="preserve">Aşama 3 — Tuzla çekim / Salt-assisted Exhaustion</w:t>
      </w:r>
    </w:p>
    <w:p>
      <w:pPr>
        <w:pStyle w:val="Compact"/>
        <w:numPr>
          <w:ilvl w:val="0"/>
          <w:numId w:val="1019"/>
        </w:numPr>
      </w:pPr>
      <w:r>
        <w:t xml:space="preserve">Tuz, reçeteye göre kademeli veya lineer dozlanır.</w:t>
      </w:r>
    </w:p>
    <w:p>
      <w:pPr>
        <w:pStyle w:val="Compact"/>
        <w:numPr>
          <w:ilvl w:val="0"/>
          <w:numId w:val="1019"/>
        </w:numPr>
      </w:pPr>
      <w:r>
        <w:t xml:space="preserve">Her dozaj basamağında yeterli sirkülasyon süresi verilir.</w:t>
      </w:r>
    </w:p>
    <w:p>
      <w:pPr>
        <w:pStyle w:val="Compact"/>
        <w:numPr>
          <w:ilvl w:val="0"/>
          <w:numId w:val="1019"/>
        </w:numPr>
      </w:pPr>
      <w:r>
        <w:t xml:space="preserve">İletkenlik ve numune tonu birlikte izlenir.</w:t>
      </w:r>
    </w:p>
    <w:p>
      <w:pPr>
        <w:pStyle w:val="Compact"/>
        <w:numPr>
          <w:ilvl w:val="0"/>
          <w:numId w:val="1019"/>
        </w:numPr>
      </w:pPr>
      <w:r>
        <w:t xml:space="preserve">Ani çekim veya yüzey boyanması belirtisi varsa sonraki dozaj geciktirilir.</w:t>
      </w:r>
    </w:p>
    <w:bookmarkEnd w:id="31"/>
    <w:bookmarkStart w:id="32" w:name="Xad9cf39e37a9939bee5ed981d744a54919cd6d8"/>
    <w:p>
      <w:pPr>
        <w:pStyle w:val="Heading3"/>
        <w:keepNext/>
        <w:spacing w:before="160" w:after="60"/>
      </w:pPr>
      <w:r>
        <w:rPr>
          <w:rStyle w:val="SectionNumber"/>
        </w:rPr>
        <w:t xml:space="preserve">1.6.4</w:t>
      </w:r>
      <w:r>
        <w:tab/>
      </w:r>
      <w:r>
        <w:t xml:space="preserve">Aşama 4 — Sıcaklık stabilizasyonu / Temperature Stabilization</w:t>
      </w:r>
    </w:p>
    <w:p>
      <w:pPr>
        <w:pStyle w:val="Compact"/>
        <w:numPr>
          <w:ilvl w:val="0"/>
          <w:numId w:val="1020"/>
        </w:numPr>
      </w:pPr>
      <w:r>
        <w:t xml:space="preserve">Hedef sıcaklığa kontrollü hızla çıkılır.</w:t>
      </w:r>
    </w:p>
    <w:p>
      <w:pPr>
        <w:pStyle w:val="Compact"/>
        <w:numPr>
          <w:ilvl w:val="0"/>
          <w:numId w:val="1020"/>
        </w:numPr>
      </w:pPr>
      <w:r>
        <w:t xml:space="preserve">Gerçek banyo sıcaklığı stabil olmadan alkali fiksaj başlatılmaz.</w:t>
      </w:r>
    </w:p>
    <w:p>
      <w:pPr>
        <w:pStyle w:val="Compact"/>
        <w:numPr>
          <w:ilvl w:val="0"/>
          <w:numId w:val="1020"/>
        </w:numPr>
      </w:pPr>
      <w:r>
        <w:t xml:space="preserve">Makine içi sıcaklık farkı şüpheliyse bağımsız ölçüm yapılır.</w:t>
      </w:r>
    </w:p>
    <w:bookmarkEnd w:id="32"/>
    <w:bookmarkStart w:id="33" w:name="X9931b0156cf55b5f061687ce51a0c3779f8509b"/>
    <w:p>
      <w:pPr>
        <w:pStyle w:val="Heading3"/>
        <w:keepNext/>
        <w:spacing w:before="160" w:after="60"/>
      </w:pPr>
      <w:r>
        <w:rPr>
          <w:rStyle w:val="SectionNumber"/>
        </w:rPr>
        <w:t xml:space="preserve">1.6.5</w:t>
      </w:r>
      <w:r>
        <w:tab/>
      </w:r>
      <w:r>
        <w:t xml:space="preserve">Aşama 5 — Alkaliyle fiksaj / Alkali Fixation</w:t>
      </w:r>
    </w:p>
    <w:p>
      <w:pPr>
        <w:pStyle w:val="Compact"/>
        <w:numPr>
          <w:ilvl w:val="0"/>
          <w:numId w:val="1021"/>
        </w:numPr>
      </w:pPr>
      <w:r>
        <w:t xml:space="preserve">Alkali çözeltisi kademeli veya lineer verilir.</w:t>
      </w:r>
    </w:p>
    <w:p>
      <w:pPr>
        <w:pStyle w:val="Compact"/>
        <w:numPr>
          <w:ilvl w:val="0"/>
          <w:numId w:val="1021"/>
        </w:numPr>
      </w:pPr>
      <w:r>
        <w:t xml:space="preserve">Dozaj başlangıcı, ara noktaları ve bitişinde pH kaydedilir.</w:t>
      </w:r>
    </w:p>
    <w:p>
      <w:pPr>
        <w:pStyle w:val="Compact"/>
        <w:numPr>
          <w:ilvl w:val="0"/>
          <w:numId w:val="1021"/>
        </w:numPr>
      </w:pPr>
      <w:r>
        <w:t xml:space="preserve">Fiksaj süresi, son alkali dozajının tamamlanması ve banyo homojenleşmesi dikkate alınarak başlatılır.</w:t>
      </w:r>
    </w:p>
    <w:p>
      <w:pPr>
        <w:pStyle w:val="Compact"/>
        <w:numPr>
          <w:ilvl w:val="0"/>
          <w:numId w:val="1021"/>
        </w:numPr>
      </w:pPr>
      <w:r>
        <w:t xml:space="preserve">Gerekirse çevrim bazlı ara numune alınır.</w:t>
      </w:r>
    </w:p>
    <w:bookmarkEnd w:id="33"/>
    <w:bookmarkStart w:id="34" w:name="Xcd141fc460e14a786b3c1ed3a3b1148958f18b5"/>
    <w:p>
      <w:pPr>
        <w:pStyle w:val="Heading3"/>
        <w:keepNext/>
        <w:spacing w:before="160" w:after="60"/>
      </w:pPr>
      <w:r>
        <w:rPr>
          <w:rStyle w:val="SectionNumber"/>
        </w:rPr>
        <w:t xml:space="preserve">1.6.6</w:t>
      </w:r>
      <w:r>
        <w:tab/>
      </w:r>
      <w:r>
        <w:t xml:space="preserve">Aşama 6 — Durulama, nötralizasyon ve yıkama / Rinsing, Neutralization and Washing-off</w:t>
      </w:r>
    </w:p>
    <w:p>
      <w:pPr>
        <w:pStyle w:val="Compact"/>
        <w:numPr>
          <w:ilvl w:val="0"/>
          <w:numId w:val="1022"/>
        </w:numPr>
      </w:pPr>
      <w:r>
        <w:t xml:space="preserve">Serbest elektrolit ve alkali kontrollü durulamayla uzaklaştırılır.</w:t>
      </w:r>
    </w:p>
    <w:p>
      <w:pPr>
        <w:pStyle w:val="Compact"/>
        <w:numPr>
          <w:ilvl w:val="0"/>
          <w:numId w:val="1022"/>
        </w:numPr>
      </w:pPr>
      <w:r>
        <w:t xml:space="preserve">Uygun aşamada nötralizasyon yapılır.</w:t>
      </w:r>
    </w:p>
    <w:p>
      <w:pPr>
        <w:pStyle w:val="Compact"/>
        <w:numPr>
          <w:ilvl w:val="0"/>
          <w:numId w:val="1022"/>
        </w:numPr>
      </w:pPr>
      <w:r>
        <w:t xml:space="preserve">Hidrolize ve fikse olmamış boya, yeterli sıcaklık–zaman–kimyasal kombinasyonuyla uzaklaştırılır.</w:t>
      </w:r>
    </w:p>
    <w:p>
      <w:pPr>
        <w:pStyle w:val="Compact"/>
        <w:numPr>
          <w:ilvl w:val="0"/>
          <w:numId w:val="1022"/>
        </w:numPr>
      </w:pPr>
      <w:r>
        <w:t xml:space="preserve">Son banyo pH’ı ve kumaş ekstrakt pH’ı müşteri şartnamesine göre doğrulanır.</w:t>
      </w:r>
    </w:p>
    <w:bookmarkEnd w:id="34"/>
    <w:bookmarkEnd w:id="35"/>
    <w:bookmarkStart w:id="36" w:name="X38579151b6396c10a3627ce45013ef97b9a4d13"/>
    <w:p>
      <w:pPr>
        <w:pStyle w:val="Heading2"/>
        <w:keepNext/>
        <w:spacing w:before="160" w:after="60"/>
      </w:pPr>
      <w:r>
        <w:rPr>
          <w:rStyle w:val="SectionNumber"/>
        </w:rPr>
        <w:t xml:space="preserve">1.7</w:t>
      </w:r>
      <w:r>
        <w:tab/>
      </w:r>
      <w:r>
        <w:t xml:space="preserve">7. Gösterge Proses Penceresi / Indicative Process Window</w:t>
      </w:r>
    </w:p>
    <w:p>
      <w:pPr>
        <w:pStyle w:val="FirstParagraph"/>
      </w:pPr>
      <w:r>
        <w:t xml:space="preserve">Aşağıdaki tablo bir reçete değil, kontrol mantığıdır: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Proses aşaması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İzlenecek ana değişken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Genel hedef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Boya alımı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çözünme, filtre, sıcaklık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Reaksiyon başlamadan homojen dağılım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Tuz dozajı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İletkenlik, dozaj süresi, çevrim sayısı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Kontrollü ve düzgün çekim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Isıtma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Gerçek sıcaklık, ısıtma hızı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Tüm yükte dengeli sıcaklık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Alkali dozajı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 profili, dozaj eğrisi, tur süresi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Lokal pH sıçraması olmadan fiksaj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Fiksaj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sıcaklık, süre, ara ton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Hedef renk verimi ve tekrarlanabilirlik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Yıkama-off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sıcaklık, süre, su berraklığı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Hidrolize boyanın uzaklaştırılması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Son kontrol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ΔE, K/S, yıkama ve sürtme haslığı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Şartnameye uygun bitmiş performans</w:t>
            </w:r>
          </w:p>
        </w:tc>
      </w:tr>
    </w:tbl>
    <w:bookmarkEnd w:id="36"/>
    <w:bookmarkStart w:id="40" w:name="Xd393e2da7120058dbd61d750eb8e5c4ddd062ad"/>
    <w:p>
      <w:pPr>
        <w:pStyle w:val="Heading2"/>
        <w:keepNext/>
        <w:spacing w:before="160" w:after="60"/>
      </w:pPr>
      <w:r>
        <w:rPr>
          <w:rStyle w:val="SectionNumber"/>
        </w:rPr>
        <w:t xml:space="preserve">1.8</w:t>
      </w:r>
      <w:r>
        <w:tab/>
      </w:r>
      <w:r>
        <w:t xml:space="preserve">8. Dozaj Hesapları / Dosing Calculations</w:t>
      </w:r>
    </w:p>
    <w:bookmarkStart w:id="37" w:name="X2f0a8e9c79f4613744073685b03390dca1a2d0e"/>
    <w:p>
      <w:pPr>
        <w:pStyle w:val="Heading3"/>
        <w:keepNext/>
        <w:spacing w:before="160" w:after="60"/>
      </w:pPr>
      <w:r>
        <w:rPr>
          <w:rStyle w:val="SectionNumber"/>
        </w:rPr>
        <w:t xml:space="preserve">1.8.1</w:t>
      </w:r>
      <w:r>
        <w:tab/>
      </w:r>
      <w:r>
        <w:t xml:space="preserve">8.1 Tuz miktarı / Salt Quantity</w:t>
      </w:r>
    </w:p>
    <w:p>
      <w:pPr>
        <w:pStyle w:val="SourceCode"/>
      </w:pPr>
      <w:r>
        <w:rPr>
          <w:rStyle w:val="VerbatimChar"/>
        </w:rPr>
        <w:t xml:space="preserve">Tuz (kg) = Hedef konsantrasyon (g/L) x Efektif banyo hacmi (L) / 1000</w:t>
      </w:r>
    </w:p>
    <w:bookmarkEnd w:id="37"/>
    <w:bookmarkStart w:id="38" w:name="Xad778d53eac8897f2975e9f0fee1eb5714a77d0"/>
    <w:p>
      <w:pPr>
        <w:pStyle w:val="Heading3"/>
        <w:keepNext/>
        <w:spacing w:before="160" w:after="60"/>
      </w:pPr>
      <w:r>
        <w:rPr>
          <w:rStyle w:val="SectionNumber"/>
        </w:rPr>
        <w:t xml:space="preserve">1.8.2</w:t>
      </w:r>
      <w:r>
        <w:tab/>
      </w:r>
      <w:r>
        <w:t xml:space="preserve">8.2 Ticari alkali miktarı / Commercial Alkali Quantity</w:t>
      </w:r>
    </w:p>
    <w:p>
      <w:pPr>
        <w:pStyle w:val="SourceCode"/>
      </w:pPr>
      <w:r>
        <w:rPr>
          <w:rStyle w:val="VerbatimChar"/>
        </w:rPr>
        <w:t xml:space="preserve">Ticari alkali (kg)</w:t>
      </w:r>
      <w:r>
        <w:br/>
      </w:r>
      <w:r>
        <w:rPr>
          <w:rStyle w:val="VerbatimChar"/>
        </w:rPr>
        <w:t xml:space="preserve">= Saf aktif hedefi (g/L) x Banyo hacmi (L)</w:t>
      </w:r>
      <w:r>
        <w:br/>
      </w:r>
      <w:r>
        <w:rPr>
          <w:rStyle w:val="VerbatimChar"/>
        </w:rPr>
        <w:t xml:space="preserve">  / [1000 x Ürün aktiflik oranı]</w:t>
      </w:r>
    </w:p>
    <w:p>
      <w:pPr>
        <w:pStyle w:val="FirstParagraph"/>
      </w:pPr>
      <w:r>
        <w:t xml:space="preserve">Aktiflik oranı yüzde olarak değil ondalık yazılır. Örneğin %99 saflık için</w:t>
      </w:r>
      <w:r>
        <w:t xml:space="preserve"> </w:t>
      </w:r>
      <w:r>
        <w:rPr>
          <w:rStyle w:val="VerbatimChar"/>
        </w:rPr>
        <w:t xml:space="preserve">0.99</w:t>
      </w:r>
      <w:r>
        <w:t xml:space="preserve">.</w:t>
      </w:r>
    </w:p>
    <w:bookmarkEnd w:id="38"/>
    <w:bookmarkStart w:id="39" w:name="Xb5ba6d74f4ae12e3719009839cf7197fbe8ff65"/>
    <w:p>
      <w:pPr>
        <w:pStyle w:val="Heading3"/>
        <w:keepNext/>
        <w:spacing w:before="160" w:after="60"/>
      </w:pPr>
      <w:r>
        <w:rPr>
          <w:rStyle w:val="SectionNumber"/>
        </w:rPr>
        <w:t xml:space="preserve">1.8.3</w:t>
      </w:r>
      <w:r>
        <w:tab/>
      </w:r>
      <w:r>
        <w:t xml:space="preserve">8.3 Hesaplama örneği / Worked Example</w:t>
      </w:r>
    </w:p>
    <w:p>
      <w:pPr>
        <w:pStyle w:val="FirstParagraph"/>
      </w:pPr>
      <w:r>
        <w:t xml:space="preserve">Veriler:</w:t>
      </w:r>
    </w:p>
    <w:p>
      <w:pPr>
        <w:pStyle w:val="Compact"/>
        <w:numPr>
          <w:ilvl w:val="0"/>
          <w:numId w:val="1023"/>
        </w:numPr>
      </w:pPr>
      <w:r>
        <w:t xml:space="preserve">Kumaş: 400 kg</w:t>
      </w:r>
    </w:p>
    <w:p>
      <w:pPr>
        <w:pStyle w:val="Compact"/>
        <w:numPr>
          <w:ilvl w:val="0"/>
          <w:numId w:val="1023"/>
        </w:numPr>
      </w:pPr>
      <w:r>
        <w:t xml:space="preserve">Flotte oranı: 1:6</w:t>
      </w:r>
    </w:p>
    <w:p>
      <w:pPr>
        <w:pStyle w:val="Compact"/>
        <w:numPr>
          <w:ilvl w:val="0"/>
          <w:numId w:val="1023"/>
        </w:numPr>
      </w:pPr>
      <w:r>
        <w:t xml:space="preserve">Efektif banyo hacmi: 2,400 L</w:t>
      </w:r>
    </w:p>
    <w:p>
      <w:pPr>
        <w:pStyle w:val="Compact"/>
        <w:numPr>
          <w:ilvl w:val="0"/>
          <w:numId w:val="1023"/>
        </w:numPr>
      </w:pPr>
      <w:r>
        <w:t xml:space="preserve">Tuz hedefi: 50 g/L</w:t>
      </w:r>
    </w:p>
    <w:p>
      <w:pPr>
        <w:pStyle w:val="Compact"/>
        <w:numPr>
          <w:ilvl w:val="0"/>
          <w:numId w:val="1023"/>
        </w:numPr>
      </w:pPr>
      <w:r>
        <w:t xml:space="preserve">Saf soda hedefi: 12 g/L</w:t>
      </w:r>
    </w:p>
    <w:p>
      <w:pPr>
        <w:pStyle w:val="Compact"/>
        <w:numPr>
          <w:ilvl w:val="0"/>
          <w:numId w:val="1023"/>
        </w:numPr>
      </w:pPr>
      <w:r>
        <w:t xml:space="preserve">Ticari soda saflığı: %99</w:t>
      </w:r>
    </w:p>
    <w:p>
      <w:pPr>
        <w:pStyle w:val="FirstParagraph"/>
      </w:pPr>
      <w:r>
        <w:t xml:space="preserve">Banyo hacmi:</w:t>
      </w:r>
    </w:p>
    <w:p>
      <w:pPr>
        <w:pStyle w:val="SourceCode"/>
      </w:pPr>
      <w:r>
        <w:rPr>
          <w:rStyle w:val="VerbatimChar"/>
        </w:rPr>
        <w:t xml:space="preserve">V = 400 x 6 = 2,400 L</w:t>
      </w:r>
    </w:p>
    <w:p>
      <w:pPr>
        <w:pStyle w:val="FirstParagraph"/>
      </w:pPr>
      <w:r>
        <w:t xml:space="preserve">Tuz:</w:t>
      </w:r>
    </w:p>
    <w:p>
      <w:pPr>
        <w:pStyle w:val="SourceCode"/>
      </w:pPr>
      <w:r>
        <w:rPr>
          <w:rStyle w:val="VerbatimChar"/>
        </w:rPr>
        <w:t xml:space="preserve">Tuz = 50 x 2,400 / 1000</w:t>
      </w:r>
      <w:r>
        <w:br/>
      </w:r>
      <w:r>
        <w:rPr>
          <w:rStyle w:val="VerbatimChar"/>
        </w:rPr>
        <w:t xml:space="preserve">Tuz = 120.0 kg</w:t>
      </w:r>
    </w:p>
    <w:p>
      <w:pPr>
        <w:pStyle w:val="FirstParagraph"/>
      </w:pPr>
      <w:r>
        <w:t xml:space="preserve">Ticari soda:</w:t>
      </w:r>
    </w:p>
    <w:p>
      <w:pPr>
        <w:pStyle w:val="SourceCode"/>
      </w:pPr>
      <w:r>
        <w:rPr>
          <w:rStyle w:val="VerbatimChar"/>
        </w:rPr>
        <w:t xml:space="preserve">Ticari soda = 12 x 2,400 / (1000 x 0.99)</w:t>
      </w:r>
      <w:r>
        <w:br/>
      </w:r>
      <w:r>
        <w:rPr>
          <w:rStyle w:val="VerbatimChar"/>
        </w:rPr>
        <w:t xml:space="preserve">Ticari soda = 29.1 kg</w:t>
      </w:r>
    </w:p>
    <w:p>
      <w:pPr>
        <w:pStyle w:val="FirstParagraph"/>
      </w:pPr>
      <w:r>
        <w:rPr>
          <w:b/>
          <w:bCs/>
        </w:rPr>
        <w:t xml:space="preserve">Teknik ikaz:</w:t>
      </w:r>
      <w:r>
        <w:t xml:space="preserve"> </w:t>
      </w:r>
      <w:r>
        <w:t xml:space="preserve">Bu örnekteki</w:t>
      </w:r>
      <w:r>
        <w:t xml:space="preserve"> </w:t>
      </w:r>
      <w:r>
        <w:rPr>
          <w:rStyle w:val="VerbatimChar"/>
        </w:rPr>
        <w:t xml:space="preserve">50 g/L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12 g/L</w:t>
      </w:r>
      <w:r>
        <w:t xml:space="preserve"> </w:t>
      </w:r>
      <w:r>
        <w:t xml:space="preserve">yalnız matematik örneğidir; boya reçetesi önerisi değildir. Gerçek hedefler boya kombinasyonu, renk derinliği, reaktif grup, LR ve TDS’ye göre belirlenmelidir.</w:t>
      </w:r>
    </w:p>
    <w:bookmarkEnd w:id="39"/>
    <w:bookmarkEnd w:id="40"/>
    <w:bookmarkStart w:id="41" w:name="Xacd9b04a3ee6c4481263310d25aceaa8d57abe3"/>
    <w:p>
      <w:pPr>
        <w:pStyle w:val="Heading2"/>
        <w:keepNext/>
        <w:spacing w:before="160" w:after="60"/>
      </w:pPr>
      <w:r>
        <w:rPr>
          <w:rStyle w:val="SectionNumber"/>
        </w:rPr>
        <w:t xml:space="preserve">1.9</w:t>
      </w:r>
      <w:r>
        <w:tab/>
      </w:r>
      <w:r>
        <w:t xml:space="preserve">9. Çekim, Renk Verimi ve Fiksaj Göstergeleri / Exhaustion, Colour Yield and Fixation Indicators</w:t>
      </w:r>
    </w:p>
    <w:p>
      <w:pPr>
        <w:pStyle w:val="FirstParagraph"/>
      </w:pPr>
      <w:r>
        <w:t xml:space="preserve">Banyo absorbansı ile yaklaşık çekim:</w:t>
      </w:r>
    </w:p>
    <w:p>
      <w:pPr>
        <w:pStyle w:val="SourceCode"/>
      </w:pPr>
      <w:r>
        <w:rPr>
          <w:rStyle w:val="VerbatimChar"/>
        </w:rPr>
        <w:t xml:space="preserve">E (%) = [(A0 - At) / A0] x 100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A0</w:t>
      </w:r>
      <w:r>
        <w:t xml:space="preserve">: başlangıç boya banyosu absorbansı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At</w:t>
      </w:r>
      <w:r>
        <w:t xml:space="preserve">: t anındaki banyo absorbansı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</w:t>
      </w:r>
      <w:r>
        <w:t xml:space="preserve">: yaklaşık çekim yüzdesi</w:t>
      </w:r>
    </w:p>
    <w:p>
      <w:pPr>
        <w:pStyle w:val="FirstParagraph"/>
      </w:pPr>
      <w:r>
        <w:t xml:space="preserve">Bu hesap için numune seyreltme oranı, dalga boyu, küvet, sıcaklık ve bulanıklık yöntemi sabit tutulmalıdır.</w:t>
      </w:r>
    </w:p>
    <w:p>
      <w:pPr>
        <w:pStyle w:val="BodyText"/>
      </w:pPr>
      <w:r>
        <w:t xml:space="preserve">Yıkama öncesi ve sonrası renk kuvveti oranı:</w:t>
      </w:r>
    </w:p>
    <w:p>
      <w:pPr>
        <w:pStyle w:val="SourceCode"/>
      </w:pPr>
      <w:r>
        <w:rPr>
          <w:rStyle w:val="VerbatimChar"/>
        </w:rPr>
        <w:t xml:space="preserve">Renk kuvveti korunumu (%)</w:t>
      </w:r>
      <w:r>
        <w:br/>
      </w:r>
      <w:r>
        <w:rPr>
          <w:rStyle w:val="VerbatimChar"/>
        </w:rPr>
        <w:t xml:space="preserve">= (K/S_yıkama sonrası / K/S_yıkama öncesi) x 100</w:t>
      </w:r>
    </w:p>
    <w:p>
      <w:pPr>
        <w:pStyle w:val="FirstParagraph"/>
      </w:pPr>
      <w:r>
        <w:t xml:space="preserve">Bu oran</w:t>
      </w:r>
      <w:r>
        <w:t xml:space="preserve"> </w:t>
      </w:r>
      <w:r>
        <w:rPr>
          <w:b/>
          <w:bCs/>
        </w:rPr>
        <w:t xml:space="preserve">mutlak kimyasal fiksaj yüzdesi değildir</w:t>
      </w:r>
      <w:r>
        <w:t xml:space="preserve">; aynı kumaş, boya kombinasyonu ve ölçüm koşulunda proses karşılaştırması için kullanılan operasyonel bir göstergedir.</w:t>
      </w:r>
    </w:p>
    <w:p>
      <w:pPr>
        <w:pStyle w:val="BodyText"/>
      </w:pPr>
      <w:r>
        <w:t xml:space="preserve">Renk farkı:</w:t>
      </w:r>
    </w:p>
    <w:p>
      <w:pPr>
        <w:pStyle w:val="SourceCode"/>
      </w:pPr>
      <w:r>
        <w:rPr>
          <w:rStyle w:val="VerbatimChar"/>
        </w:rPr>
        <w:t xml:space="preserve">ΔE_CMC(l:c)</w:t>
      </w:r>
    </w:p>
    <w:p>
      <w:pPr>
        <w:pStyle w:val="FirstParagraph"/>
      </w:pPr>
      <w:r>
        <w:t xml:space="preserve">aynı ölçüm geometrisi ve koşullarda ISO 105-J03 yaklaşımıyla değerlendirilmelidir. Kabul limiti müşteri şartnamesine göre tanımlanmalıdır.</w:t>
      </w:r>
    </w:p>
    <w:bookmarkEnd w:id="41"/>
    <w:bookmarkStart w:id="42" w:name="Xf6c2b882c3b81d127a6a7d217c2f66cbf56dc69"/>
    <w:p>
      <w:pPr>
        <w:pStyle w:val="Heading2"/>
        <w:keepNext/>
        <w:spacing w:before="160" w:after="60"/>
      </w:pPr>
      <w:r>
        <w:rPr>
          <w:rStyle w:val="SectionNumber"/>
        </w:rPr>
        <w:t xml:space="preserve">1.10</w:t>
      </w:r>
      <w:r>
        <w:tab/>
      </w:r>
      <w:r>
        <w:t xml:space="preserve">10. Ölçüm ve Numune Alma Planı / Measurement and Sampling Plan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Numune noktası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Ölçüm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Taze su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sertlik, iletkenlik, sıcaklık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Boya alımı sonrası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sıcaklık, görsel homojenlik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Tuz öncesi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Başlangıç absorbansı veya referans numune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Her tuz basamağı sonrası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İletkenlik, çevrim sayısı, ara ton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Alkali başlangıcı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sıcaklık, tur süresi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Alkali ara noktaları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pH, iletkenlik, dozaj yüzdesi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Alkali bitişi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Nihai pH, sıcaklık, homojenleşme süresi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Fiksaj ortası ve sonu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Ara ton, banyo absorbansı, proses süresi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Yıkama-off sonu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Banyo berraklığı, pH, iletkenlik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Bitmiş kumaş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ΔE, K/S, ekstrakt pH, yıkama ve sürtme haslığı</w:t>
            </w:r>
          </w:p>
        </w:tc>
      </w:tr>
    </w:tbl>
    <w:bookmarkEnd w:id="42"/>
    <w:bookmarkStart w:id="43" w:name="X8e65c67d4876cc5c9175db95a7c71b44af8cae4"/>
    <w:p>
      <w:pPr>
        <w:pStyle w:val="Heading2"/>
        <w:keepNext/>
        <w:spacing w:before="160" w:after="60"/>
      </w:pPr>
      <w:r>
        <w:rPr>
          <w:rStyle w:val="SectionNumber"/>
        </w:rPr>
        <w:t xml:space="preserve">1.11</w:t>
      </w:r>
      <w:r>
        <w:tab/>
      </w:r>
      <w:r>
        <w:t xml:space="preserve">11. Hata–Kök Neden–Düzeltici Faaliyet / Defect–Root Cause–Corrective Action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Gözlenen hata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Olası kök neden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Doğrulama</w:t>
            </w:r>
          </w:p>
        </w:tc>
        <w:tc>
          <w:tcPr>
            <w:shd w:fill="DCEEF8"/>
          </w:tcPr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/>
                <w:sz w:val="15"/>
              </w:rPr>
              <w:t xml:space="preserve">Düzeltici faaliyet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Düzgünsüz boya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Tuz veya alkali çok hızlı; düşük sirkülasyon; lokal pH; sıcaklık farkı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Dozaj grafiği, tur süresi, pH trendi, makine debisi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Dozajı uzat; kademeleri yeniden tanımla; sirkülasyonu ve homojenleşmeyi doğrula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Ton açık / düşük K/S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Düşük çekim; yetersiz alkali; düşük fiksaj sıcaklığı/süresi; hidroliz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Banyo absorbansı, pH, sıcaklık ve zaman trendi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TDS’ye göre tuz–alkali–sıcaklık profilini tek değişkenli denemeyle düzelt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Ton koyu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Fazla çekim; efektif hacim hatası; boya tartım/aktiflik farkı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Banyo hacmi, tartım, boya lotu ve iletkenlik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Makine hacmini kalibre et; tartım ve reçete aktarımını doğrula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Lotlar arası ton farkı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Su kalitesi, LR, dozaj süresi, pH veya boya lotu değişken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Lot karşılaştırma grafiği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Kritik değişkenlere SPC limiti koy; su ve kimyasal lotlarını kaydet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Yaş sürtme düşük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Yetersiz yıkama-off; hidrolize boya yeniden çökmesi; yüzey boyanması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Yıkama banyosu, yüzey K/S, ıslak sürtme testi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Durulama–nötralizasyon–sabunlama sırasını ve dispergatör sistemini optimize et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Yıkama haslığı düşük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Fikse olmamış boya; yetersiz fiksaj veya yıkama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ISO 105-C06 ve proses numunesi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Fiksaj profilini doğrula; yıkama-off sıcaklık, süre ve banyo sayısını iyileştir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Boya lekesi / nokta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Yetersiz çözünme; filtrasyon eksik; sert su; lokal alkali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Filtre kalıntısı, çözeltide partikül, sertlik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Çözme prosedürü, filtre, sekestran ve dozaj hattını düzelt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Baş–son farkı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Yüksek ani çekim; uzun dozaj hattı ölü hacmi; numune zamanlaması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İlk/son çevrim numunesi, dozaj hattı kontrolü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Dozaj girişini ve karışma süresini yeniden tasarla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Kumaş pH’ı yüksek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Yetersiz nötralizasyon veya durulama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ISO 3071 ekstrakt pH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Fonts w:ascii="Arial" w:hAnsi="Arial"/>
                <w:b w:val="0"/>
                <w:sz w:val="15"/>
              </w:rPr>
              <w:t xml:space="preserve">Nötralizasyon miktarı ve durulama sırasını doğrula</w:t>
            </w:r>
          </w:p>
        </w:tc>
      </w:tr>
    </w:tbl>
    <w:bookmarkEnd w:id="43"/>
    <w:bookmarkStart w:id="44" w:name="X65885c3e624e54483c7a35ca04c3b6182d43677"/>
    <w:p>
      <w:pPr>
        <w:pStyle w:val="Heading2"/>
        <w:keepNext/>
        <w:spacing w:before="160" w:after="60"/>
      </w:pPr>
      <w:r>
        <w:rPr>
          <w:rStyle w:val="SectionNumber"/>
        </w:rPr>
        <w:t xml:space="preserve">1.12</w:t>
      </w:r>
      <w:r>
        <w:tab/>
      </w:r>
      <w:r>
        <w:t xml:space="preserve">12. Proses Kayıt Formunda Zorunlu Alanlar / Mandatory Process Record Fields</w:t>
      </w:r>
    </w:p>
    <w:p>
      <w:pPr>
        <w:pStyle w:val="Compact"/>
        <w:numPr>
          <w:ilvl w:val="0"/>
          <w:numId w:val="1025"/>
        </w:numPr>
      </w:pPr>
      <w:r>
        <w:t xml:space="preserve">Sipariş, renk, kumaş ve lot kodu</w:t>
      </w:r>
    </w:p>
    <w:p>
      <w:pPr>
        <w:pStyle w:val="Compact"/>
        <w:numPr>
          <w:ilvl w:val="0"/>
          <w:numId w:val="1025"/>
        </w:numPr>
      </w:pPr>
      <w:r>
        <w:t xml:space="preserve">Makine numarası ve nominal yük</w:t>
      </w:r>
    </w:p>
    <w:p>
      <w:pPr>
        <w:pStyle w:val="Compact"/>
        <w:numPr>
          <w:ilvl w:val="0"/>
          <w:numId w:val="1025"/>
        </w:numPr>
      </w:pPr>
      <w:r>
        <w:t xml:space="preserve">Gerçek kumaş ağırlığı</w:t>
      </w:r>
    </w:p>
    <w:p>
      <w:pPr>
        <w:pStyle w:val="Compact"/>
        <w:numPr>
          <w:ilvl w:val="0"/>
          <w:numId w:val="1025"/>
        </w:numPr>
      </w:pPr>
      <w:r>
        <w:t xml:space="preserve">Efektif banyo hacmi ve LR</w:t>
      </w:r>
    </w:p>
    <w:p>
      <w:pPr>
        <w:pStyle w:val="Compact"/>
        <w:numPr>
          <w:ilvl w:val="0"/>
          <w:numId w:val="1025"/>
        </w:numPr>
      </w:pPr>
      <w:r>
        <w:t xml:space="preserve">Su pH’ı, sertliği ve iletkenliği</w:t>
      </w:r>
    </w:p>
    <w:p>
      <w:pPr>
        <w:pStyle w:val="Compact"/>
        <w:numPr>
          <w:ilvl w:val="0"/>
          <w:numId w:val="1025"/>
        </w:numPr>
      </w:pPr>
      <w:r>
        <w:t xml:space="preserve">Boya adı, parti numarası ve tartım miktarı</w:t>
      </w:r>
    </w:p>
    <w:p>
      <w:pPr>
        <w:pStyle w:val="Compact"/>
        <w:numPr>
          <w:ilvl w:val="0"/>
          <w:numId w:val="1025"/>
        </w:numPr>
      </w:pPr>
      <w:r>
        <w:t xml:space="preserve">Tuz tipi, parti numarası, miktarı ve dozaj süresi</w:t>
      </w:r>
    </w:p>
    <w:p>
      <w:pPr>
        <w:pStyle w:val="Compact"/>
        <w:numPr>
          <w:ilvl w:val="0"/>
          <w:numId w:val="1025"/>
        </w:numPr>
      </w:pPr>
      <w:r>
        <w:t xml:space="preserve">Alkali tipi, aktifliği, miktarı ve dozaj süresi</w:t>
      </w:r>
    </w:p>
    <w:p>
      <w:pPr>
        <w:pStyle w:val="Compact"/>
        <w:numPr>
          <w:ilvl w:val="0"/>
          <w:numId w:val="1025"/>
        </w:numPr>
      </w:pPr>
      <w:r>
        <w:t xml:space="preserve">Isıtma hızı ve gerçek sıcaklık trendi</w:t>
      </w:r>
    </w:p>
    <w:p>
      <w:pPr>
        <w:pStyle w:val="Compact"/>
        <w:numPr>
          <w:ilvl w:val="0"/>
          <w:numId w:val="1025"/>
        </w:numPr>
      </w:pPr>
      <w:r>
        <w:t xml:space="preserve">pH trendi</w:t>
      </w:r>
    </w:p>
    <w:p>
      <w:pPr>
        <w:pStyle w:val="Compact"/>
        <w:numPr>
          <w:ilvl w:val="0"/>
          <w:numId w:val="1025"/>
        </w:numPr>
      </w:pPr>
      <w:r>
        <w:t xml:space="preserve">İletkenlik trendi</w:t>
      </w:r>
    </w:p>
    <w:p>
      <w:pPr>
        <w:pStyle w:val="Compact"/>
        <w:numPr>
          <w:ilvl w:val="0"/>
          <w:numId w:val="1025"/>
        </w:numPr>
      </w:pPr>
      <w:r>
        <w:t xml:space="preserve">Kumaş tur süresi</w:t>
      </w:r>
    </w:p>
    <w:p>
      <w:pPr>
        <w:pStyle w:val="Compact"/>
        <w:numPr>
          <w:ilvl w:val="0"/>
          <w:numId w:val="1025"/>
        </w:numPr>
      </w:pPr>
      <w:r>
        <w:t xml:space="preserve">Ara numune saatleri ve ΔE/K/S sonuçları</w:t>
      </w:r>
    </w:p>
    <w:p>
      <w:pPr>
        <w:pStyle w:val="Compact"/>
        <w:numPr>
          <w:ilvl w:val="0"/>
          <w:numId w:val="1025"/>
        </w:numPr>
      </w:pPr>
      <w:r>
        <w:t xml:space="preserve">Yıkama-off adımları</w:t>
      </w:r>
    </w:p>
    <w:p>
      <w:pPr>
        <w:pStyle w:val="Compact"/>
        <w:numPr>
          <w:ilvl w:val="0"/>
          <w:numId w:val="1025"/>
        </w:numPr>
      </w:pPr>
      <w:r>
        <w:t xml:space="preserve">Son haslık ve ekstrakt pH sonuçları</w:t>
      </w:r>
    </w:p>
    <w:p>
      <w:pPr>
        <w:pStyle w:val="Compact"/>
        <w:numPr>
          <w:ilvl w:val="0"/>
          <w:numId w:val="1025"/>
        </w:numPr>
      </w:pPr>
      <w:r>
        <w:t xml:space="preserve">Sapma, müdahale ve yeniden işlem kaydı</w:t>
      </w:r>
    </w:p>
    <w:bookmarkEnd w:id="44"/>
    <w:bookmarkStart w:id="45" w:name="Xa0f250a4319c25ae1b1092c52d593f937e09301"/>
    <w:p>
      <w:pPr>
        <w:pStyle w:val="Heading2"/>
        <w:keepNext/>
        <w:spacing w:before="160" w:after="60"/>
      </w:pPr>
      <w:r>
        <w:rPr>
          <w:rStyle w:val="SectionNumber"/>
        </w:rPr>
        <w:t xml:space="preserve">1.13</w:t>
      </w:r>
      <w:r>
        <w:tab/>
      </w:r>
      <w:r>
        <w:t xml:space="preserve">13. Güvenlik ve Kimyasal Hazırlama / Safety and Chemical Preparation</w:t>
      </w:r>
    </w:p>
    <w:p>
      <w:pPr>
        <w:pStyle w:val="Compact"/>
        <w:numPr>
          <w:ilvl w:val="0"/>
          <w:numId w:val="1026"/>
        </w:numPr>
      </w:pPr>
      <w:r>
        <w:t xml:space="preserve">Alkali çözeltileri uygun kişisel koruyucu donanımla hazırlanmalıdır.</w:t>
      </w:r>
    </w:p>
    <w:p>
      <w:pPr>
        <w:pStyle w:val="Compact"/>
        <w:numPr>
          <w:ilvl w:val="0"/>
          <w:numId w:val="1026"/>
        </w:numPr>
      </w:pPr>
      <w:r>
        <w:t xml:space="preserve">Konsantre kostik soda suya kontrollü ve yavaş eklenmelidir; sıçrama ve ekzotermik ısınma riski dikkate alınmalıdır.</w:t>
      </w:r>
    </w:p>
    <w:p>
      <w:pPr>
        <w:pStyle w:val="Compact"/>
        <w:numPr>
          <w:ilvl w:val="0"/>
          <w:numId w:val="1026"/>
        </w:numPr>
      </w:pPr>
      <w:r>
        <w:t xml:space="preserve">Boya ve kimyasal çözeltileri doğrulanmış sıcaklıkta hazırlanmalıdır.</w:t>
      </w:r>
    </w:p>
    <w:p>
      <w:pPr>
        <w:pStyle w:val="Compact"/>
        <w:numPr>
          <w:ilvl w:val="0"/>
          <w:numId w:val="1026"/>
        </w:numPr>
      </w:pPr>
      <w:r>
        <w:t xml:space="preserve">Uyuşmayan kimyasallar aynı hazırlama tankında karıştırılmamalıdır.</w:t>
      </w:r>
    </w:p>
    <w:p>
      <w:pPr>
        <w:pStyle w:val="Compact"/>
        <w:numPr>
          <w:ilvl w:val="0"/>
          <w:numId w:val="1026"/>
        </w:numPr>
      </w:pPr>
      <w:r>
        <w:t xml:space="preserve">Dozaj tankı, hat ve vanalar ürün değişiminde temizlenmelidir.</w:t>
      </w:r>
    </w:p>
    <w:p>
      <w:pPr>
        <w:pStyle w:val="Compact"/>
        <w:numPr>
          <w:ilvl w:val="0"/>
          <w:numId w:val="1026"/>
        </w:numPr>
      </w:pPr>
      <w:r>
        <w:t xml:space="preserve">Güvenlik Bilgi Formu / Safety Data Sheet (SDS) ve işletme prosedürü önceliklidir.</w:t>
      </w:r>
    </w:p>
    <w:bookmarkEnd w:id="45"/>
    <w:bookmarkStart w:id="46" w:name="X8eaa71e2f1577893c5e61ab34cd607a68927666"/>
    <w:p>
      <w:pPr>
        <w:pStyle w:val="Heading2"/>
        <w:keepNext/>
        <w:spacing w:before="160" w:after="60"/>
      </w:pPr>
      <w:r>
        <w:rPr>
          <w:rStyle w:val="SectionNumber"/>
        </w:rPr>
        <w:t xml:space="preserve">1.14</w:t>
      </w:r>
      <w:r>
        <w:tab/>
      </w:r>
      <w:r>
        <w:t xml:space="preserve">14. Kabul Kriteri Hakkında Teknik İkaz</w:t>
      </w:r>
    </w:p>
    <w:p>
      <w:pPr>
        <w:pStyle w:val="FirstParagraph"/>
      </w:pPr>
      <w:r>
        <w:t xml:space="preserve">Bu yayında evrensel bir;</w:t>
      </w:r>
    </w:p>
    <w:p>
      <w:pPr>
        <w:pStyle w:val="Compact"/>
        <w:numPr>
          <w:ilvl w:val="0"/>
          <w:numId w:val="1027"/>
        </w:numPr>
      </w:pPr>
      <w:r>
        <w:t xml:space="preserve">Tuz g/L,</w:t>
      </w:r>
    </w:p>
    <w:p>
      <w:pPr>
        <w:pStyle w:val="Compact"/>
        <w:numPr>
          <w:ilvl w:val="0"/>
          <w:numId w:val="1027"/>
        </w:numPr>
      </w:pPr>
      <w:r>
        <w:t xml:space="preserve">Alkali g/L,</w:t>
      </w:r>
    </w:p>
    <w:p>
      <w:pPr>
        <w:pStyle w:val="Compact"/>
        <w:numPr>
          <w:ilvl w:val="0"/>
          <w:numId w:val="1027"/>
        </w:numPr>
      </w:pPr>
      <w:r>
        <w:t xml:space="preserve">pH toleransı,</w:t>
      </w:r>
    </w:p>
    <w:p>
      <w:pPr>
        <w:pStyle w:val="Compact"/>
        <w:numPr>
          <w:ilvl w:val="0"/>
          <w:numId w:val="1027"/>
        </w:numPr>
      </w:pPr>
      <w:r>
        <w:t xml:space="preserve">Fiksaj süresi,</w:t>
      </w:r>
    </w:p>
    <w:p>
      <w:pPr>
        <w:pStyle w:val="Compact"/>
        <w:numPr>
          <w:ilvl w:val="0"/>
          <w:numId w:val="1027"/>
        </w:numPr>
      </w:pPr>
      <w:r>
        <w:t xml:space="preserve">Isıtma hızı,</w:t>
      </w:r>
    </w:p>
    <w:p>
      <w:pPr>
        <w:pStyle w:val="Compact"/>
        <w:numPr>
          <w:ilvl w:val="0"/>
          <w:numId w:val="1027"/>
        </w:numPr>
      </w:pPr>
      <w:r>
        <w:t xml:space="preserve">ΔE limiti,</w:t>
      </w:r>
    </w:p>
    <w:p>
      <w:pPr>
        <w:pStyle w:val="Compact"/>
        <w:numPr>
          <w:ilvl w:val="0"/>
          <w:numId w:val="1027"/>
        </w:numPr>
      </w:pPr>
      <w:r>
        <w:t xml:space="preserve">Haslık sınıfı</w:t>
      </w:r>
    </w:p>
    <w:p>
      <w:pPr>
        <w:pStyle w:val="FirstParagraph"/>
      </w:pPr>
      <w:r>
        <w:t xml:space="preserve">verilmemiştir.</w:t>
      </w:r>
    </w:p>
    <w:p>
      <w:pPr>
        <w:pStyle w:val="BodyText"/>
      </w:pPr>
      <w:r>
        <w:t xml:space="preserve">Kabul kriterleri; boya serisi, müşteri şartnamesi, renk derinliği, lif karışımı, makine tipi, LR, su kalitesi ve işletmenin proses kabiliyeti esas alınarak tanımlanmalıdır.</w:t>
      </w:r>
    </w:p>
    <w:p>
      <w:pPr>
        <w:pStyle w:val="BodyText"/>
      </w:pPr>
      <w:r>
        <w:rPr>
          <w:b/>
          <w:bCs/>
        </w:rPr>
        <w:t xml:space="preserve">Özellikle önemli:</w:t>
      </w:r>
      <w:r>
        <w:t xml:space="preserve"> </w:t>
      </w:r>
      <w:r>
        <w:t xml:space="preserve">Aynı pH ve sıcaklıkta çalışan iki boya kombinasyonu, reaktif grup uyumu ve çekim kinetiği farklı olduğu için aynı dozaj profilini kabul etmeyebilir.</w:t>
      </w:r>
    </w:p>
    <w:bookmarkEnd w:id="46"/>
    <w:bookmarkStart w:id="47" w:name="X66ff3ed9f3f6e3706f693e7c2bce229d7715943"/>
    <w:p>
      <w:pPr>
        <w:pStyle w:val="Heading2"/>
        <w:keepNext/>
        <w:spacing w:before="160" w:after="60"/>
      </w:pPr>
      <w:r>
        <w:rPr>
          <w:rStyle w:val="SectionNumber"/>
        </w:rPr>
        <w:t xml:space="preserve">1.15</w:t>
      </w:r>
      <w:r>
        <w:tab/>
      </w:r>
      <w:r>
        <w:t xml:space="preserve">15. Sürdürülebilirlik ve İlk Seferde Doğru Üretim / Sustainability and Right-First-Time Production</w:t>
      </w:r>
    </w:p>
    <w:p>
      <w:pPr>
        <w:pStyle w:val="FirstParagraph"/>
      </w:pPr>
      <w:r>
        <w:t xml:space="preserve">Reaktif boyamada çevresel kazanım yalnız tuz veya suyu azaltmakla sınırlı değildir. En büyük kazanımlardan biri</w:t>
      </w:r>
      <w:r>
        <w:t xml:space="preserve"> </w:t>
      </w:r>
      <w:r>
        <w:rPr>
          <w:b/>
          <w:bCs/>
        </w:rPr>
        <w:t xml:space="preserve">İlk Seferde Doğru / Right First Time (RFT)</w:t>
      </w:r>
      <w:r>
        <w:t xml:space="preserve"> </w:t>
      </w:r>
      <w:r>
        <w:t xml:space="preserve">üretimdir.</w:t>
      </w:r>
    </w:p>
    <w:p>
      <w:pPr>
        <w:pStyle w:val="BodyText"/>
      </w:pPr>
      <w:r>
        <w:t xml:space="preserve">İzlenecek göstergeler:</w:t>
      </w:r>
    </w:p>
    <w:p>
      <w:pPr>
        <w:pStyle w:val="Compact"/>
        <w:numPr>
          <w:ilvl w:val="0"/>
          <w:numId w:val="1028"/>
        </w:numPr>
      </w:pPr>
      <w:r>
        <w:t xml:space="preserve">kg tuz / kg kumaş</w:t>
      </w:r>
    </w:p>
    <w:p>
      <w:pPr>
        <w:pStyle w:val="Compact"/>
        <w:numPr>
          <w:ilvl w:val="0"/>
          <w:numId w:val="1028"/>
        </w:numPr>
      </w:pPr>
      <w:r>
        <w:t xml:space="preserve">kg alkali / kg kumaş</w:t>
      </w:r>
    </w:p>
    <w:p>
      <w:pPr>
        <w:pStyle w:val="Compact"/>
        <w:numPr>
          <w:ilvl w:val="0"/>
          <w:numId w:val="1028"/>
        </w:numPr>
      </w:pPr>
      <w:r>
        <w:t xml:space="preserve">L su / kg kumaş</w:t>
      </w:r>
    </w:p>
    <w:p>
      <w:pPr>
        <w:pStyle w:val="Compact"/>
        <w:numPr>
          <w:ilvl w:val="0"/>
          <w:numId w:val="1028"/>
        </w:numPr>
      </w:pPr>
      <w:r>
        <w:t xml:space="preserve">kWh / kg kumaş</w:t>
      </w:r>
    </w:p>
    <w:p>
      <w:pPr>
        <w:pStyle w:val="Compact"/>
        <w:numPr>
          <w:ilvl w:val="0"/>
          <w:numId w:val="1028"/>
        </w:numPr>
      </w:pPr>
      <w:r>
        <w:t xml:space="preserve">Buhar / kg kumaş</w:t>
      </w:r>
    </w:p>
    <w:p>
      <w:pPr>
        <w:pStyle w:val="Compact"/>
        <w:numPr>
          <w:ilvl w:val="0"/>
          <w:numId w:val="1028"/>
        </w:numPr>
      </w:pPr>
      <w:r>
        <w:t xml:space="preserve">İlk seferde doğru oranı</w:t>
      </w:r>
    </w:p>
    <w:p>
      <w:pPr>
        <w:pStyle w:val="Compact"/>
        <w:numPr>
          <w:ilvl w:val="0"/>
          <w:numId w:val="1028"/>
        </w:numPr>
      </w:pPr>
      <w:r>
        <w:t xml:space="preserve">Düzeltme ve yeniden boya oranı</w:t>
      </w:r>
    </w:p>
    <w:p>
      <w:pPr>
        <w:pStyle w:val="Compact"/>
        <w:numPr>
          <w:ilvl w:val="0"/>
          <w:numId w:val="1028"/>
        </w:numPr>
      </w:pPr>
      <w:r>
        <w:t xml:space="preserve">Yıkama-off banyo sayısı</w:t>
      </w:r>
    </w:p>
    <w:p>
      <w:pPr>
        <w:pStyle w:val="Compact"/>
        <w:numPr>
          <w:ilvl w:val="0"/>
          <w:numId w:val="1028"/>
        </w:numPr>
      </w:pPr>
      <w:r>
        <w:t xml:space="preserve">Çıkış KOİ, renk ve iletkenlik yükü</w:t>
      </w:r>
    </w:p>
    <w:p>
      <w:pPr>
        <w:pStyle w:val="FirstParagraph"/>
      </w:pPr>
      <w:r>
        <w:t xml:space="preserve">Düşük tuzlu veya yüksek fiksajlı yeni boya sistemleri uygulanırken konvansiyonel reçete doğrudan aktarılmamalı; laboratuvar, pilot ve üretim doğrulaması birlikte yapılmalıdır.</w:t>
      </w:r>
    </w:p>
    <w:bookmarkEnd w:id="47"/>
    <w:bookmarkStart w:id="48" w:name="Xe79cdb53aa08c1edc9bc0979d9c2a4f3feeb17e"/>
    <w:p>
      <w:pPr>
        <w:pStyle w:val="Heading2"/>
        <w:keepNext/>
        <w:spacing w:before="160" w:after="60"/>
      </w:pPr>
      <w:r>
        <w:rPr>
          <w:rStyle w:val="SectionNumber"/>
        </w:rPr>
        <w:t xml:space="preserve">1.16</w:t>
      </w:r>
      <w:r>
        <w:tab/>
      </w:r>
      <w:r>
        <w:t xml:space="preserve">16. Saha Kontrol Özeti / Shop-Floor Control Summary</w:t>
      </w:r>
    </w:p>
    <w:p>
      <w:pPr>
        <w:pStyle w:val="Compact"/>
        <w:numPr>
          <w:ilvl w:val="0"/>
          <w:numId w:val="1029"/>
        </w:numPr>
      </w:pPr>
      <w:r>
        <w:t xml:space="preserve">Ön terbiye ve artık peroksiti doğrula.</w:t>
      </w:r>
    </w:p>
    <w:p>
      <w:pPr>
        <w:pStyle w:val="Compact"/>
        <w:numPr>
          <w:ilvl w:val="0"/>
          <w:numId w:val="1029"/>
        </w:numPr>
      </w:pPr>
      <w:r>
        <w:t xml:space="preserve">Efektif banyo hacmini ve LR’yi doğrula.</w:t>
      </w:r>
    </w:p>
    <w:p>
      <w:pPr>
        <w:pStyle w:val="Compact"/>
        <w:numPr>
          <w:ilvl w:val="0"/>
          <w:numId w:val="1029"/>
        </w:numPr>
      </w:pPr>
      <w:r>
        <w:t xml:space="preserve">Boyayı tamamen çöz, filtre et ve homojen al.</w:t>
      </w:r>
    </w:p>
    <w:p>
      <w:pPr>
        <w:pStyle w:val="Compact"/>
        <w:numPr>
          <w:ilvl w:val="0"/>
          <w:numId w:val="1029"/>
        </w:numPr>
      </w:pPr>
      <w:r>
        <w:t xml:space="preserve">Tuzu kontrollü dozla; iletkenlik trendini işletme kalibrasyonuyla izle.</w:t>
      </w:r>
    </w:p>
    <w:p>
      <w:pPr>
        <w:pStyle w:val="Compact"/>
        <w:numPr>
          <w:ilvl w:val="0"/>
          <w:numId w:val="1029"/>
        </w:numPr>
      </w:pPr>
      <w:r>
        <w:t xml:space="preserve">Hedef sıcaklığı tüm yükte stabilize et.</w:t>
      </w:r>
    </w:p>
    <w:p>
      <w:pPr>
        <w:pStyle w:val="Compact"/>
        <w:numPr>
          <w:ilvl w:val="0"/>
          <w:numId w:val="1029"/>
        </w:numPr>
      </w:pPr>
      <w:r>
        <w:t xml:space="preserve">Alkaliyi çevrim süresine uygun kademeli veya lineer dozla.</w:t>
      </w:r>
    </w:p>
    <w:p>
      <w:pPr>
        <w:pStyle w:val="Compact"/>
        <w:numPr>
          <w:ilvl w:val="0"/>
          <w:numId w:val="1029"/>
        </w:numPr>
      </w:pPr>
      <w:r>
        <w:t xml:space="preserve">pH’ı yalnız bitişte değil, dozaj boyunca kaydet.</w:t>
      </w:r>
    </w:p>
    <w:p>
      <w:pPr>
        <w:pStyle w:val="Compact"/>
        <w:numPr>
          <w:ilvl w:val="0"/>
          <w:numId w:val="1029"/>
        </w:numPr>
      </w:pPr>
      <w:r>
        <w:t xml:space="preserve">Fiksaj süresini gerçek homojenleşme noktasından başlat.</w:t>
      </w:r>
    </w:p>
    <w:p>
      <w:pPr>
        <w:pStyle w:val="Compact"/>
        <w:numPr>
          <w:ilvl w:val="0"/>
          <w:numId w:val="1029"/>
        </w:numPr>
      </w:pPr>
      <w:r>
        <w:t xml:space="preserve">Hidrolize boyayı doğru durulama–nötralizasyon–yıkama-off sırasıyla uzaklaştır.</w:t>
      </w:r>
    </w:p>
    <w:p>
      <w:pPr>
        <w:pStyle w:val="Compact"/>
        <w:numPr>
          <w:ilvl w:val="0"/>
          <w:numId w:val="1029"/>
        </w:numPr>
      </w:pPr>
      <w:r>
        <w:t xml:space="preserve">Renk, haslık ve kumaş ekstrakt pH’ını aynı lot kaydında kapat.</w:t>
      </w:r>
    </w:p>
    <w:bookmarkEnd w:id="48"/>
    <w:bookmarkStart w:id="61" w:name="Xa03a62b29b5636921822d4ccb42b04ff1bf6c64"/>
    <w:p>
      <w:pPr>
        <w:pStyle w:val="Heading2"/>
        <w:keepNext/>
        <w:spacing w:before="160" w:after="60"/>
      </w:pPr>
      <w:r>
        <w:rPr>
          <w:rStyle w:val="SectionNumber"/>
        </w:rPr>
        <w:t xml:space="preserve">1.17</w:t>
      </w:r>
      <w:r>
        <w:tab/>
      </w:r>
      <w:r>
        <w:t xml:space="preserve">17. Kaynaklar / References</w:t>
      </w:r>
    </w:p>
    <w:p>
      <w:pPr>
        <w:pStyle w:val="Compact"/>
        <w:numPr>
          <w:ilvl w:val="0"/>
          <w:numId w:val="1030"/>
        </w:numPr>
      </w:pPr>
      <w:hyperlink r:id="rId49">
        <w:r>
          <w:rPr>
            <w:rStyle w:val="Hyperlink"/>
          </w:rPr>
          <w:t xml:space="preserve">CottonWorks — Dyeing Basics</w:t>
        </w:r>
      </w:hyperlink>
    </w:p>
    <w:p>
      <w:pPr>
        <w:pStyle w:val="Compact"/>
        <w:numPr>
          <w:ilvl w:val="0"/>
          <w:numId w:val="1030"/>
        </w:numPr>
      </w:pPr>
      <w:hyperlink r:id="rId50">
        <w:r>
          <w:rPr>
            <w:rStyle w:val="Hyperlink"/>
          </w:rPr>
          <w:t xml:space="preserve">CottonWorks — Textile Dyeing Booklet</w:t>
        </w:r>
      </w:hyperlink>
    </w:p>
    <w:p>
      <w:pPr>
        <w:pStyle w:val="Compact"/>
        <w:numPr>
          <w:ilvl w:val="0"/>
          <w:numId w:val="1030"/>
        </w:numPr>
      </w:pPr>
      <w:hyperlink r:id="rId51">
        <w:r>
          <w:rPr>
            <w:rStyle w:val="Hyperlink"/>
          </w:rPr>
          <w:t xml:space="preserve">DyStar — Cadira Reactive Brochure</w:t>
        </w:r>
      </w:hyperlink>
    </w:p>
    <w:p>
      <w:pPr>
        <w:pStyle w:val="Compact"/>
        <w:numPr>
          <w:ilvl w:val="0"/>
          <w:numId w:val="1030"/>
        </w:numPr>
      </w:pPr>
      <w:hyperlink r:id="rId52">
        <w:r>
          <w:rPr>
            <w:rStyle w:val="Hyperlink"/>
          </w:rPr>
          <w:t xml:space="preserve">DyStar — Sera ECO WASH</w:t>
        </w:r>
      </w:hyperlink>
    </w:p>
    <w:p>
      <w:pPr>
        <w:pStyle w:val="Compact"/>
        <w:numPr>
          <w:ilvl w:val="0"/>
          <w:numId w:val="1030"/>
        </w:numPr>
      </w:pPr>
      <w:hyperlink r:id="rId53">
        <w:r>
          <w:rPr>
            <w:rStyle w:val="Hyperlink"/>
          </w:rPr>
          <w:t xml:space="preserve">ISO 3071:2020 — Determination of pH of Aqueous Extract</w:t>
        </w:r>
      </w:hyperlink>
    </w:p>
    <w:p>
      <w:pPr>
        <w:pStyle w:val="Compact"/>
        <w:numPr>
          <w:ilvl w:val="0"/>
          <w:numId w:val="1030"/>
        </w:numPr>
      </w:pPr>
      <w:hyperlink r:id="rId54">
        <w:r>
          <w:rPr>
            <w:rStyle w:val="Hyperlink"/>
          </w:rPr>
          <w:t xml:space="preserve">ISO 105-C06:2010 — Colour Fastness to Domestic and Commercial Laundering</w:t>
        </w:r>
      </w:hyperlink>
    </w:p>
    <w:p>
      <w:pPr>
        <w:pStyle w:val="Compact"/>
        <w:numPr>
          <w:ilvl w:val="0"/>
          <w:numId w:val="1030"/>
        </w:numPr>
      </w:pPr>
      <w:hyperlink r:id="rId55">
        <w:r>
          <w:rPr>
            <w:rStyle w:val="Hyperlink"/>
          </w:rPr>
          <w:t xml:space="preserve">ISO 105-X12:2016 — Colour Fastness to Rubbing</w:t>
        </w:r>
      </w:hyperlink>
    </w:p>
    <w:p>
      <w:pPr>
        <w:pStyle w:val="Compact"/>
        <w:numPr>
          <w:ilvl w:val="0"/>
          <w:numId w:val="1030"/>
        </w:numPr>
      </w:pPr>
      <w:hyperlink r:id="rId56">
        <w:r>
          <w:rPr>
            <w:rStyle w:val="Hyperlink"/>
          </w:rPr>
          <w:t xml:space="preserve">ISO 105-E04:2013 — Colour Fastness to Perspiration</w:t>
        </w:r>
      </w:hyperlink>
    </w:p>
    <w:p>
      <w:pPr>
        <w:pStyle w:val="Compact"/>
        <w:numPr>
          <w:ilvl w:val="0"/>
          <w:numId w:val="1030"/>
        </w:numPr>
      </w:pPr>
      <w:hyperlink r:id="rId57">
        <w:r>
          <w:rPr>
            <w:rStyle w:val="Hyperlink"/>
          </w:rPr>
          <w:t xml:space="preserve">ISO 105-J03:2009 — Calculation of Colour Differences</w:t>
        </w:r>
      </w:hyperlink>
    </w:p>
    <w:p>
      <w:pPr>
        <w:pStyle w:val="Compact"/>
        <w:numPr>
          <w:ilvl w:val="0"/>
          <w:numId w:val="1030"/>
        </w:numPr>
      </w:pPr>
      <w:hyperlink r:id="rId58">
        <w:r>
          <w:rPr>
            <w:rStyle w:val="Hyperlink"/>
          </w:rPr>
          <w:t xml:space="preserve">AATCC TM61 — Colorfastness to Laundering: Accelerated</w:t>
        </w:r>
      </w:hyperlink>
    </w:p>
    <w:p>
      <w:pPr>
        <w:pStyle w:val="Compact"/>
        <w:numPr>
          <w:ilvl w:val="0"/>
          <w:numId w:val="1030"/>
        </w:numPr>
      </w:pPr>
      <w:hyperlink r:id="rId59">
        <w:r>
          <w:rPr>
            <w:rStyle w:val="Hyperlink"/>
          </w:rPr>
          <w:t xml:space="preserve">AATCC TM8 — Colorfastness to Crocking: Crockmeter</w:t>
        </w:r>
      </w:hyperlink>
    </w:p>
    <w:p>
      <w:pPr>
        <w:pStyle w:val="Compact"/>
        <w:numPr>
          <w:ilvl w:val="0"/>
          <w:numId w:val="1030"/>
        </w:numPr>
      </w:pPr>
      <w:hyperlink r:id="rId60">
        <w:r>
          <w:rPr>
            <w:rStyle w:val="Hyperlink"/>
          </w:rPr>
          <w:t xml:space="preserve">Eco-friendly Salt/Alkali-free Exhaustion Dyeing of Cotton Fabric with Reactive Dyes</w:t>
        </w:r>
      </w:hyperlink>
    </w:p>
    <w:bookmarkEnd w:id="61"/>
    <w:bookmarkEnd w:id="62"/>
    <w:sectPr>
      <w:headerReference w:type="default" r:id="rId9"/>
      <w:footerReference w:type="default" r:id="rId10"/>
      <w:pgMar w:top="1020" w:bottom="964" w:left="1134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bahribudak.com  •  Reaktif Boyama Teknik Master  • 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478"/>
        <w:sz w:val="15"/>
      </w:rPr>
      <w:t>BAHRİ BUDAK • TEKNİK YAYIN • BB-BOY-TP-001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082B4C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cottonworks.com/learning-hub/dyeing/dyeing-basics/" TargetMode="External"/><Relationship Id="rId58" Type="http://schemas.openxmlformats.org/officeDocument/2006/relationships/hyperlink" Target="https://members.aatcc.org/store/tm61/495/" TargetMode="External"/><Relationship Id="rId59" Type="http://schemas.openxmlformats.org/officeDocument/2006/relationships/hyperlink" Target="https://members.aatcc.org/store/tm8/481/" TargetMode="External"/><Relationship Id="rId50" Type="http://schemas.openxmlformats.org/officeDocument/2006/relationships/hyperlink" Target="https://www.cottonworks.com/wp-content/uploads/2018/01/Dyeing_Booklet.pdf" TargetMode="External"/><Relationship Id="rId52" Type="http://schemas.openxmlformats.org/officeDocument/2006/relationships/hyperlink" Target="https://www.dystar.com/wp-content/uploads/2014/12/SeraEcoWash_240913.pdf" TargetMode="External"/><Relationship Id="rId51" Type="http://schemas.openxmlformats.org/officeDocument/2006/relationships/hyperlink" Target="https://www.dystar.com/wp-content/uploads/2024/10/Cadira-Reactive-Brochure_Web.pdf" TargetMode="External"/><Relationship Id="rId54" Type="http://schemas.openxmlformats.org/officeDocument/2006/relationships/hyperlink" Target="https://www.iso.org/standard/51276.html" TargetMode="External"/><Relationship Id="rId57" Type="http://schemas.openxmlformats.org/officeDocument/2006/relationships/hyperlink" Target="https://www.iso.org/standard/51385.html" TargetMode="External"/><Relationship Id="rId56" Type="http://schemas.openxmlformats.org/officeDocument/2006/relationships/hyperlink" Target="https://www.iso.org/standard/57973.html" TargetMode="External"/><Relationship Id="rId55" Type="http://schemas.openxmlformats.org/officeDocument/2006/relationships/hyperlink" Target="https://www.iso.org/standard/65207.html" TargetMode="External"/><Relationship Id="rId53" Type="http://schemas.openxmlformats.org/officeDocument/2006/relationships/hyperlink" Target="https://www.iso.org/standard/74203.html" TargetMode="External"/><Relationship Id="rId60" Type="http://schemas.openxmlformats.org/officeDocument/2006/relationships/hyperlink" Target="https://www.nature.com/articles/s41598-022-26875-8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cottonworks.com/learning-hub/dyeing/dyeing-basics/" TargetMode="External"/><Relationship Id="rId58" Type="http://schemas.openxmlformats.org/officeDocument/2006/relationships/hyperlink" Target="https://members.aatcc.org/store/tm61/495/" TargetMode="External"/><Relationship Id="rId59" Type="http://schemas.openxmlformats.org/officeDocument/2006/relationships/hyperlink" Target="https://members.aatcc.org/store/tm8/481/" TargetMode="External"/><Relationship Id="rId50" Type="http://schemas.openxmlformats.org/officeDocument/2006/relationships/hyperlink" Target="https://www.cottonworks.com/wp-content/uploads/2018/01/Dyeing_Booklet.pdf" TargetMode="External"/><Relationship Id="rId52" Type="http://schemas.openxmlformats.org/officeDocument/2006/relationships/hyperlink" Target="https://www.dystar.com/wp-content/uploads/2014/12/SeraEcoWash_240913.pdf" TargetMode="External"/><Relationship Id="rId51" Type="http://schemas.openxmlformats.org/officeDocument/2006/relationships/hyperlink" Target="https://www.dystar.com/wp-content/uploads/2024/10/Cadira-Reactive-Brochure_Web.pdf" TargetMode="External"/><Relationship Id="rId54" Type="http://schemas.openxmlformats.org/officeDocument/2006/relationships/hyperlink" Target="https://www.iso.org/standard/51276.html" TargetMode="External"/><Relationship Id="rId57" Type="http://schemas.openxmlformats.org/officeDocument/2006/relationships/hyperlink" Target="https://www.iso.org/standard/51385.html" TargetMode="External"/><Relationship Id="rId56" Type="http://schemas.openxmlformats.org/officeDocument/2006/relationships/hyperlink" Target="https://www.iso.org/standard/57973.html" TargetMode="External"/><Relationship Id="rId55" Type="http://schemas.openxmlformats.org/officeDocument/2006/relationships/hyperlink" Target="https://www.iso.org/standard/65207.html" TargetMode="External"/><Relationship Id="rId53" Type="http://schemas.openxmlformats.org/officeDocument/2006/relationships/hyperlink" Target="https://www.iso.org/standard/74203.html" TargetMode="External"/><Relationship Id="rId60" Type="http://schemas.openxmlformats.org/officeDocument/2006/relationships/hyperlink" Target="https://www.nature.com/articles/s41598-022-26875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Reaktif Boyamada pH, Sıcaklık, Tuz ve Alkali Yönetimi</dc:title>
  <dc:creator>Bahri Budak</dc:creator>
  <cp:keywords/>
  <dcterms:created xsi:type="dcterms:W3CDTF">2026-07-24T14:59:27Z</dcterms:created>
  <dcterms:modified xsi:type="dcterms:W3CDTF">2026-07-24T14:59:27Z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