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C7D"/>
          <w:sz w:val="20"/>
        </w:rPr>
        <w:t>BB-OS TEKNIK MASTER KAYNAK</w:t>
      </w:r>
    </w:p>
    <w:p>
      <w:pPr>
        <w:jc w:val="center"/>
      </w:pPr>
      <w:r>
        <w:rPr>
          <w:b/>
          <w:color w:val="0B1F33"/>
          <w:sz w:val="46"/>
        </w:rPr>
        <w:t>Boya Makinası Düzeleri</w:t>
      </w:r>
    </w:p>
    <w:p>
      <w:pPr>
        <w:jc w:val="center"/>
      </w:pPr>
      <w:r>
        <w:rPr>
          <w:color w:val="5A5A5A"/>
          <w:sz w:val="24"/>
        </w:rPr>
        <w:t>Yapı, çalışma prensibi, temizlik, bakım ve proses etkileri</w:t>
      </w:r>
    </w:p>
    <w:p>
      <w:r>
        <w:drawing>
          <wp:inline xmlns:a="http://schemas.openxmlformats.org/drawingml/2006/main" xmlns:pic="http://schemas.openxmlformats.org/drawingml/2006/picture">
            <wp:extent cx="6126480" cy="3447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ak-gorseli-boya-makinasi-duzele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Sürüm: R01 | Sistem: BB-OS / BB-KSS / BB-CVS / BB-507 | Video kapsam dışıdır.</w:t>
      </w:r>
    </w:p>
    <w:p>
      <w:r>
        <w:br w:type="page"/>
      </w:r>
    </w:p>
    <w:p>
      <w:pPr>
        <w:pStyle w:val="Heading1"/>
      </w:pPr>
      <w:r>
        <w:t>1. Amaç ve kapsam</w:t>
      </w:r>
    </w:p>
    <w:p>
      <w:pPr>
        <w:spacing w:after="80"/>
      </w:pPr>
      <w:r>
        <w:t>Bu Master Kaynak, HT jet, overflow, soft-flow ve airflow tip kumaş boya makinelerinde düze/nozul sisteminin yapısını, çalışma mantığını, temizlik ve bakım disiplinini ve proses kalitesine etkilerini işletme diliyle standartlaştırır.</w:t>
      </w:r>
    </w:p>
    <w:p>
      <w:pPr>
        <w:spacing w:after="80"/>
      </w:pPr>
      <w:r>
        <w:t>Hedef kitle: işletme sahipleri, boya işletmesi yöneticileri, vardiya şefleri, bakım ekipleri, proses sorumluları ve kalite kontrol ekipleri.</w:t>
      </w:r>
    </w:p>
    <w:p>
      <w:pPr>
        <w:pStyle w:val="Heading1"/>
      </w:pPr>
      <w:r>
        <w:t>2. Yönetici özeti</w:t>
      </w:r>
    </w:p>
    <w:p>
      <w:pPr>
        <w:spacing w:after="80"/>
      </w:pPr>
      <w:r>
        <w:t>Düze, yalnızca kumaşı hareket ettiren bir parça değildir; pompa debisini, basıncı, kumaş sirkülasyonunu, flotte-kumaş temasını, kırık/halat izi riskini, renk düzgünlüğünü ve tekrar üretilebilirliği aynı anda etkileyen kritik proses organıdır.</w:t>
      </w:r>
    </w:p>
    <w:p>
      <w:pPr>
        <w:spacing w:after="80"/>
      </w:pPr>
      <w:r>
        <w:t>Yanlış düze seçimi veya kirli düze; düşük sirkülasyon, gölge farkı, lokal abraşyon, kırık, tüylenme, halat izi, uzun proses süresi ve tekrar boyama riski yaratır.</w:t>
      </w:r>
    </w:p>
    <w:p>
      <w:pPr>
        <w:spacing w:after="80"/>
      </w:pPr>
      <w:r>
        <w:t>Temizlik, bakım ve kayıt sistemi reçete kadar önemlidir. Aynı reçete, farklı düze açıklığı veya kirli düze ile aynı sonucu vermez.</w:t>
      </w:r>
    </w:p>
    <w:p>
      <w:pPr>
        <w:pStyle w:val="Heading1"/>
      </w:pPr>
      <w:r>
        <w:t>3. Düzelerin temel yapısı</w:t>
      </w:r>
    </w:p>
    <w:p>
      <w:pPr>
        <w:spacing w:after="80"/>
      </w:pPr>
      <w:r>
        <w:t>Modern makinelerde düze gövdesi genellikle paslanmaz çelikten oluşur. Akış geometrisi; giriş ağzı, daralma bölgesi, boğaz/venturi etkisi, çıkış konisi ve kumaş geçiş kesitinden meydana gelir.</w:t>
      </w:r>
    </w:p>
    <w:p>
      <w:pPr>
        <w:spacing w:after="80"/>
      </w:pPr>
      <w:r>
        <w:t>Jet ve overflow makinelerde hidrolik taşıma, pompa tarafından verilen flottenin düze bölgesinde yönlendirilmesiyle gerçekleşir. Airflow makinelerde kumaş taşıma esas olarak hava/aerodinamik akışla yapılır; bu nedenle hidrolik nozullara göre daha farklı bir taşıma prensibi kullanılır.</w:t>
      </w:r>
    </w:p>
    <w:p>
      <w:pPr>
        <w:spacing w:after="80"/>
      </w:pPr>
      <w:r>
        <w:t>Düze sistemi tek başına değerlendirilmez: ana sirkülasyon pompası, filtreler, eşanjör, halat yolu, kaldırma makarası, tambur/tekne geometrisi ve reçete adımlarıyla birlikte çalışır.</w:t>
      </w:r>
    </w:p>
    <w:p>
      <w:pPr>
        <w:pStyle w:val="Heading1"/>
      </w:pPr>
      <w:r>
        <w:t>4. Çalışma prensibi</w:t>
      </w:r>
    </w:p>
    <w:p>
      <w:pPr>
        <w:spacing w:after="80"/>
      </w:pPr>
      <w:r>
        <w:t>Pompa, flotteyi belirli debi ve basınçta düze bölgesine gönderir. Düze, bu enerjiyi yönlü akışa dönüştürür. Kumaş halatı, akış kuvveti ve mekanik yönlendirme ile makine içinde sürekli çevrim yapar.</w:t>
      </w:r>
    </w:p>
    <w:p>
      <w:pPr>
        <w:spacing w:after="80"/>
      </w:pPr>
      <w:r>
        <w:t>Amaç, kumaşı sürüklemekten daha fazlasıdır: kumaş yüzeyindeki flotte tabakasını yenilemek, boya/kimyasal temasını artırmak, sıcaklık ve konsantrasyon farklarını azaltmak ve tüm partide homojen işlem oluşturmaktır.</w:t>
      </w:r>
    </w:p>
    <w:p>
      <w:pPr>
        <w:spacing w:after="80"/>
      </w:pPr>
      <w:r>
        <w:t>Düze basıncı yükseldikçe taşıma kuvveti artar; ancak hassas kumaşlarda gerilim, yüzey etkisi, halat izi ve kırık riski de artabilir.</w:t>
      </w:r>
    </w:p>
    <w:p>
      <w:pPr>
        <w:pStyle w:val="Heading1"/>
      </w:pPr>
      <w:r>
        <w:t>5. Temizlik standardı</w:t>
      </w:r>
    </w:p>
    <w:p>
      <w:pPr>
        <w:spacing w:after="80"/>
      </w:pPr>
      <w:r>
        <w:t>Her parti sonrası hızlı kontrol yapılmalı; elyaf, tüy, oligomer, kireç, dispersiyon çökeltisi, köpük kalıntısı ve kimyasal birikim gözlenmelidir.</w:t>
      </w:r>
    </w:p>
    <w:p>
      <w:pPr>
        <w:spacing w:after="80"/>
      </w:pPr>
      <w:r>
        <w:t>Haftalık bakımda düze sökülerek mekanik ve kimyasal temizlik yapılmalı; boğaz çapı, yüzey pürüzü, deformasyon, çatlak, keskin kenar ve korozyon kontrol edilmelidir.</w:t>
      </w:r>
    </w:p>
    <w:p>
      <w:pPr>
        <w:spacing w:after="80"/>
      </w:pPr>
      <w:r>
        <w:t>Poliester proseslerinde oligomer birikimi; pamuk/reaktif proseslerinde tuz, alkali ve yardımcı kimyasal çökeltisi; havlu ve tüylü kumaşlarda lint birikimi özel risk alanıdır.</w:t>
      </w:r>
    </w:p>
    <w:p>
      <w:pPr>
        <w:pStyle w:val="Heading1"/>
      </w:pPr>
      <w:r>
        <w:t>6. Bakım kontrol noktaları</w:t>
      </w:r>
    </w:p>
    <w:p>
      <w:pPr>
        <w:spacing w:after="80"/>
      </w:pPr>
      <w:r>
        <w:t>Düze çapı ve eşleşme: yaş halat çapı ile uyumlu olmalıdır. Küçük düze sıkıştırma ve kırık riski yaratır; büyük düze taşıma kuvvetini düşürebilir.</w:t>
      </w:r>
    </w:p>
    <w:p>
      <w:pPr>
        <w:spacing w:after="80"/>
      </w:pPr>
      <w:r>
        <w:t>Basınç göstergesi ve sensör: reçete değeri ile gerçek basınç farkı varsa pompa, filtre, vana, düze tıkanıklığı veya ölçüm sistemi kontrol edilir.</w:t>
      </w:r>
    </w:p>
    <w:p>
      <w:pPr>
        <w:spacing w:after="80"/>
      </w:pPr>
      <w:r>
        <w:t>Yüzey kalitesi: pürüzlü, çizilmiş veya keskinleşmiş çıkış ağızları hassas yüzeylerde abraşyon, tüylenme ve çizgi hatası oluşturabilir.</w:t>
      </w:r>
    </w:p>
    <w:p>
      <w:pPr>
        <w:spacing w:after="80"/>
      </w:pPr>
      <w:r>
        <w:t>Kayıt: Her temizlikte makine numarası, parti numarası, kumaş tipi, düze çapı, basınç, hız, temizlik nedeni ve bulgu kaydedilmelidir.</w:t>
      </w:r>
    </w:p>
    <w:p>
      <w:pPr>
        <w:pStyle w:val="Heading1"/>
      </w:pPr>
      <w:r>
        <w:t>7. Proses etkileri</w:t>
      </w:r>
    </w:p>
    <w:p>
      <w:pPr>
        <w:spacing w:after="80"/>
      </w:pPr>
      <w:r>
        <w:t>Renk düzgünlüğü: stabil sirkülasyon, her çevrimde benzer flotte temasını destekler. Tıkanmış veya yanlış düze lokal düşük flotte değişimine neden olur.</w:t>
      </w:r>
    </w:p>
    <w:p>
      <w:pPr>
        <w:spacing w:after="80"/>
      </w:pPr>
      <w:r>
        <w:t>Kırık ve halat izi: aşırı basınç, küçük düze veya uygunsuz halat yolu kumaşı sıkıştırır. Özellikle elastanlı ve gevşek örgülerde risk artar.</w:t>
      </w:r>
    </w:p>
    <w:p>
      <w:pPr>
        <w:spacing w:after="80"/>
      </w:pPr>
      <w:r>
        <w:t>Enerji ve su: düşük flotte oranı ancak sirkülasyon stabil ise avantaj sağlar. Zayıf sirkülasyon; uzun yıkama, ek durulama ve tekrar işlem ihtiyacı doğurur.</w:t>
      </w:r>
    </w:p>
    <w:p>
      <w:pPr>
        <w:spacing w:after="80"/>
      </w:pPr>
      <w:r>
        <w:t>Tekrar üretilebilirlik: aynı reçete için düze çapı, basınç, hız ve yükleme oranı değişirse proses tekrar edilebilirliği düşer.</w:t>
      </w:r>
    </w:p>
    <w:p>
      <w:pPr>
        <w:pStyle w:val="Heading1"/>
      </w:pPr>
      <w:r>
        <w:t>8. Saha uygulama matrisi</w:t>
      </w:r>
    </w:p>
    <w:p>
      <w:pPr>
        <w:spacing w:after="80"/>
      </w:pPr>
      <w:r>
        <w:t>Aşağıdaki tablo işletme standardı için referans mantığı verir. Nihai değerler makine üreticisi, kumaş tipi, yükleme oranı ve proses reçetesine göre validasyonla sabitlenmelidir.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B1F33"/>
          </w:tcPr>
          <w:p>
            <w:r/>
            <w:r>
              <w:rPr>
                <w:b/>
                <w:color w:val="FFFFFF"/>
                <w:sz w:val="17"/>
              </w:rPr>
              <w:t>Risk / ihtiyaç</w:t>
            </w:r>
          </w:p>
        </w:tc>
        <w:tc>
          <w:tcPr>
            <w:tcW w:type="dxa" w:w="2613"/>
            <w:vAlign w:val="center"/>
            <w:shd w:fill="0B1F33"/>
          </w:tcPr>
          <w:p>
            <w:r/>
            <w:r>
              <w:rPr>
                <w:b/>
                <w:color w:val="FFFFFF"/>
                <w:sz w:val="17"/>
              </w:rPr>
              <w:t>Düze davranışı</w:t>
            </w:r>
          </w:p>
        </w:tc>
        <w:tc>
          <w:tcPr>
            <w:tcW w:type="dxa" w:w="2613"/>
            <w:vAlign w:val="center"/>
            <w:shd w:fill="0B1F33"/>
          </w:tcPr>
          <w:p>
            <w:r/>
            <w:r>
              <w:rPr>
                <w:b/>
                <w:color w:val="FFFFFF"/>
                <w:sz w:val="17"/>
              </w:rPr>
              <w:t>Olası sonuç</w:t>
            </w:r>
          </w:p>
        </w:tc>
        <w:tc>
          <w:tcPr>
            <w:tcW w:type="dxa" w:w="2613"/>
            <w:vAlign w:val="center"/>
            <w:shd w:fill="0B1F33"/>
          </w:tcPr>
          <w:p>
            <w:r/>
            <w:r>
              <w:rPr>
                <w:b/>
                <w:color w:val="FFFFFF"/>
                <w:sz w:val="17"/>
              </w:rPr>
              <w:t>Operasyon kararı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Kumaş ilerlemiyor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Basınç düşük, çap büyük veya filtre/düze tıkalı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Kırık, abraj, renk farkı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Filtre-düze temizliği, basınç/hız dengesi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Halat izi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Basınç yüksek veya düze dar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Kalıcı iz, yüzey stresi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Daha uygun çap, düşük basınç, yumuşak hız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Renk dalgalanması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Flotte değişimi kararsız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Parti içi ton farkı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Pompa, filtre, dozaj ve düze kontrolü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Tüylenme/abraşyon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Düze çıkışı pürüzlü veya akış sert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Yüzey kalite kaybı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Yüzey kontrolü, parça değişimi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Tekrar boyama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Kayıt ve bakım yetersiz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Maliyet, kapasite kaybı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Temizlik planı ve proses kayıt formu</w:t>
            </w:r>
          </w:p>
        </w:tc>
      </w:tr>
    </w:tbl>
    <w:p>
      <w:pPr>
        <w:pStyle w:val="Heading1"/>
      </w:pPr>
      <w:r>
        <w:t>9. Temizlik prosedürü</w:t>
      </w:r>
    </w:p>
    <w:p>
      <w:pPr>
        <w:pStyle w:val="ListNumber"/>
      </w:pPr>
      <w:r>
        <w:t>Makineyi güvenli duruma alın: sıcaklık, basınç ve enerji izolasyonu tamamlanmadan kapak/düze müdahalesi yapılmaz.</w:t>
      </w:r>
    </w:p>
    <w:p>
      <w:pPr>
        <w:pStyle w:val="ListNumber"/>
      </w:pPr>
      <w:r>
        <w:t>Düze bölgesini açın; yabancı elyaf, tüy, iplik parçası, sertleşmiş kimyasal ve kireç birikimini gözle kontrol edin.</w:t>
      </w:r>
    </w:p>
    <w:p>
      <w:pPr>
        <w:pStyle w:val="ListNumber"/>
      </w:pPr>
      <w:r>
        <w:t>Sökülebilir düze parçalarını zarar vermeyen ekipmanla temizleyin; metal yüzeyi çizecek sert müdahaleden kaçının.</w:t>
      </w:r>
    </w:p>
    <w:p>
      <w:pPr>
        <w:pStyle w:val="ListNumber"/>
      </w:pPr>
      <w:r>
        <w:t>Boğaz ve çıkış geometrisini ışık altında kontrol edin; ovalleşme, çapak, keskin kenar ve pürüz varsa bakım sorumlusuna bildirin.</w:t>
      </w:r>
    </w:p>
    <w:p>
      <w:pPr>
        <w:pStyle w:val="ListNumber"/>
      </w:pPr>
      <w:r>
        <w:t>Temizlik sonrası düşük hız/soğuk su sirkülasyon testi yapın; basınç ve akışın normal aralıkta olduğunu doğrulayın.</w:t>
      </w:r>
    </w:p>
    <w:p>
      <w:pPr>
        <w:pStyle w:val="ListNumber"/>
      </w:pPr>
      <w:r>
        <w:t>Bulguları bakım formuna yazın; tekrar eden tıkanıklığı proses, filtre, kimyasal çözündürme ve kumaş lint kaynağı açısından analiz edin.</w:t>
      </w:r>
    </w:p>
    <w:p>
      <w:pPr>
        <w:pStyle w:val="Heading1"/>
      </w:pPr>
      <w:r>
        <w:t>10. Kontrol listesi</w:t>
      </w:r>
    </w:p>
    <w:p>
      <w:r>
        <w:t>☐ Düze çapı kumaş tipine ve yaş halat çapına uygun mu?</w:t>
      </w:r>
    </w:p>
    <w:p>
      <w:r>
        <w:t>☐ Düze ve filtrede elyaf/kimyasal/kireç/oligomer birikimi var mı?</w:t>
      </w:r>
    </w:p>
    <w:p>
      <w:r>
        <w:t>☐ Basınç göstergesi normal reçete aralığında mı?</w:t>
      </w:r>
    </w:p>
    <w:p>
      <w:r>
        <w:t>☐ Kumaş hareketi çekme, sıkışma, yığılma veya vuruntu olmadan stabil mi?</w:t>
      </w:r>
    </w:p>
    <w:p>
      <w:r>
        <w:t>☐ Temizlik sonrası ilk sirkülasyon kontrolü yapıldı mı?</w:t>
      </w:r>
    </w:p>
    <w:p>
      <w:r>
        <w:t>☐ Bakım bulgusu makine/parti bazında kayda geçti mi?</w:t>
      </w:r>
    </w:p>
    <w:p>
      <w:pPr>
        <w:pStyle w:val="Heading1"/>
      </w:pPr>
      <w:r>
        <w:t>11. Kaynaklar ve doğrulama notu</w:t>
      </w:r>
    </w:p>
    <w:p>
      <w:r>
        <w:t>Bu belge üretici teknik bilgileri, makine işletme verileri ve proses prensipleri üzerinden hazırlanmıştır. Marka/model bazlı kesin ayar, ilgili makinenin üretici kılavuzu ve işletme validasyonu ile sabitlenmelidir.</w:t>
      </w:r>
    </w:p>
    <w:p>
      <w:r>
        <w:t>- FONGS Europe - THEN AIRFLOW SYNERGY: aerodynamic fabric transport, broad fabric applicability: https://www.fongs.eu/machines/then-airflow-synergy/</w:t>
      </w:r>
    </w:p>
    <w:p>
      <w:r>
        <w:t>- FONGS Europe - FONGS TOWELTEC: 140 C design temp, 3 bar design pressure, heating/cooling gradients, nozzle details: https://www.fongs.eu/machines/fongs-towel-tec/</w:t>
      </w:r>
    </w:p>
    <w:p>
      <w:r>
        <w:t>- A.T.E. India - SYNERGY G2: THEN Airflow, low liquor ratio, 140 C/3 bar, fabric speed references: https://www.ate-teg.com/textile-engineering/product-family/product-description/synergy-g2/</w:t>
      </w:r>
    </w:p>
    <w:p>
      <w:r>
        <w:t>- Thies Eco Soft Plus listing: practical machine data, nozzle pressure 0.5-1.0 bar, fabric speed 40-400 m/min, liquor ratio 1:5-1:10: https://usaytrade.com/product/processing/dyeing/thies-eco-soft-plus-jet-dyeing-machine/</w:t>
      </w:r>
    </w:p>
    <w:p>
      <w:r>
        <w:t>- Overflow/jet dyeing machine operation guide: nozzle selection, pressure-speed balance, common defects: https://www.yarnfabricdyemachine.com/how-to-operate-overflow-jet-fabric-dyeing-machine-efficiently</w:t>
      </w:r>
    </w:p>
    <w:p>
      <w:r>
        <w:t>- Jet overflow common problems: pressure relation to fabric thickness, nozzle diameter, heating/cooling risk: https://www.hzdmcn.com/info/causes-prevention-problems-jet-overflow-dyeing-70304559.html</w:t>
      </w:r>
    </w:p>
    <w:p>
      <w:pPr>
        <w:pStyle w:val="Heading1"/>
      </w:pPr>
      <w:r>
        <w:t>12. Revizyon kaydı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B1F33"/>
          </w:tcPr>
          <w:p>
            <w:r/>
            <w:r>
              <w:rPr>
                <w:b/>
                <w:color w:val="FFFFFF"/>
                <w:sz w:val="17"/>
              </w:rPr>
              <w:t>Revizyon</w:t>
            </w:r>
          </w:p>
        </w:tc>
        <w:tc>
          <w:tcPr>
            <w:tcW w:type="dxa" w:w="2613"/>
            <w:vAlign w:val="center"/>
            <w:shd w:fill="0B1F33"/>
          </w:tcPr>
          <w:p>
            <w:r/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2613"/>
            <w:vAlign w:val="center"/>
            <w:shd w:fill="0B1F33"/>
          </w:tcPr>
          <w:p>
            <w:r/>
            <w:r>
              <w:rPr>
                <w:b/>
                <w:color w:val="FFFFFF"/>
                <w:sz w:val="17"/>
              </w:rPr>
              <w:t>Kapsam</w:t>
            </w:r>
          </w:p>
        </w:tc>
        <w:tc>
          <w:tcPr>
            <w:tcW w:type="dxa" w:w="2613"/>
            <w:vAlign w:val="center"/>
            <w:shd w:fill="0B1F33"/>
          </w:tcPr>
          <w:p>
            <w:r/>
            <w:r>
              <w:rPr>
                <w:b/>
                <w:color w:val="FFFFFF"/>
                <w:sz w:val="17"/>
              </w:rPr>
              <w:t>Not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R01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25.07.2026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İlk Master Kaynak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BB-OS başlatma çıktısı</w:t>
            </w:r>
          </w:p>
        </w:tc>
      </w:tr>
    </w:tbl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5C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