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" w:hAnsi="Noto Sans"/>
          <w:b/>
          <w:sz w:val="24"/>
        </w:rPr>
        <w:t>BAHRİ BUDAK</w:t>
        <w:br/>
        <w:t>TEKNİK YAYIN</w:t>
      </w:r>
    </w:p>
    <w:p>
      <w:pPr>
        <w:jc w:val="center"/>
      </w:pPr>
      <w:r>
        <w:rPr>
          <w:rFonts w:ascii="Noto Sans" w:hAnsi="Noto Sans"/>
          <w:b/>
          <w:sz w:val="46"/>
        </w:rPr>
        <w:t>Turkuaz ve Yeşil Reaktif Boyamalarda Anyonik Islatıcı Yerine Noniyonik Islatıcı Kullanılması Hangi Şartlara Bağlıdır?</w:t>
      </w:r>
    </w:p>
    <w:p>
      <w:pPr>
        <w:jc w:val="center"/>
      </w:pPr>
      <w:r>
        <w:rPr>
          <w:rFonts w:ascii="Noto Sans" w:hAnsi="Noto Sans"/>
          <w:sz w:val="22"/>
        </w:rPr>
        <w:t>Bakır ftalosiyanin esaslı turkuaz ve yeşil reaktif boyamalarda ıslatıcı seçimi; yalnızca hidrofiliteye değil, tuz–alkali–sıcaklık altında boya banyosu stabilitesine göre yapılmalıdır.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Noto Sans" w:hAnsi="Noto Sans"/>
                <w:sz w:val="19"/>
              </w:rPr>
              <w:t>Doküman Kodu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" w:hAnsi="Noto Sans"/>
                <w:sz w:val="19"/>
              </w:rPr>
              <w:t>BB-BOY-ISL-001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Noto Sans" w:hAnsi="Noto Sans"/>
                <w:sz w:val="19"/>
              </w:rPr>
              <w:t>Revizyon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" w:hAnsi="Noto Sans"/>
                <w:sz w:val="19"/>
              </w:rPr>
              <w:t>R01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Noto Sans" w:hAnsi="Noto Sans"/>
                <w:sz w:val="19"/>
              </w:rPr>
              <w:t>Revizyon Tarihi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" w:hAnsi="Noto Sans"/>
                <w:sz w:val="19"/>
              </w:rPr>
              <w:t>2026-07-24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Noto Sans" w:hAnsi="Noto Sans"/>
                <w:sz w:val="19"/>
              </w:rPr>
              <w:t>Proses Alanı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" w:hAnsi="Noto Sans"/>
                <w:sz w:val="19"/>
              </w:rPr>
              <w:t>Boya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Noto Sans" w:hAnsi="Noto Sans"/>
                <w:sz w:val="19"/>
              </w:rPr>
              <w:t>Yazar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" w:hAnsi="Noto Sans"/>
                <w:sz w:val="19"/>
              </w:rPr>
              <w:t>Bahri Budak</w:t>
            </w:r>
          </w:p>
        </w:tc>
      </w:tr>
    </w:tbl>
    <w:p>
      <w:r>
        <w:br w:type="page"/>
      </w:r>
    </w:p>
    <w:p>
      <w:r>
        <w:rPr>
          <w:rFonts w:ascii="Noto Sans" w:hAnsi="Noto Sans"/>
        </w:rPr>
        <w:t xml:space="preserve">Turkuaz ve turkuaz içeren yeşil reaktif boyamalarda temel risk, yalnızca kumaşın ıslanma hızı değildir. Asıl kritik konu, </w:t>
      </w:r>
      <w:r>
        <w:rPr>
          <w:rFonts w:ascii="Noto Sans" w:hAnsi="Noto Sans"/>
          <w:b/>
        </w:rPr>
        <w:t>boya banyosunun tuz, alkali ve sıcaklık altında kararlı kalmasıdır</w:t>
      </w:r>
      <w:r>
        <w:rPr>
          <w:rFonts w:ascii="Noto Sans" w:hAnsi="Noto Sans"/>
        </w:rPr>
        <w:t>.</w:t>
      </w:r>
    </w:p>
    <w:p>
      <w:r>
        <w:rPr>
          <w:rFonts w:ascii="Noto Sans" w:hAnsi="Noto Sans"/>
        </w:rPr>
        <w:t xml:space="preserve">Bakır Ftalosiyanin / </w:t>
      </w:r>
      <w:r>
        <w:rPr>
          <w:rFonts w:ascii="Noto Sans" w:hAnsi="Noto Sans"/>
          <w:b/>
        </w:rPr>
        <w:t>Copper Phthalocyanine</w:t>
      </w:r>
      <w:r>
        <w:rPr>
          <w:rFonts w:ascii="Noto Sans" w:hAnsi="Noto Sans"/>
        </w:rPr>
        <w:t xml:space="preserve"> esaslı reaktif boyarmaddeler; büyük, düzlemsel ve agregasyona yatkın moleküler yapıları nedeniyle yüksek elektrolit, yükselen sıcaklık ve alkali geçişi altında özel dikkat gerektirir. Uygun olmayan yardımcı kimyasal seçimi; aglomerasyon, filtre tutulması, yüzeysel boya birikimi, lokal abraj ve “kedi patisi” görünümü gibi hatalara zemin hazırlayabilir.</w:t>
      </w:r>
    </w:p>
    <w:p>
      <w:pPr>
        <w:pStyle w:val="Heading1"/>
      </w:pPr>
      <w:r>
        <w:t>Karar yalnızca “ıslatma” üzerinden verilmemelidir</w:t>
      </w:r>
    </w:p>
    <w:p>
      <w:r>
        <w:rPr>
          <w:rFonts w:ascii="Noto Sans" w:hAnsi="Noto Sans"/>
        </w:rPr>
        <w:t>Turkuaz ve zor yeşil tonlarda boya banyosuna verilen yardımcı kimyasalın görevi yalnızca yüzey gerilimini düşürmek değildir. Seçilen sistemin aşağıdaki işlevleri birlikte desteklemesi gerekir:</w:t>
      </w:r>
    </w:p>
    <w:p>
      <w:pPr>
        <w:pStyle w:val="ListBullet"/>
      </w:pPr>
      <w:r>
        <w:rPr>
          <w:rFonts w:ascii="Noto Sans" w:hAnsi="Noto Sans"/>
        </w:rPr>
        <w:t xml:space="preserve">Elektrostatik itme / </w:t>
      </w:r>
      <w:r>
        <w:rPr>
          <w:rFonts w:ascii="Noto Sans" w:hAnsi="Noto Sans"/>
          <w:b/>
        </w:rPr>
        <w:t>Electrostatic Repulsion</w:t>
      </w:r>
    </w:p>
    <w:p>
      <w:pPr>
        <w:pStyle w:val="ListBullet"/>
      </w:pPr>
      <w:r>
        <w:rPr>
          <w:rFonts w:ascii="Noto Sans" w:hAnsi="Noto Sans"/>
        </w:rPr>
        <w:t xml:space="preserve">Dispersiyon / </w:t>
      </w:r>
      <w:r>
        <w:rPr>
          <w:rFonts w:ascii="Noto Sans" w:hAnsi="Noto Sans"/>
          <w:b/>
        </w:rPr>
        <w:t>Dispersion</w:t>
      </w:r>
    </w:p>
    <w:p>
      <w:pPr>
        <w:pStyle w:val="ListBullet"/>
      </w:pPr>
      <w:r>
        <w:rPr>
          <w:rFonts w:ascii="Noto Sans" w:hAnsi="Noto Sans"/>
        </w:rPr>
        <w:t xml:space="preserve">Koruyucu kolloid etkisi / </w:t>
      </w:r>
      <w:r>
        <w:rPr>
          <w:rFonts w:ascii="Noto Sans" w:hAnsi="Noto Sans"/>
          <w:b/>
        </w:rPr>
        <w:t>Protective Colloid Effect</w:t>
      </w:r>
    </w:p>
    <w:p>
      <w:pPr>
        <w:pStyle w:val="ListBullet"/>
      </w:pPr>
      <w:r>
        <w:rPr>
          <w:rFonts w:ascii="Noto Sans" w:hAnsi="Noto Sans"/>
        </w:rPr>
        <w:t xml:space="preserve">Banyo stabilitesi / </w:t>
      </w:r>
      <w:r>
        <w:rPr>
          <w:rFonts w:ascii="Noto Sans" w:hAnsi="Noto Sans"/>
          <w:b/>
        </w:rPr>
        <w:t>Bath Stability</w:t>
      </w:r>
    </w:p>
    <w:p>
      <w:pPr>
        <w:pStyle w:val="ListBullet"/>
      </w:pPr>
      <w:r>
        <w:rPr>
          <w:rFonts w:ascii="Noto Sans" w:hAnsi="Noto Sans"/>
        </w:rPr>
        <w:t xml:space="preserve">Düşük köpük / </w:t>
      </w:r>
      <w:r>
        <w:rPr>
          <w:rFonts w:ascii="Noto Sans" w:hAnsi="Noto Sans"/>
          <w:b/>
        </w:rPr>
        <w:t>Low Foaming</w:t>
      </w:r>
    </w:p>
    <w:p>
      <w:pPr>
        <w:pStyle w:val="ListBullet"/>
      </w:pPr>
      <w:r>
        <w:rPr>
          <w:rFonts w:ascii="Noto Sans" w:hAnsi="Noto Sans"/>
        </w:rPr>
        <w:t xml:space="preserve">Tuz ve alkali dayanımı / </w:t>
      </w:r>
      <w:r>
        <w:rPr>
          <w:rFonts w:ascii="Noto Sans" w:hAnsi="Noto Sans"/>
          <w:b/>
        </w:rPr>
        <w:t>Electrolyte and Alkali Stability</w:t>
      </w:r>
    </w:p>
    <w:p>
      <w:r>
        <w:rPr>
          <w:rFonts w:ascii="Noto Sans" w:hAnsi="Noto Sans"/>
        </w:rPr>
        <w:t>Bu nedenle “kumaş hidrofil oldu, noniyonik ıslatıcı yeterlidir” yaklaşımı teknik olarak eksiktir.</w:t>
      </w:r>
    </w:p>
    <w:p>
      <w:pPr>
        <w:pStyle w:val="Heading1"/>
      </w:pPr>
      <w:r>
        <w:t>Noniyonik Islatıcı / Nonionic Wetting Agent hangi şartlarda kullanılabilir?</w:t>
      </w:r>
    </w:p>
    <w:p>
      <w:r>
        <w:rPr>
          <w:rFonts w:ascii="Noto Sans" w:hAnsi="Noto Sans"/>
        </w:rPr>
        <w:t xml:space="preserve">Noniyonik Islatıcı / </w:t>
      </w:r>
      <w:r>
        <w:rPr>
          <w:rFonts w:ascii="Noto Sans" w:hAnsi="Noto Sans"/>
          <w:b/>
        </w:rPr>
        <w:t>Nonionic Wetting Agent</w:t>
      </w:r>
      <w:r>
        <w:rPr>
          <w:rFonts w:ascii="Noto Sans" w:hAnsi="Noto Sans"/>
        </w:rPr>
        <w:t>, aşağıdaki şartların tamamı doğrulandığında kullanılabilir:</w:t>
      </w:r>
    </w:p>
    <w:p>
      <w:pPr>
        <w:pStyle w:val="ListNumber"/>
      </w:pPr>
      <w:r>
        <w:rPr>
          <w:rFonts w:ascii="Noto Sans" w:hAnsi="Noto Sans"/>
          <w:b/>
        </w:rPr>
        <w:t>Bulanma noktası / Cloud Point</w:t>
      </w:r>
      <w:r>
        <w:rPr>
          <w:rFonts w:ascii="Noto Sans" w:hAnsi="Noto Sans"/>
        </w:rPr>
        <w:t>, yalnızca saf suda değil; proses suyu, gerçek tuz konsantrasyonu ve alkali seviyesi altında belirlenmiş olmalıdır.</w:t>
      </w:r>
    </w:p>
    <w:p>
      <w:pPr>
        <w:pStyle w:val="ListNumber"/>
      </w:pPr>
      <w:r>
        <w:rPr>
          <w:rFonts w:ascii="Noto Sans" w:hAnsi="Noto Sans"/>
        </w:rPr>
        <w:t>Ürünün gerçek reçetedeki bulanma noktası, prosesin en yüksek sıcaklığının güvenli biçimde üzerinde kalmalıdır.</w:t>
      </w:r>
    </w:p>
    <w:p>
      <w:pPr>
        <w:pStyle w:val="ListNumber"/>
      </w:pPr>
      <w:r>
        <w:rPr>
          <w:rFonts w:ascii="Noto Sans" w:hAnsi="Noto Sans"/>
        </w:rPr>
        <w:t>Boyarmadde ile birlikte yapılan banyo stabilite testinde bulanıklık, çökelti, yağlanma veya flok oluşmamalıdır.</w:t>
      </w:r>
    </w:p>
    <w:p>
      <w:pPr>
        <w:pStyle w:val="ListNumber"/>
      </w:pPr>
      <w:r>
        <w:rPr>
          <w:rFonts w:ascii="Noto Sans" w:hAnsi="Noto Sans"/>
        </w:rPr>
        <w:t>Ürün, yüksek elektrolit altında boya çözünürlüğünü ve dispersiyonunu olumsuz etkilememelidir.</w:t>
      </w:r>
    </w:p>
    <w:p>
      <w:pPr>
        <w:pStyle w:val="ListNumber"/>
      </w:pPr>
      <w:r>
        <w:rPr>
          <w:rFonts w:ascii="Noto Sans" w:hAnsi="Noto Sans"/>
        </w:rPr>
        <w:t>Düşük köpük özelliği, gerçek makine dinamiğinde doğrulanmalıdır.</w:t>
      </w:r>
    </w:p>
    <w:p>
      <w:pPr>
        <w:pStyle w:val="ListNumber"/>
      </w:pPr>
      <w:r>
        <w:rPr>
          <w:rFonts w:ascii="Noto Sans" w:hAnsi="Noto Sans"/>
        </w:rPr>
        <w:t>Alkali dozajı sonrasında banyo berraklığı ve filtre geçişi korunmalıdır.</w:t>
      </w:r>
    </w:p>
    <w:p>
      <w:pPr>
        <w:pStyle w:val="ListNumber"/>
      </w:pPr>
      <w:r>
        <w:rPr>
          <w:rFonts w:ascii="Noto Sans" w:hAnsi="Noto Sans"/>
        </w:rPr>
        <w:t>Laboratuvar boyamasında düzgünlük, ton, ΔE, sürtme ve yıkama haslığı kabul sınırları içinde kalmalıdır.</w:t>
      </w:r>
    </w:p>
    <w:p>
      <w:r>
        <w:rPr>
          <w:rFonts w:ascii="Noto Sans" w:hAnsi="Noto Sans"/>
        </w:rPr>
        <w:t xml:space="preserve">Noniyonik ürünlerde risk yalnızca ürünün katalog bulanma noktası değildir. </w:t>
      </w:r>
      <w:r>
        <w:rPr>
          <w:rFonts w:ascii="Noto Sans" w:hAnsi="Noto Sans"/>
          <w:b/>
        </w:rPr>
        <w:t>Tuz ve alkali, bazı etoksilat esaslı noniyonik ürünlerin efektif bulanma noktasını düşürebilir.</w:t>
      </w:r>
      <w:r>
        <w:rPr>
          <w:rFonts w:ascii="Noto Sans" w:hAnsi="Noto Sans"/>
        </w:rPr>
        <w:t xml:space="preserve"> Bu nedenle teknik föyde verilen tek bir sıcaklık değeri, gerçek boya banyosu için yeterli kanıt sayılmamalıdır.</w:t>
      </w:r>
    </w:p>
    <w:p>
      <w:pPr>
        <w:pStyle w:val="Heading1"/>
      </w:pPr>
      <w:r>
        <w:t>Kasar / Bleaching aşamasında kullanım</w:t>
      </w:r>
    </w:p>
    <w:p>
      <w:r>
        <w:rPr>
          <w:rFonts w:ascii="Noto Sans" w:hAnsi="Noto Sans"/>
        </w:rPr>
        <w:t xml:space="preserve">Kasar / </w:t>
      </w:r>
      <w:r>
        <w:rPr>
          <w:rFonts w:ascii="Noto Sans" w:hAnsi="Noto Sans"/>
          <w:b/>
        </w:rPr>
        <w:t>Bleaching</w:t>
      </w:r>
      <w:r>
        <w:rPr>
          <w:rFonts w:ascii="Noto Sans" w:hAnsi="Noto Sans"/>
        </w:rPr>
        <w:t xml:space="preserve"> aşamasında alkali ve peroksite dayanıklı bir Noniyonik Islatıcı / </w:t>
      </w:r>
      <w:r>
        <w:rPr>
          <w:rFonts w:ascii="Noto Sans" w:hAnsi="Noto Sans"/>
          <w:b/>
        </w:rPr>
        <w:t>Nonionic Wetting Agent</w:t>
      </w:r>
      <w:r>
        <w:rPr>
          <w:rFonts w:ascii="Noto Sans" w:hAnsi="Noto Sans"/>
        </w:rPr>
        <w:t xml:space="preserve"> kullanılabilir. Ancak ürünün boyama banyosuna taşınması sınırlandırılmalıdır.</w:t>
      </w:r>
    </w:p>
    <w:p>
      <w:r>
        <w:rPr>
          <w:rFonts w:ascii="Noto Sans" w:hAnsi="Noto Sans"/>
        </w:rPr>
        <w:t>Bunun için:</w:t>
      </w:r>
    </w:p>
    <w:p>
      <w:pPr>
        <w:pStyle w:val="ListBullet"/>
      </w:pPr>
      <w:r>
        <w:rPr>
          <w:rFonts w:ascii="Noto Sans" w:hAnsi="Noto Sans"/>
        </w:rPr>
        <w:t>Kasar sonrasında yeterli sıcak yıkama yapılmalı,</w:t>
      </w:r>
    </w:p>
    <w:p>
      <w:pPr>
        <w:pStyle w:val="ListBullet"/>
      </w:pPr>
      <w:r>
        <w:rPr>
          <w:rFonts w:ascii="Noto Sans" w:hAnsi="Noto Sans"/>
        </w:rPr>
        <w:t>Peroksit tamamen giderilmeli,</w:t>
      </w:r>
    </w:p>
    <w:p>
      <w:pPr>
        <w:pStyle w:val="ListBullet"/>
      </w:pPr>
      <w:r>
        <w:rPr>
          <w:rFonts w:ascii="Noto Sans" w:hAnsi="Noto Sans"/>
        </w:rPr>
        <w:t>Kontrollü soğutma uygulanmalı,</w:t>
      </w:r>
    </w:p>
    <w:p>
      <w:pPr>
        <w:pStyle w:val="ListBullet"/>
      </w:pPr>
      <w:r>
        <w:rPr>
          <w:rFonts w:ascii="Noto Sans" w:hAnsi="Noto Sans"/>
        </w:rPr>
        <w:t>Etkin durulama ve banyo değişimi sağlanmalı,</w:t>
      </w:r>
    </w:p>
    <w:p>
      <w:pPr>
        <w:pStyle w:val="ListBullet"/>
      </w:pPr>
      <w:r>
        <w:rPr>
          <w:rFonts w:ascii="Noto Sans" w:hAnsi="Noto Sans"/>
        </w:rPr>
        <w:t>Boyama öncesi kumaş pH’ı ve hidrofilitesi kontrol edilmelidir.</w:t>
      </w:r>
    </w:p>
    <w:p>
      <w:r>
        <w:rPr>
          <w:rFonts w:ascii="Noto Sans" w:hAnsi="Noto Sans"/>
        </w:rPr>
        <w:t>Kasar banyosunda uygun çalışan bir noniyonik ürünün, boya banyosunda da otomatik olarak güvenli olacağı varsayılmamalıdır.</w:t>
      </w:r>
    </w:p>
    <w:p>
      <w:pPr>
        <w:pStyle w:val="Heading1"/>
      </w:pPr>
      <w:r>
        <w:t>Boya banyosunda tercih yaklaşımı</w:t>
      </w:r>
    </w:p>
    <w:p>
      <w:r>
        <w:rPr>
          <w:rFonts w:ascii="Noto Sans" w:hAnsi="Noto Sans"/>
        </w:rPr>
        <w:t>Turkuaz ve turkuaz içeren yeşil tonlarda, ürün uyumluluğu doğrulanmamışsa öncelik genellikle:</w:t>
      </w:r>
    </w:p>
    <w:p>
      <w:pPr>
        <w:pStyle w:val="ListBullet"/>
      </w:pPr>
      <w:r>
        <w:rPr>
          <w:rFonts w:ascii="Noto Sans" w:hAnsi="Noto Sans"/>
        </w:rPr>
        <w:t xml:space="preserve">Anyonik Islatıcı / </w:t>
      </w:r>
      <w:r>
        <w:rPr>
          <w:rFonts w:ascii="Noto Sans" w:hAnsi="Noto Sans"/>
          <w:b/>
        </w:rPr>
        <w:t>Anionic Wetting Agent</w:t>
      </w:r>
    </w:p>
    <w:p>
      <w:pPr>
        <w:pStyle w:val="ListBullet"/>
      </w:pPr>
      <w:r>
        <w:rPr>
          <w:rFonts w:ascii="Noto Sans" w:hAnsi="Noto Sans"/>
        </w:rPr>
        <w:t xml:space="preserve">Anyonik Dispersan / </w:t>
      </w:r>
      <w:r>
        <w:rPr>
          <w:rFonts w:ascii="Noto Sans" w:hAnsi="Noto Sans"/>
          <w:b/>
        </w:rPr>
        <w:t>Anionic Dispersing Agent</w:t>
      </w:r>
    </w:p>
    <w:p>
      <w:pPr>
        <w:pStyle w:val="ListBullet"/>
      </w:pPr>
      <w:r>
        <w:rPr>
          <w:rFonts w:ascii="Noto Sans" w:hAnsi="Noto Sans"/>
        </w:rPr>
        <w:t xml:space="preserve">Uygun koruyucu kolloid sistemi / </w:t>
      </w:r>
      <w:r>
        <w:rPr>
          <w:rFonts w:ascii="Noto Sans" w:hAnsi="Noto Sans"/>
          <w:b/>
        </w:rPr>
        <w:t>Protective Colloid System</w:t>
      </w:r>
    </w:p>
    <w:p>
      <w:r>
        <w:rPr>
          <w:rFonts w:ascii="Noto Sans" w:hAnsi="Noto Sans"/>
        </w:rPr>
        <w:t>yönünde olmalıdır.</w:t>
      </w:r>
    </w:p>
    <w:p>
      <w:r>
        <w:rPr>
          <w:rFonts w:ascii="Noto Sans" w:hAnsi="Noto Sans"/>
        </w:rPr>
        <w:t>Bunun gerekçesi, yalnızca ıslatma değil; ftalosiyanin esaslı boyarmaddelerin yüksek elektrolit ortamındaki dispersiyon stabilitesinin korunmasıdır.</w:t>
      </w:r>
    </w:p>
    <w:p>
      <w:r>
        <w:rPr>
          <w:rFonts w:ascii="Noto Sans" w:hAnsi="Noto Sans"/>
        </w:rPr>
        <w:t>Ancak “anyonik olan her ürün uygundur” sonucu da doğru değildir. Seçilen ürünün:</w:t>
      </w:r>
    </w:p>
    <w:p>
      <w:pPr>
        <w:pStyle w:val="ListBullet"/>
      </w:pPr>
      <w:r>
        <w:rPr>
          <w:rFonts w:ascii="Noto Sans" w:hAnsi="Noto Sans"/>
        </w:rPr>
        <w:t>Boyarmadde üreticisiyle uyumluluğu,</w:t>
      </w:r>
    </w:p>
    <w:p>
      <w:pPr>
        <w:pStyle w:val="ListBullet"/>
      </w:pPr>
      <w:r>
        <w:rPr>
          <w:rFonts w:ascii="Noto Sans" w:hAnsi="Noto Sans"/>
        </w:rPr>
        <w:t>Sert su toleransı,</w:t>
      </w:r>
    </w:p>
    <w:p>
      <w:pPr>
        <w:pStyle w:val="ListBullet"/>
      </w:pPr>
      <w:r>
        <w:rPr>
          <w:rFonts w:ascii="Noto Sans" w:hAnsi="Noto Sans"/>
        </w:rPr>
        <w:t>Düşük köpük davranışı,</w:t>
      </w:r>
    </w:p>
    <w:p>
      <w:pPr>
        <w:pStyle w:val="ListBullet"/>
      </w:pPr>
      <w:r>
        <w:rPr>
          <w:rFonts w:ascii="Noto Sans" w:hAnsi="Noto Sans"/>
        </w:rPr>
        <w:t>Alkali dayanımı,</w:t>
      </w:r>
    </w:p>
    <w:p>
      <w:pPr>
        <w:pStyle w:val="ListBullet"/>
      </w:pPr>
      <w:r>
        <w:rPr>
          <w:rFonts w:ascii="Noto Sans" w:hAnsi="Noto Sans"/>
        </w:rPr>
        <w:t>Makine tipi ve flotte oranına uygunluğu</w:t>
      </w:r>
    </w:p>
    <w:p>
      <w:r>
        <w:rPr>
          <w:rFonts w:ascii="Noto Sans" w:hAnsi="Noto Sans"/>
        </w:rPr>
        <w:t>ayrıca doğrulanmalıdır.</w:t>
      </w:r>
    </w:p>
    <w:p>
      <w:pPr>
        <w:pStyle w:val="Heading1"/>
      </w:pPr>
      <w:r>
        <w:t>İşletmede uygulanacak doğrulama testleri</w:t>
      </w:r>
    </w:p>
    <w:p>
      <w:pPr>
        <w:pStyle w:val="Heading2"/>
      </w:pPr>
      <w:r>
        <w:t>1. Banyo stabilite testi</w:t>
      </w:r>
    </w:p>
    <w:p>
      <w:r>
        <w:rPr>
          <w:rFonts w:ascii="Noto Sans" w:hAnsi="Noto Sans"/>
        </w:rPr>
        <w:t>Aynı proses suyu, tuz, boya, yardımcı kimyasal ve alkali sıralaması kullanılarak laboratuvar banyosu hazırlanmalıdır. Proses sıcaklığında bekletilerek:</w:t>
      </w:r>
    </w:p>
    <w:p>
      <w:pPr>
        <w:pStyle w:val="ListBullet"/>
      </w:pPr>
      <w:r>
        <w:rPr>
          <w:rFonts w:ascii="Noto Sans" w:hAnsi="Noto Sans"/>
        </w:rPr>
        <w:t>Bulanıklık,</w:t>
      </w:r>
    </w:p>
    <w:p>
      <w:pPr>
        <w:pStyle w:val="ListBullet"/>
      </w:pPr>
      <w:r>
        <w:rPr>
          <w:rFonts w:ascii="Noto Sans" w:hAnsi="Noto Sans"/>
        </w:rPr>
        <w:t>Çökelti,</w:t>
      </w:r>
    </w:p>
    <w:p>
      <w:pPr>
        <w:pStyle w:val="ListBullet"/>
      </w:pPr>
      <w:r>
        <w:rPr>
          <w:rFonts w:ascii="Noto Sans" w:hAnsi="Noto Sans"/>
        </w:rPr>
        <w:t>Yüzey filmi,</w:t>
      </w:r>
    </w:p>
    <w:p>
      <w:pPr>
        <w:pStyle w:val="ListBullet"/>
      </w:pPr>
      <w:r>
        <w:rPr>
          <w:rFonts w:ascii="Noto Sans" w:hAnsi="Noto Sans"/>
        </w:rPr>
        <w:t>Flok oluşumu,</w:t>
      </w:r>
    </w:p>
    <w:p>
      <w:pPr>
        <w:pStyle w:val="ListBullet"/>
      </w:pPr>
      <w:r>
        <w:rPr>
          <w:rFonts w:ascii="Noto Sans" w:hAnsi="Noto Sans"/>
        </w:rPr>
        <w:t>Kap ve filtre üzerindeki birikim</w:t>
      </w:r>
    </w:p>
    <w:p>
      <w:r>
        <w:rPr>
          <w:rFonts w:ascii="Noto Sans" w:hAnsi="Noto Sans"/>
        </w:rPr>
        <w:t>kontrol edilmelidir.</w:t>
      </w:r>
    </w:p>
    <w:p>
      <w:pPr>
        <w:pStyle w:val="Heading2"/>
      </w:pPr>
      <w:r>
        <w:t>2. Filtre testi / Filter Test</w:t>
      </w:r>
    </w:p>
    <w:p>
      <w:r>
        <w:rPr>
          <w:rFonts w:ascii="Noto Sans" w:hAnsi="Noto Sans"/>
        </w:rPr>
        <w:t>Boya çözeltisi ve proses banyosu standart filtre kâğıdından geçirilmelidir. Filtre üzerinde lokal koyu birikim veya mavi-yeşil partikül tutulması, dispersiyon riskine işaret eder.</w:t>
      </w:r>
    </w:p>
    <w:p>
      <w:pPr>
        <w:pStyle w:val="Heading2"/>
      </w:pPr>
      <w:r>
        <w:t>3. Alkali sonrası kontrol</w:t>
      </w:r>
    </w:p>
    <w:p>
      <w:r>
        <w:rPr>
          <w:rFonts w:ascii="Noto Sans" w:hAnsi="Noto Sans"/>
        </w:rPr>
        <w:t>Soda veya kostik dozajından sonra banyo yeniden değerlendirilmelidir. Bazı ürünler nötr ortamda stabil görünmesine rağmen alkali geçişi sonrasında çökelme gösterebilir.</w:t>
      </w:r>
    </w:p>
    <w:p>
      <w:pPr>
        <w:pStyle w:val="Heading2"/>
      </w:pPr>
      <w:r>
        <w:t>4. Karşılaştırmalı laboratuvar boyaması</w:t>
      </w:r>
    </w:p>
    <w:p>
      <w:r>
        <w:rPr>
          <w:rFonts w:ascii="Noto Sans" w:hAnsi="Noto Sans"/>
        </w:rPr>
        <w:t>En az üç numune karşılaştırılmalıdır:</w:t>
      </w:r>
    </w:p>
    <w:p>
      <w:pPr>
        <w:pStyle w:val="ListBullet"/>
      </w:pPr>
      <w:r>
        <w:rPr>
          <w:rFonts w:ascii="Noto Sans" w:hAnsi="Noto Sans"/>
        </w:rPr>
        <w:t>Anyonik ıslatıcı kullanılan standart,</w:t>
      </w:r>
    </w:p>
    <w:p>
      <w:pPr>
        <w:pStyle w:val="ListBullet"/>
      </w:pPr>
      <w:r>
        <w:rPr>
          <w:rFonts w:ascii="Noto Sans" w:hAnsi="Noto Sans"/>
        </w:rPr>
        <w:t>Noniyonik ıslatıcı kullanılan alternatif,</w:t>
      </w:r>
    </w:p>
    <w:p>
      <w:pPr>
        <w:pStyle w:val="ListBullet"/>
      </w:pPr>
      <w:r>
        <w:rPr>
          <w:rFonts w:ascii="Noto Sans" w:hAnsi="Noto Sans"/>
        </w:rPr>
        <w:t>Islatıcı + dispersan kombinasyonu.</w:t>
      </w:r>
    </w:p>
    <w:p>
      <w:r>
        <w:rPr>
          <w:rFonts w:ascii="Noto Sans" w:hAnsi="Noto Sans"/>
        </w:rPr>
        <w:t xml:space="preserve">Değerlendirme; yalnızca gözle değil, </w:t>
      </w:r>
      <w:r>
        <w:rPr>
          <w:rFonts w:ascii="Noto Sans" w:hAnsi="Noto Sans"/>
          <w:b/>
        </w:rPr>
        <w:t>L\*a\*b\</w:t>
      </w:r>
      <w:r>
        <w:rPr>
          <w:rFonts w:ascii="Noto Sans" w:hAnsi="Noto Sans"/>
        </w:rPr>
        <w:t xml:space="preserve">*, </w:t>
      </w:r>
      <w:r>
        <w:rPr>
          <w:rFonts w:ascii="Noto Sans" w:hAnsi="Noto Sans"/>
          <w:b/>
        </w:rPr>
        <w:t>ΔE</w:t>
      </w:r>
      <w:r>
        <w:rPr>
          <w:rFonts w:ascii="Noto Sans" w:hAnsi="Noto Sans"/>
        </w:rPr>
        <w:t>, düzgünlük, yüzey temizliği ve haslık sonuçlarıyla yapılmalıdır.</w:t>
      </w:r>
    </w:p>
    <w:p>
      <w:pPr>
        <w:pStyle w:val="Heading1"/>
      </w:pPr>
      <w:r>
        <w:t>Karar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Noto Sans" w:hAnsi="Noto Sans"/>
                <w:b/>
                <w:sz w:val="17"/>
              </w:rPr>
              <w:t>Proses durumu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/>
                <w:sz w:val="17"/>
              </w:rPr>
              <w:t>Noniyonik ıslatıcı kullanımı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/>
                <w:sz w:val="17"/>
              </w:rPr>
              <w:t>Teknik karar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Kasar banyosu; alkali/peroksit dayanımı doğrulanmış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Uygun olabilir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Sıcak yıkama ve etkin durulama zorunlu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Boya banyosu; düşük tuz, düşük sıcaklık, açık ton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Şartlı olarak uygun olabilir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Gerçek reçetede stabilite testi gerekir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Yüksek tuzlu turkuaz veya koyu yeşil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Yüksek risk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Anyonik dispersiyon sistemi önceliklidir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Yüksek sıcaklık ve alkali geçişi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Ürüne bağlı yüksek risk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Cloud Point ve alkali sonrası filtre testi zorunlu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Noniyonik ürün boya banyosuna kasar taşınımıyla geliyor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Kontrol dışı risk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Durulama profili yeniden düzenlenmelidir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Ürün üreticisi gerçek reçetede uyumluluk vermiş ve testler başarılı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Kullanılabilir</w:t>
            </w:r>
          </w:p>
        </w:tc>
        <w:tc>
          <w:tcPr>
            <w:tcW w:type="dxa" w:w="3400"/>
          </w:tcPr>
          <w:p>
            <w:r>
              <w:rPr>
                <w:rFonts w:ascii="Noto Sans" w:hAnsi="Noto Sans"/>
                <w:b w:val="0"/>
                <w:sz w:val="17"/>
              </w:rPr>
              <w:t>İşletme doğrulaması ve parti takibi sürdürülmelidir</w:t>
            </w:r>
          </w:p>
        </w:tc>
      </w:tr>
    </w:tbl>
    <w:p>
      <w:pPr>
        <w:pStyle w:val="Heading1"/>
      </w:pPr>
      <w:r>
        <w:t>Sonuç</w:t>
      </w:r>
    </w:p>
    <w:p>
      <w:r>
        <w:rPr>
          <w:rFonts w:ascii="Noto Sans" w:hAnsi="Noto Sans"/>
        </w:rPr>
        <w:t xml:space="preserve">Turkuaz ve yeşil reaktif boyamalarda Anyonik Islatıcı / </w:t>
      </w:r>
      <w:r>
        <w:rPr>
          <w:rFonts w:ascii="Noto Sans" w:hAnsi="Noto Sans"/>
          <w:b/>
        </w:rPr>
        <w:t>Anionic Wetting Agent</w:t>
      </w:r>
      <w:r>
        <w:rPr>
          <w:rFonts w:ascii="Noto Sans" w:hAnsi="Noto Sans"/>
        </w:rPr>
        <w:t xml:space="preserve"> yerine Noniyonik Islatıcı / </w:t>
      </w:r>
      <w:r>
        <w:rPr>
          <w:rFonts w:ascii="Noto Sans" w:hAnsi="Noto Sans"/>
          <w:b/>
        </w:rPr>
        <w:t>Nonionic Wetting Agent</w:t>
      </w:r>
      <w:r>
        <w:rPr>
          <w:rFonts w:ascii="Noto Sans" w:hAnsi="Noto Sans"/>
        </w:rPr>
        <w:t xml:space="preserve"> kullanılıp kullanılamayacağına, yalnızca kumaşın hidrofilitesine bakılarak karar verilemez.</w:t>
      </w:r>
    </w:p>
    <w:p>
      <w:r>
        <w:rPr>
          <w:rFonts w:ascii="Noto Sans" w:hAnsi="Noto Sans"/>
        </w:rPr>
        <w:t>Esas karar kriteri şudur:</w:t>
      </w:r>
    </w:p>
    <w:p>
      <w:pPr>
        <w:ind w:left="397" w:right="283"/>
      </w:pPr>
      <w:r>
        <w:rPr>
          <w:rFonts w:ascii="Noto Sans" w:hAnsi="Noto Sans"/>
        </w:rPr>
        <w:t>Boyarmadde; gerçek tuz, sıcaklık ve alkali şartları altında banyoda çözünür, disperse ve homojen kalabiliyor mu?</w:t>
      </w:r>
    </w:p>
    <w:p>
      <w:r>
        <w:rPr>
          <w:rFonts w:ascii="Noto Sans" w:hAnsi="Noto Sans"/>
        </w:rPr>
        <w:t>Bu sorunun cevabı; teknik föy, laboratuvar stabilite testi, filtre kontrolü ve karşılaştırmalı boyama sonuçlarıyla birlikte verilmelidir.</w:t>
      </w:r>
    </w:p>
    <w:sectPr w:rsidR="00FC693F" w:rsidRPr="0006063C" w:rsidSect="00034616">
      <w:footerReference w:type="default" r:id="rId9"/>
      <w:pgSz w:w="12240" w:h="15840"/>
      <w:pgMar w:top="879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sz w:val="16"/>
      </w:rPr>
      <w:t>Bahri Budak | Teknik Yayın | BB-BOY-ISL-001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