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0A4D3" w14:textId="6D9C9097" w:rsidR="449A5356" w:rsidRDefault="449A5356" w:rsidP="1DA8A310">
      <w:pPr>
        <w:rPr>
          <w:rFonts w:ascii="Arial" w:hAnsi="Arial" w:cs="Arial"/>
        </w:rPr>
      </w:pPr>
      <w:r w:rsidRPr="1DA8A310">
        <w:rPr>
          <w:rFonts w:ascii="Arial" w:hAnsi="Arial" w:cs="Arial"/>
          <w:b/>
          <w:bCs/>
        </w:rPr>
        <w:t xml:space="preserve">Presentado por: </w:t>
      </w:r>
      <w:r w:rsidRPr="1DA8A310">
        <w:rPr>
          <w:rFonts w:ascii="Arial" w:hAnsi="Arial" w:cs="Arial"/>
        </w:rPr>
        <w:t>Luisa Fernanda Páez Triana, Nicolás Luna Niño</w:t>
      </w:r>
    </w:p>
    <w:p w14:paraId="7571B986" w14:textId="40C26154" w:rsidR="59BE3199" w:rsidRPr="003B6731" w:rsidRDefault="59BE3199" w:rsidP="46FF8781">
      <w:pPr>
        <w:rPr>
          <w:rFonts w:ascii="Arial" w:hAnsi="Arial" w:cs="Arial"/>
          <w:b/>
          <w:bCs/>
        </w:rPr>
      </w:pPr>
      <w:r w:rsidRPr="003B6731">
        <w:rPr>
          <w:rFonts w:ascii="Arial" w:hAnsi="Arial" w:cs="Arial"/>
          <w:b/>
          <w:bCs/>
        </w:rPr>
        <w:t xml:space="preserve">Pregunta: </w:t>
      </w:r>
    </w:p>
    <w:p w14:paraId="7CA33818" w14:textId="7E3C5C4E" w:rsidR="59BE3199" w:rsidRPr="003B6731" w:rsidRDefault="59BE3199" w:rsidP="46FF8781">
      <w:pPr>
        <w:rPr>
          <w:rFonts w:ascii="Arial" w:hAnsi="Arial" w:cs="Arial"/>
        </w:rPr>
      </w:pPr>
      <w:r w:rsidRPr="003B6731">
        <w:rPr>
          <w:rFonts w:ascii="Arial" w:eastAsia="Segoe UI" w:hAnsi="Arial" w:cs="Arial"/>
          <w:color w:val="201F1E"/>
        </w:rPr>
        <w:t>¿</w:t>
      </w:r>
      <w:r w:rsidR="1709931A" w:rsidRPr="003B6731">
        <w:rPr>
          <w:rFonts w:ascii="Arial" w:eastAsia="Segoe UI" w:hAnsi="Arial" w:cs="Arial"/>
          <w:color w:val="201F1E"/>
        </w:rPr>
        <w:t>Qué</w:t>
      </w:r>
      <w:r w:rsidRPr="003B6731">
        <w:rPr>
          <w:rFonts w:ascii="Arial" w:eastAsia="Segoe UI" w:hAnsi="Arial" w:cs="Arial"/>
          <w:color w:val="201F1E"/>
        </w:rPr>
        <w:t xml:space="preserve"> similitudes o diferencias hay entre los genes o rutas expresados por dos bacterias diferentes reaccionando a 3 diferentes tipos de antibióticos?</w:t>
      </w:r>
    </w:p>
    <w:p w14:paraId="7F3DDA65" w14:textId="7ADF4C30" w:rsidR="52FA8B92" w:rsidRDefault="52FA8B92" w:rsidP="10A6E6EC">
      <w:pPr>
        <w:rPr>
          <w:rFonts w:ascii="Arial" w:eastAsia="Segoe UI" w:hAnsi="Arial" w:cs="Arial"/>
          <w:b/>
          <w:bCs/>
          <w:color w:val="201F1E"/>
        </w:rPr>
      </w:pPr>
      <w:r w:rsidRPr="74A85A0C">
        <w:rPr>
          <w:rFonts w:ascii="Arial" w:eastAsia="Segoe UI" w:hAnsi="Arial" w:cs="Arial"/>
          <w:b/>
          <w:color w:val="201F1E"/>
        </w:rPr>
        <w:t>Ob</w:t>
      </w:r>
      <w:r w:rsidR="147D4BA1" w:rsidRPr="10A6E6EC">
        <w:rPr>
          <w:rFonts w:ascii="Arial" w:eastAsia="Segoe UI" w:hAnsi="Arial" w:cs="Arial"/>
          <w:b/>
          <w:bCs/>
          <w:color w:val="201F1E"/>
        </w:rPr>
        <w:t>jetivo</w:t>
      </w:r>
      <w:r w:rsidR="5913BABC" w:rsidRPr="74A85A0C">
        <w:rPr>
          <w:rFonts w:ascii="Arial" w:eastAsia="Segoe UI" w:hAnsi="Arial" w:cs="Arial"/>
          <w:b/>
          <w:bCs/>
          <w:color w:val="201F1E"/>
        </w:rPr>
        <w:t xml:space="preserve"> General</w:t>
      </w:r>
    </w:p>
    <w:p w14:paraId="4DD46C52" w14:textId="50A9A920" w:rsidR="52FA8B92" w:rsidRDefault="6CD9DA8B" w:rsidP="10A6E6EC">
      <w:pPr>
        <w:jc w:val="both"/>
        <w:rPr>
          <w:rFonts w:ascii="Arial" w:hAnsi="Arial" w:cs="Arial"/>
        </w:rPr>
      </w:pPr>
      <w:r w:rsidRPr="10A6E6EC">
        <w:rPr>
          <w:rFonts w:ascii="Arial" w:eastAsia="Segoe UI" w:hAnsi="Arial" w:cs="Arial"/>
          <w:color w:val="201F1E"/>
        </w:rPr>
        <w:t>Determinar</w:t>
      </w:r>
      <w:r w:rsidR="159B798D" w:rsidRPr="10A6E6EC">
        <w:rPr>
          <w:rFonts w:ascii="Arial" w:eastAsia="Segoe UI" w:hAnsi="Arial" w:cs="Arial"/>
          <w:color w:val="201F1E"/>
        </w:rPr>
        <w:t xml:space="preserve"> </w:t>
      </w:r>
      <w:r w:rsidR="52FA8B92" w:rsidRPr="10A6E6EC">
        <w:rPr>
          <w:rFonts w:ascii="Arial" w:eastAsia="Segoe UI" w:hAnsi="Arial" w:cs="Arial"/>
          <w:color w:val="201F1E"/>
        </w:rPr>
        <w:t>diferencias</w:t>
      </w:r>
      <w:r w:rsidR="52FA8B92" w:rsidRPr="19DDDC4F">
        <w:rPr>
          <w:rFonts w:ascii="Arial" w:eastAsia="Segoe UI" w:hAnsi="Arial" w:cs="Arial"/>
          <w:color w:val="201F1E"/>
        </w:rPr>
        <w:t xml:space="preserve"> y </w:t>
      </w:r>
      <w:r w:rsidR="63027D06" w:rsidRPr="10A6E6EC">
        <w:rPr>
          <w:rFonts w:ascii="Arial" w:eastAsia="Segoe UI" w:hAnsi="Arial" w:cs="Arial"/>
          <w:color w:val="201F1E"/>
        </w:rPr>
        <w:t>similitudes</w:t>
      </w:r>
      <w:r w:rsidR="52FA8B92" w:rsidRPr="19DDDC4F">
        <w:rPr>
          <w:rFonts w:ascii="Arial" w:eastAsia="Segoe UI" w:hAnsi="Arial" w:cs="Arial"/>
          <w:color w:val="201F1E"/>
        </w:rPr>
        <w:t xml:space="preserve"> entre los genes subexpresados, los genes sobreexpresados, y las rutas entre </w:t>
      </w:r>
      <w:r w:rsidR="52FA8B92" w:rsidRPr="19DDDC4F">
        <w:rPr>
          <w:rFonts w:ascii="Arial" w:hAnsi="Arial" w:cs="Arial"/>
          <w:i/>
          <w:iCs/>
        </w:rPr>
        <w:t>Escherichia coli</w:t>
      </w:r>
      <w:r w:rsidR="52FA8B92" w:rsidRPr="19DDDC4F">
        <w:rPr>
          <w:rFonts w:ascii="Arial" w:hAnsi="Arial" w:cs="Arial"/>
        </w:rPr>
        <w:t xml:space="preserve"> </w:t>
      </w:r>
      <w:r w:rsidR="3A48245F" w:rsidRPr="30803ECB">
        <w:rPr>
          <w:rFonts w:ascii="Arial" w:hAnsi="Arial" w:cs="Arial"/>
        </w:rPr>
        <w:t>y</w:t>
      </w:r>
      <w:r w:rsidR="52FA8B92" w:rsidRPr="30803ECB">
        <w:rPr>
          <w:rFonts w:ascii="Arial" w:hAnsi="Arial" w:cs="Arial"/>
        </w:rPr>
        <w:t xml:space="preserve"> </w:t>
      </w:r>
      <w:r w:rsidR="52FA8B92" w:rsidRPr="19DDDC4F">
        <w:rPr>
          <w:rFonts w:ascii="Arial" w:hAnsi="Arial" w:cs="Arial"/>
          <w:i/>
          <w:iCs/>
        </w:rPr>
        <w:t>Bacillus subtilis</w:t>
      </w:r>
      <w:r w:rsidR="63B5159C" w:rsidRPr="30803ECB">
        <w:rPr>
          <w:rFonts w:ascii="Arial" w:hAnsi="Arial" w:cs="Arial"/>
          <w:i/>
          <w:iCs/>
        </w:rPr>
        <w:t xml:space="preserve"> </w:t>
      </w:r>
      <w:r w:rsidR="63B5159C" w:rsidRPr="30803ECB">
        <w:rPr>
          <w:rFonts w:ascii="Arial" w:hAnsi="Arial" w:cs="Arial"/>
        </w:rPr>
        <w:t xml:space="preserve">reaccionando a tres diferentes </w:t>
      </w:r>
      <w:r w:rsidR="297CD68D" w:rsidRPr="10A6E6EC">
        <w:rPr>
          <w:rFonts w:ascii="Arial" w:hAnsi="Arial" w:cs="Arial"/>
        </w:rPr>
        <w:t>antibió</w:t>
      </w:r>
      <w:r w:rsidR="63B5159C" w:rsidRPr="10A6E6EC">
        <w:rPr>
          <w:rFonts w:ascii="Arial" w:hAnsi="Arial" w:cs="Arial"/>
        </w:rPr>
        <w:t>ticos</w:t>
      </w:r>
    </w:p>
    <w:p w14:paraId="7476639F" w14:textId="5F70316D" w:rsidR="30803ECB" w:rsidRDefault="70A3D9A0" w:rsidP="30803ECB">
      <w:pPr>
        <w:rPr>
          <w:rFonts w:ascii="Arial" w:hAnsi="Arial" w:cs="Arial"/>
          <w:b/>
        </w:rPr>
      </w:pPr>
      <w:r w:rsidRPr="74A85A0C">
        <w:rPr>
          <w:rFonts w:ascii="Arial" w:hAnsi="Arial" w:cs="Arial"/>
          <w:b/>
          <w:bCs/>
        </w:rPr>
        <w:t>Ob</w:t>
      </w:r>
      <w:r w:rsidR="01D2898C" w:rsidRPr="74A85A0C">
        <w:rPr>
          <w:rFonts w:ascii="Arial" w:hAnsi="Arial" w:cs="Arial"/>
          <w:b/>
          <w:bCs/>
        </w:rPr>
        <w:t xml:space="preserve">jetivo Especifico </w:t>
      </w:r>
    </w:p>
    <w:p w14:paraId="7EAF4D94" w14:textId="77C42065" w:rsidR="4A7EAEFA" w:rsidRDefault="57D82748" w:rsidP="464DDD5D">
      <w:pPr>
        <w:pStyle w:val="Prrafodelista"/>
        <w:numPr>
          <w:ilvl w:val="0"/>
          <w:numId w:val="1"/>
        </w:numPr>
        <w:rPr>
          <w:rFonts w:eastAsiaTheme="minorEastAsia"/>
          <w:b/>
        </w:rPr>
      </w:pPr>
      <w:r w:rsidRPr="464DDD5D">
        <w:rPr>
          <w:rFonts w:ascii="Arial" w:hAnsi="Arial" w:cs="Arial"/>
        </w:rPr>
        <w:t xml:space="preserve">Identificar los genes sobreexpresados y subexpresados en cada bacteria con cada </w:t>
      </w:r>
      <w:r w:rsidR="00995958" w:rsidRPr="464DDD5D">
        <w:rPr>
          <w:rFonts w:ascii="Arial" w:hAnsi="Arial" w:cs="Arial"/>
        </w:rPr>
        <w:t>antibiótico</w:t>
      </w:r>
      <w:r w:rsidR="00995958">
        <w:rPr>
          <w:rFonts w:ascii="Arial" w:hAnsi="Arial" w:cs="Arial"/>
        </w:rPr>
        <w:t>.</w:t>
      </w:r>
      <w:r w:rsidRPr="464DDD5D">
        <w:rPr>
          <w:rFonts w:ascii="Arial" w:hAnsi="Arial" w:cs="Arial"/>
        </w:rPr>
        <w:t xml:space="preserve"> </w:t>
      </w:r>
    </w:p>
    <w:p w14:paraId="1196A8A4" w14:textId="3A1BB4F5" w:rsidR="22567948" w:rsidRDefault="22567948" w:rsidP="464DDD5D">
      <w:pPr>
        <w:pStyle w:val="Prrafodelista"/>
        <w:numPr>
          <w:ilvl w:val="0"/>
          <w:numId w:val="1"/>
        </w:numPr>
        <w:rPr>
          <w:rFonts w:eastAsiaTheme="minorEastAsia"/>
        </w:rPr>
      </w:pPr>
      <w:r w:rsidRPr="464DDD5D">
        <w:rPr>
          <w:rFonts w:ascii="Arial" w:hAnsi="Arial" w:cs="Arial"/>
        </w:rPr>
        <w:t>Identificar funciones de los genes expresados diferencialmente</w:t>
      </w:r>
      <w:r w:rsidR="00995958">
        <w:rPr>
          <w:rFonts w:ascii="Arial" w:hAnsi="Arial" w:cs="Arial"/>
        </w:rPr>
        <w:t>.</w:t>
      </w:r>
    </w:p>
    <w:p w14:paraId="6318268B" w14:textId="53F9F4FE" w:rsidR="22567948" w:rsidRDefault="22567948" w:rsidP="464DDD5D">
      <w:pPr>
        <w:pStyle w:val="Prrafodelista"/>
        <w:numPr>
          <w:ilvl w:val="0"/>
          <w:numId w:val="1"/>
        </w:numPr>
      </w:pPr>
      <w:r w:rsidRPr="0A6E3DC4">
        <w:rPr>
          <w:rFonts w:ascii="Arial" w:hAnsi="Arial" w:cs="Arial"/>
        </w:rPr>
        <w:t xml:space="preserve">Establecer diferencias entre los genes </w:t>
      </w:r>
      <w:r w:rsidR="19BE507F" w:rsidRPr="0A6E3DC4">
        <w:rPr>
          <w:rFonts w:ascii="Arial" w:hAnsi="Arial" w:cs="Arial"/>
        </w:rPr>
        <w:t>expresados entre bacterias con el mismo tratamiento</w:t>
      </w:r>
      <w:r w:rsidR="00995958">
        <w:rPr>
          <w:rFonts w:ascii="Arial" w:hAnsi="Arial" w:cs="Arial"/>
        </w:rPr>
        <w:t>.</w:t>
      </w:r>
    </w:p>
    <w:p w14:paraId="3C70A1A9" w14:textId="373893E2" w:rsidR="19BE507F" w:rsidRDefault="19BE507F" w:rsidP="0A6E3DC4">
      <w:pPr>
        <w:pStyle w:val="Prrafodelista"/>
        <w:numPr>
          <w:ilvl w:val="0"/>
          <w:numId w:val="1"/>
        </w:numPr>
      </w:pPr>
      <w:r w:rsidRPr="35218B8A">
        <w:rPr>
          <w:rFonts w:ascii="Arial" w:hAnsi="Arial" w:cs="Arial"/>
        </w:rPr>
        <w:t>Establecer diferencias entre los genes expresados entre tratamientos en la misma bacteria</w:t>
      </w:r>
      <w:r w:rsidR="00995958">
        <w:rPr>
          <w:rFonts w:ascii="Arial" w:hAnsi="Arial" w:cs="Arial"/>
        </w:rPr>
        <w:t>.</w:t>
      </w:r>
    </w:p>
    <w:p w14:paraId="00557223" w14:textId="108E1641" w:rsidR="19BE507F" w:rsidRDefault="19BE507F" w:rsidP="35218B8A">
      <w:pPr>
        <w:pStyle w:val="Prrafodelista"/>
        <w:numPr>
          <w:ilvl w:val="0"/>
          <w:numId w:val="1"/>
        </w:numPr>
      </w:pPr>
      <w:r w:rsidRPr="35218B8A">
        <w:rPr>
          <w:rFonts w:ascii="Arial" w:hAnsi="Arial" w:cs="Arial"/>
        </w:rPr>
        <w:t>Identificar rutas comunes entre tratamientos en la misma bacteria y entre bacterias con el mismo tratamiento</w:t>
      </w:r>
      <w:r w:rsidR="00995958">
        <w:rPr>
          <w:rFonts w:ascii="Arial" w:hAnsi="Arial" w:cs="Arial"/>
        </w:rPr>
        <w:t>.</w:t>
      </w:r>
    </w:p>
    <w:p w14:paraId="5C1A07E2" w14:textId="40C26154" w:rsidR="00301517" w:rsidRPr="003B6731" w:rsidRDefault="0CE5BAEA">
      <w:pPr>
        <w:rPr>
          <w:rFonts w:ascii="Arial" w:hAnsi="Arial" w:cs="Arial"/>
          <w:b/>
          <w:bCs/>
        </w:rPr>
      </w:pPr>
      <w:r w:rsidRPr="003B6731">
        <w:rPr>
          <w:rFonts w:ascii="Arial" w:hAnsi="Arial" w:cs="Arial"/>
          <w:b/>
          <w:bCs/>
        </w:rPr>
        <w:t>Metodol</w:t>
      </w:r>
      <w:r w:rsidR="002527A2" w:rsidRPr="003B6731">
        <w:rPr>
          <w:rFonts w:ascii="Arial" w:hAnsi="Arial" w:cs="Arial"/>
          <w:b/>
          <w:bCs/>
        </w:rPr>
        <w:t>ogía</w:t>
      </w:r>
    </w:p>
    <w:p w14:paraId="0B3EB44D" w14:textId="5810B5E9" w:rsidR="00E03887" w:rsidRDefault="003B7644" w:rsidP="00D951A0">
      <w:pPr>
        <w:jc w:val="both"/>
        <w:rPr>
          <w:rFonts w:ascii="Arial" w:hAnsi="Arial" w:cs="Arial"/>
        </w:rPr>
      </w:pPr>
      <w:r w:rsidRPr="003B6731">
        <w:rPr>
          <w:rFonts w:ascii="Arial" w:hAnsi="Arial" w:cs="Arial"/>
        </w:rPr>
        <w:t>Se descargar</w:t>
      </w:r>
      <w:r w:rsidR="00AA792E" w:rsidRPr="003B6731">
        <w:rPr>
          <w:rFonts w:ascii="Arial" w:hAnsi="Arial" w:cs="Arial"/>
        </w:rPr>
        <w:t>á</w:t>
      </w:r>
      <w:r w:rsidRPr="003B6731">
        <w:rPr>
          <w:rFonts w:ascii="Arial" w:hAnsi="Arial" w:cs="Arial"/>
        </w:rPr>
        <w:t>n los archivos asociados a</w:t>
      </w:r>
      <w:r w:rsidR="00AA792E" w:rsidRPr="003B6731">
        <w:rPr>
          <w:rFonts w:ascii="Arial" w:hAnsi="Arial" w:cs="Arial"/>
        </w:rPr>
        <w:t xml:space="preserve">l paper, </w:t>
      </w:r>
      <w:r w:rsidR="003B6731">
        <w:rPr>
          <w:rFonts w:ascii="Arial" w:hAnsi="Arial" w:cs="Arial"/>
        </w:rPr>
        <w:t xml:space="preserve">perfil de </w:t>
      </w:r>
      <w:r w:rsidR="00AA792E" w:rsidRPr="003B6731">
        <w:rPr>
          <w:rFonts w:ascii="Arial" w:hAnsi="Arial" w:cs="Arial"/>
        </w:rPr>
        <w:t>expresión</w:t>
      </w:r>
      <w:r w:rsidR="003B6731">
        <w:rPr>
          <w:rFonts w:ascii="Arial" w:hAnsi="Arial" w:cs="Arial"/>
        </w:rPr>
        <w:t xml:space="preserve"> </w:t>
      </w:r>
      <w:r w:rsidR="00AA792E" w:rsidRPr="003B6731">
        <w:rPr>
          <w:rFonts w:ascii="Arial" w:hAnsi="Arial" w:cs="Arial"/>
        </w:rPr>
        <w:t xml:space="preserve">a diferentes </w:t>
      </w:r>
      <w:r w:rsidR="00E03887">
        <w:rPr>
          <w:rFonts w:ascii="Arial" w:hAnsi="Arial" w:cs="Arial"/>
        </w:rPr>
        <w:t>antibióticos</w:t>
      </w:r>
      <w:r w:rsidR="00053348" w:rsidRPr="003B6731">
        <w:rPr>
          <w:rFonts w:ascii="Arial" w:hAnsi="Arial" w:cs="Arial"/>
        </w:rPr>
        <w:t xml:space="preserve"> (</w:t>
      </w:r>
      <w:r w:rsidR="00C6308A" w:rsidRPr="003B6731">
        <w:rPr>
          <w:rFonts w:ascii="Arial" w:hAnsi="Arial" w:cs="Arial"/>
          <w:color w:val="000000"/>
          <w:shd w:val="clear" w:color="auto" w:fill="FFFFFF"/>
        </w:rPr>
        <w:t>PGRP</w:t>
      </w:r>
      <w:r w:rsidR="003B6731">
        <w:rPr>
          <w:rFonts w:ascii="Arial" w:hAnsi="Arial" w:cs="Arial"/>
          <w:color w:val="000000"/>
          <w:shd w:val="clear" w:color="auto" w:fill="FFFFFF"/>
        </w:rPr>
        <w:t xml:space="preserve">, </w:t>
      </w:r>
      <w:r w:rsidR="003B6731" w:rsidRPr="003B6731">
        <w:rPr>
          <w:rFonts w:ascii="Arial" w:hAnsi="Arial" w:cs="Arial"/>
          <w:color w:val="000000"/>
          <w:shd w:val="clear" w:color="auto" w:fill="FFFFFF"/>
        </w:rPr>
        <w:t>gentamicin</w:t>
      </w:r>
      <w:r w:rsidR="003B6731">
        <w:rPr>
          <w:rFonts w:ascii="Arial" w:hAnsi="Arial" w:cs="Arial"/>
          <w:color w:val="000000"/>
          <w:shd w:val="clear" w:color="auto" w:fill="FFFFFF"/>
        </w:rPr>
        <w:t xml:space="preserve">a y </w:t>
      </w:r>
      <w:r w:rsidR="003B6731" w:rsidRPr="003B6731">
        <w:rPr>
          <w:rFonts w:ascii="Arial" w:hAnsi="Arial" w:cs="Arial"/>
          <w:color w:val="000000"/>
          <w:shd w:val="clear" w:color="auto" w:fill="FFFFFF"/>
        </w:rPr>
        <w:t>CCCP</w:t>
      </w:r>
      <w:r w:rsidR="00053348" w:rsidRPr="003B6731">
        <w:rPr>
          <w:rFonts w:ascii="Arial" w:hAnsi="Arial" w:cs="Arial"/>
        </w:rPr>
        <w:t>)</w:t>
      </w:r>
      <w:r w:rsidR="003B6731">
        <w:rPr>
          <w:rFonts w:ascii="Arial" w:hAnsi="Arial" w:cs="Arial"/>
        </w:rPr>
        <w:t xml:space="preserve"> en </w:t>
      </w:r>
      <w:r w:rsidR="003B6731" w:rsidRPr="00091A46">
        <w:rPr>
          <w:rFonts w:ascii="Arial" w:hAnsi="Arial" w:cs="Arial"/>
          <w:i/>
          <w:iCs/>
        </w:rPr>
        <w:t>Escherichia coli</w:t>
      </w:r>
      <w:r w:rsidR="00D951A0">
        <w:rPr>
          <w:rFonts w:ascii="Arial" w:hAnsi="Arial" w:cs="Arial"/>
        </w:rPr>
        <w:t xml:space="preserve"> </w:t>
      </w:r>
      <w:r w:rsidR="003B6731">
        <w:rPr>
          <w:rFonts w:ascii="Arial" w:hAnsi="Arial" w:cs="Arial"/>
        </w:rPr>
        <w:t xml:space="preserve">y </w:t>
      </w:r>
      <w:r w:rsidR="003B6731" w:rsidRPr="00C84130">
        <w:rPr>
          <w:rFonts w:ascii="Arial" w:hAnsi="Arial" w:cs="Arial"/>
          <w:i/>
          <w:iCs/>
        </w:rPr>
        <w:t>Bacillus subtilis</w:t>
      </w:r>
      <w:r w:rsidR="003B6731">
        <w:rPr>
          <w:rFonts w:ascii="Arial" w:hAnsi="Arial" w:cs="Arial"/>
        </w:rPr>
        <w:t>.</w:t>
      </w:r>
      <w:r w:rsidR="00D951A0">
        <w:rPr>
          <w:rFonts w:ascii="Arial" w:hAnsi="Arial" w:cs="Arial"/>
        </w:rPr>
        <w:t xml:space="preserve"> Para el análisis y comparación del perfil de expresión, se concatenarán los resultados de ambos organi</w:t>
      </w:r>
      <w:r w:rsidR="00E03887">
        <w:rPr>
          <w:rFonts w:ascii="Arial" w:hAnsi="Arial" w:cs="Arial"/>
        </w:rPr>
        <w:t>smos 7 se</w:t>
      </w:r>
      <w:r w:rsidR="00D951A0">
        <w:rPr>
          <w:rFonts w:ascii="Arial" w:hAnsi="Arial" w:cs="Arial"/>
        </w:rPr>
        <w:t xml:space="preserve"> subirán a la plataforma Galaxy</w:t>
      </w:r>
      <w:r w:rsidR="00E03887">
        <w:rPr>
          <w:rFonts w:ascii="Arial" w:hAnsi="Arial" w:cs="Arial"/>
        </w:rPr>
        <w:t>. Mediante un heatmap y un volcano plot, se establecerá para cada organismo y antibiótico</w:t>
      </w:r>
      <w:r w:rsidR="00E03887" w:rsidRPr="003B6731">
        <w:rPr>
          <w:rFonts w:ascii="Arial" w:hAnsi="Arial" w:cs="Arial"/>
        </w:rPr>
        <w:t xml:space="preserve"> </w:t>
      </w:r>
      <w:r w:rsidR="00E03887">
        <w:rPr>
          <w:rFonts w:ascii="Arial" w:hAnsi="Arial" w:cs="Arial"/>
        </w:rPr>
        <w:t>que genes se están sobreexpresando o subexpresenado.</w:t>
      </w:r>
    </w:p>
    <w:p w14:paraId="680E336D" w14:textId="18827F4B" w:rsidR="00EC2598" w:rsidRDefault="1D2F4C86" w:rsidP="002D408C">
      <w:pPr>
        <w:jc w:val="both"/>
        <w:rPr>
          <w:rFonts w:ascii="Arial" w:hAnsi="Arial" w:cs="Arial"/>
        </w:rPr>
      </w:pPr>
      <w:r w:rsidRPr="1DA8A310">
        <w:rPr>
          <w:rFonts w:ascii="Arial" w:hAnsi="Arial" w:cs="Arial"/>
        </w:rPr>
        <w:t>Una vez identificados, se</w:t>
      </w:r>
      <w:r w:rsidR="3C54F500" w:rsidRPr="1DA8A310">
        <w:rPr>
          <w:rFonts w:ascii="Arial" w:hAnsi="Arial" w:cs="Arial"/>
        </w:rPr>
        <w:t xml:space="preserve"> establecerá </w:t>
      </w:r>
      <w:r w:rsidR="29176EFC" w:rsidRPr="1DA8A310">
        <w:rPr>
          <w:rFonts w:ascii="Arial" w:hAnsi="Arial" w:cs="Arial"/>
        </w:rPr>
        <w:t xml:space="preserve">para cada especie </w:t>
      </w:r>
      <w:r w:rsidR="3C54F500" w:rsidRPr="1DA8A310">
        <w:rPr>
          <w:rFonts w:ascii="Arial" w:hAnsi="Arial" w:cs="Arial"/>
        </w:rPr>
        <w:t xml:space="preserve">que rutas biológicas están interviniendo en cada tratamiento. </w:t>
      </w:r>
      <w:r w:rsidR="78C2D133" w:rsidRPr="1DA8A310">
        <w:rPr>
          <w:rFonts w:ascii="Arial" w:hAnsi="Arial" w:cs="Arial"/>
        </w:rPr>
        <w:t xml:space="preserve">Posteriormente, </w:t>
      </w:r>
      <w:r w:rsidR="429D93DD" w:rsidRPr="1DA8A310">
        <w:rPr>
          <w:rFonts w:ascii="Arial" w:hAnsi="Arial" w:cs="Arial"/>
        </w:rPr>
        <w:t xml:space="preserve">se comparará las rutas y genes </w:t>
      </w:r>
      <w:r w:rsidR="506D4177" w:rsidRPr="1DA8A310">
        <w:rPr>
          <w:rFonts w:ascii="Arial" w:hAnsi="Arial" w:cs="Arial"/>
        </w:rPr>
        <w:t>entre cada tratamiento y entre especies</w:t>
      </w:r>
      <w:r w:rsidR="615A5C46" w:rsidRPr="1DA8A310">
        <w:rPr>
          <w:rFonts w:ascii="Arial" w:hAnsi="Arial" w:cs="Arial"/>
        </w:rPr>
        <w:t>.</w:t>
      </w:r>
      <w:r w:rsidR="26149EDB" w:rsidRPr="1DA8A310">
        <w:rPr>
          <w:rFonts w:ascii="Arial" w:hAnsi="Arial" w:cs="Arial"/>
        </w:rPr>
        <w:t xml:space="preserve"> Finalmente, </w:t>
      </w:r>
      <w:r w:rsidR="3CC0E248" w:rsidRPr="1DA8A310">
        <w:rPr>
          <w:rFonts w:ascii="Arial" w:hAnsi="Arial" w:cs="Arial"/>
        </w:rPr>
        <w:t>se realizará un análisis comparativo de las rutas o genes involucrados para cada antibiótico con otras referencias de resistencia bacteriana.</w:t>
      </w:r>
    </w:p>
    <w:p w14:paraId="64AF7A2D" w14:textId="5EF175A8" w:rsidR="0EBE4B8F" w:rsidRDefault="0EBE4B8F" w:rsidP="1DA8A310">
      <w:pPr>
        <w:jc w:val="both"/>
      </w:pPr>
      <w:r>
        <w:rPr>
          <w:noProof/>
        </w:rPr>
        <w:lastRenderedPageBreak/>
        <w:drawing>
          <wp:inline distT="0" distB="0" distL="0" distR="0" wp14:anchorId="4D18E4DB" wp14:editId="2CA318E1">
            <wp:extent cx="5842372" cy="2957700"/>
            <wp:effectExtent l="0" t="0" r="0" b="0"/>
            <wp:docPr id="138201639" name="Imagen 13820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42372" cy="2957700"/>
                    </a:xfrm>
                    <a:prstGeom prst="rect">
                      <a:avLst/>
                    </a:prstGeom>
                  </pic:spPr>
                </pic:pic>
              </a:graphicData>
            </a:graphic>
          </wp:inline>
        </w:drawing>
      </w:r>
    </w:p>
    <w:p w14:paraId="74A44396" w14:textId="51DE182C" w:rsidR="00065C1F" w:rsidRPr="004A23CB" w:rsidRDefault="00065C1F" w:rsidP="00065C1F">
      <w:pPr>
        <w:jc w:val="both"/>
        <w:rPr>
          <w:rFonts w:ascii="Arial" w:hAnsi="Arial" w:cs="Arial"/>
          <w:b/>
          <w:bCs/>
        </w:rPr>
      </w:pPr>
      <w:r w:rsidRPr="004A23CB">
        <w:rPr>
          <w:rFonts w:ascii="Arial" w:hAnsi="Arial" w:cs="Arial"/>
          <w:b/>
          <w:bCs/>
        </w:rPr>
        <w:t>Pregunta</w:t>
      </w:r>
      <w:r w:rsidR="00CD3A62" w:rsidRPr="004A23CB">
        <w:rPr>
          <w:rFonts w:ascii="Arial" w:hAnsi="Arial" w:cs="Arial"/>
          <w:b/>
          <w:bCs/>
        </w:rPr>
        <w:t>s:</w:t>
      </w:r>
    </w:p>
    <w:p w14:paraId="62F787D8" w14:textId="51DE182C" w:rsidR="3158ADD7" w:rsidRDefault="3158ADD7" w:rsidP="7FCB6AE4">
      <w:pPr>
        <w:spacing w:line="257" w:lineRule="auto"/>
        <w:jc w:val="both"/>
        <w:rPr>
          <w:rFonts w:ascii="Arial" w:eastAsia="Arial" w:hAnsi="Arial" w:cs="Arial"/>
          <w:b/>
          <w:bCs/>
          <w:lang w:val="es"/>
        </w:rPr>
      </w:pPr>
      <w:r w:rsidRPr="7FCB6AE4">
        <w:rPr>
          <w:rFonts w:ascii="Arial" w:eastAsia="Arial" w:hAnsi="Arial" w:cs="Arial"/>
          <w:b/>
          <w:bCs/>
          <w:lang w:val="es"/>
        </w:rPr>
        <w:t>Pregunta de Paula Torres y David Cardona</w:t>
      </w:r>
    </w:p>
    <w:p w14:paraId="6CAB5E4B" w14:textId="51DE182C" w:rsidR="3158ADD7" w:rsidRDefault="3158ADD7" w:rsidP="7FCB6AE4">
      <w:pPr>
        <w:spacing w:line="257" w:lineRule="auto"/>
        <w:jc w:val="both"/>
        <w:rPr>
          <w:rFonts w:ascii="Arial" w:eastAsia="Arial" w:hAnsi="Arial" w:cs="Arial"/>
          <w:b/>
          <w:bCs/>
          <w:lang w:val="es"/>
        </w:rPr>
      </w:pPr>
      <w:r w:rsidRPr="7FCB6AE4">
        <w:rPr>
          <w:rFonts w:ascii="Arial" w:eastAsia="Arial" w:hAnsi="Arial" w:cs="Arial"/>
          <w:b/>
          <w:bCs/>
          <w:lang w:val="es"/>
        </w:rPr>
        <w:t>¿Como identificar diferencias si se está trabajando con cepas/especies diferentes?</w:t>
      </w:r>
    </w:p>
    <w:p w14:paraId="135B096F" w14:textId="51DE182C" w:rsidR="3158ADD7" w:rsidRDefault="3158ADD7" w:rsidP="7FCB6AE4">
      <w:pPr>
        <w:spacing w:line="257" w:lineRule="auto"/>
        <w:jc w:val="both"/>
      </w:pPr>
      <w:r w:rsidRPr="7FCB6AE4">
        <w:rPr>
          <w:rFonts w:ascii="Arial" w:eastAsia="Arial" w:hAnsi="Arial" w:cs="Arial"/>
          <w:lang w:val="es"/>
        </w:rPr>
        <w:t xml:space="preserve">Al momento de identificar entre tratamientos no tendremos este problema ya que las cepas son las mismas: para </w:t>
      </w:r>
      <w:r w:rsidRPr="7FCB6AE4">
        <w:rPr>
          <w:rFonts w:ascii="Arial" w:eastAsia="Arial" w:hAnsi="Arial" w:cs="Arial"/>
          <w:i/>
          <w:iCs/>
          <w:lang w:val="es"/>
        </w:rPr>
        <w:t>E.coli</w:t>
      </w:r>
      <w:r w:rsidRPr="7FCB6AE4">
        <w:rPr>
          <w:rFonts w:ascii="Arial" w:eastAsia="Arial" w:hAnsi="Arial" w:cs="Arial"/>
          <w:lang w:val="es"/>
        </w:rPr>
        <w:t xml:space="preserve"> es la cepa 168 en todos los tratamientos inclusive los controles, para </w:t>
      </w:r>
      <w:r w:rsidRPr="7FCB6AE4">
        <w:rPr>
          <w:rFonts w:ascii="Arial" w:eastAsia="Arial" w:hAnsi="Arial" w:cs="Arial"/>
          <w:i/>
          <w:iCs/>
          <w:lang w:val="es"/>
        </w:rPr>
        <w:t xml:space="preserve">B. subtilis </w:t>
      </w:r>
      <w:r w:rsidRPr="7FCB6AE4">
        <w:rPr>
          <w:rFonts w:ascii="Arial" w:eastAsia="Arial" w:hAnsi="Arial" w:cs="Arial"/>
          <w:lang w:val="es"/>
        </w:rPr>
        <w:t xml:space="preserve">K12 subcepa MG1655 también en todos los tratamientos inclusive los controles. </w:t>
      </w:r>
    </w:p>
    <w:p w14:paraId="0847E653" w14:textId="06854399" w:rsidR="3158ADD7" w:rsidRDefault="3158ADD7" w:rsidP="7FCB6AE4">
      <w:pPr>
        <w:spacing w:line="257" w:lineRule="auto"/>
        <w:jc w:val="both"/>
      </w:pPr>
      <w:r w:rsidRPr="7FCB6AE4">
        <w:rPr>
          <w:rFonts w:ascii="Arial" w:eastAsia="Arial" w:hAnsi="Arial" w:cs="Arial"/>
          <w:lang w:val="es"/>
        </w:rPr>
        <w:t xml:space="preserve">Para analizar lo primero que se debe comparar es controles respecto a tratamientos, esto para diferenciar lo </w:t>
      </w:r>
      <w:r w:rsidR="009E451D">
        <w:rPr>
          <w:rFonts w:ascii="Arial" w:eastAsia="Arial" w:hAnsi="Arial" w:cs="Arial"/>
          <w:lang w:val="es"/>
        </w:rPr>
        <w:t>sobre</w:t>
      </w:r>
      <w:r w:rsidRPr="7FCB6AE4">
        <w:rPr>
          <w:rFonts w:ascii="Arial" w:eastAsia="Arial" w:hAnsi="Arial" w:cs="Arial"/>
          <w:lang w:val="es"/>
        </w:rPr>
        <w:t xml:space="preserve">expresado o subexpresado a causa del antibiótico y cuáles no. Esto nos dará paso para analizar entre tratamientos de la misma cepa (bacteria) y para realizar el análisis entre especies diferentes. </w:t>
      </w:r>
    </w:p>
    <w:p w14:paraId="26E2B2E0" w14:textId="16CC4B01" w:rsidR="3158ADD7" w:rsidRDefault="3158ADD7" w:rsidP="7FCB6AE4">
      <w:pPr>
        <w:spacing w:line="257" w:lineRule="auto"/>
        <w:jc w:val="both"/>
      </w:pPr>
      <w:r w:rsidRPr="7FCB6AE4">
        <w:rPr>
          <w:rFonts w:ascii="Arial" w:eastAsia="Arial" w:hAnsi="Arial" w:cs="Arial"/>
          <w:lang w:val="es"/>
        </w:rPr>
        <w:t xml:space="preserve">Para la última parte, enfrentamos el problema de diferentes especies, para esto se pueden realizar dos metodologías.  La primera es el meta - análisis de expresión </w:t>
      </w:r>
      <w:r w:rsidRPr="6720C7E3">
        <w:rPr>
          <w:rFonts w:ascii="Arial" w:eastAsia="Arial" w:hAnsi="Arial" w:cs="Arial"/>
          <w:lang w:val="es"/>
        </w:rPr>
        <w:t>(</w:t>
      </w:r>
      <w:r w:rsidR="683C9A20" w:rsidRPr="6720C7E3">
        <w:rPr>
          <w:rFonts w:ascii="Arial" w:eastAsia="Arial" w:hAnsi="Arial" w:cs="Arial"/>
          <w:lang w:val="es"/>
        </w:rPr>
        <w:t>Lu et al., 2009</w:t>
      </w:r>
      <w:r w:rsidRPr="6720C7E3">
        <w:rPr>
          <w:rFonts w:ascii="Arial" w:eastAsia="Arial" w:hAnsi="Arial" w:cs="Arial"/>
          <w:lang w:val="es"/>
        </w:rPr>
        <w:t>),</w:t>
      </w:r>
      <w:r w:rsidRPr="7FCB6AE4">
        <w:rPr>
          <w:rFonts w:ascii="Arial" w:eastAsia="Arial" w:hAnsi="Arial" w:cs="Arial"/>
          <w:lang w:val="es"/>
        </w:rPr>
        <w:t xml:space="preserve"> que compara directamente la expresión de genes ortólogos que están bajo condiciones similares, basándose en comprar listas de genes expresados diferencialmente (DEGs). Dentro de esta metodología hay varios métodos como el método basado en rangos, que se </w:t>
      </w:r>
      <w:r w:rsidR="7572A416" w:rsidRPr="6720C7E3">
        <w:rPr>
          <w:rFonts w:ascii="Arial" w:eastAsia="Arial" w:hAnsi="Arial" w:cs="Arial"/>
          <w:lang w:val="es"/>
        </w:rPr>
        <w:t>h</w:t>
      </w:r>
      <w:r w:rsidRPr="6720C7E3">
        <w:rPr>
          <w:rFonts w:ascii="Arial" w:eastAsia="Arial" w:hAnsi="Arial" w:cs="Arial"/>
          <w:lang w:val="es"/>
        </w:rPr>
        <w:t>a</w:t>
      </w:r>
      <w:r w:rsidRPr="7FCB6AE4">
        <w:rPr>
          <w:rFonts w:ascii="Arial" w:eastAsia="Arial" w:hAnsi="Arial" w:cs="Arial"/>
          <w:lang w:val="es"/>
        </w:rPr>
        <w:t xml:space="preserve"> utilizado en estudios para comparar expresión entre dos plantas en diferentes condiciones ambientales. Métodos basados en rangos ordenan los genes dependiendo de su significancia de expresión diferencia y luego agrega el rango de cada gen a través de los estudios esto permiten superar las diferencias en las comparaciones de valores de P. El método que podremos usar s</w:t>
      </w:r>
      <w:r w:rsidR="00CB3398">
        <w:rPr>
          <w:rFonts w:ascii="Arial" w:eastAsia="Arial" w:hAnsi="Arial" w:cs="Arial"/>
          <w:lang w:val="es"/>
        </w:rPr>
        <w:t>e llama</w:t>
      </w:r>
      <w:r w:rsidRPr="7FCB6AE4">
        <w:rPr>
          <w:rFonts w:ascii="Arial" w:eastAsia="Arial" w:hAnsi="Arial" w:cs="Arial"/>
          <w:lang w:val="es"/>
        </w:rPr>
        <w:t xml:space="preserve"> Producto de rango, que devuelve</w:t>
      </w:r>
      <w:r w:rsidR="00F02200">
        <w:rPr>
          <w:rFonts w:ascii="Arial" w:eastAsia="Arial" w:hAnsi="Arial" w:cs="Arial"/>
          <w:lang w:val="es"/>
        </w:rPr>
        <w:t xml:space="preserve"> </w:t>
      </w:r>
      <w:r w:rsidRPr="7FCB6AE4">
        <w:rPr>
          <w:rFonts w:ascii="Arial" w:eastAsia="Arial" w:hAnsi="Arial" w:cs="Arial"/>
          <w:lang w:val="es"/>
        </w:rPr>
        <w:t xml:space="preserve">genes subregulados y sobreregulados, su cambio de pliegue (FC), valores p y porcentaje de predicciones falsas (PFP). Esta se podrá realizar por la función RPadvance del paque RankProd. </w:t>
      </w:r>
    </w:p>
    <w:p w14:paraId="5562C016" w14:textId="2471540C" w:rsidR="3158ADD7" w:rsidRDefault="3158ADD7" w:rsidP="7FCB6AE4">
      <w:pPr>
        <w:spacing w:line="257" w:lineRule="auto"/>
        <w:jc w:val="both"/>
      </w:pPr>
      <w:r w:rsidRPr="7FCB6AE4">
        <w:rPr>
          <w:rFonts w:ascii="Arial" w:eastAsia="Arial" w:hAnsi="Arial" w:cs="Arial"/>
          <w:color w:val="000000" w:themeColor="text1"/>
          <w:lang w:val="es-MX"/>
        </w:rPr>
        <w:t xml:space="preserve">Otro método que podemos aplicar es un metaanálisis de coexpresión, este observa la coexpresión de los genes por especie y luego combina para inferir módulos de genes. </w:t>
      </w:r>
    </w:p>
    <w:p w14:paraId="4FDBE8BE" w14:textId="2B1F5340" w:rsidR="59AB3FEC" w:rsidRDefault="59AB3FEC" w:rsidP="0B412BC1">
      <w:pPr>
        <w:spacing w:line="257" w:lineRule="auto"/>
        <w:jc w:val="both"/>
        <w:rPr>
          <w:rFonts w:ascii="Arial" w:eastAsia="Arial" w:hAnsi="Arial" w:cs="Arial"/>
          <w:b/>
          <w:bCs/>
          <w:color w:val="000000" w:themeColor="text1"/>
          <w:lang w:val="es-MX"/>
        </w:rPr>
      </w:pPr>
      <w:r w:rsidRPr="0B412BC1">
        <w:rPr>
          <w:rFonts w:ascii="Arial" w:eastAsia="Arial" w:hAnsi="Arial" w:cs="Arial"/>
          <w:b/>
          <w:bCs/>
          <w:color w:val="000000" w:themeColor="text1"/>
          <w:lang w:val="es-MX"/>
        </w:rPr>
        <w:t>Pregunta por Cesar Payan</w:t>
      </w:r>
    </w:p>
    <w:p w14:paraId="5CC1B9A4" w14:textId="77777777" w:rsidR="00065C1F" w:rsidRPr="005320B2" w:rsidRDefault="00065C1F" w:rsidP="002532E0">
      <w:pPr>
        <w:jc w:val="both"/>
        <w:rPr>
          <w:rFonts w:ascii="Arial" w:hAnsi="Arial" w:cs="Arial"/>
          <w:b/>
          <w:bCs/>
        </w:rPr>
      </w:pPr>
      <w:r w:rsidRPr="005320B2">
        <w:rPr>
          <w:rFonts w:ascii="Arial" w:hAnsi="Arial" w:cs="Arial"/>
          <w:b/>
          <w:bCs/>
        </w:rPr>
        <w:t xml:space="preserve">¿Qué estrategias se van a realizar o a tomar en cuenta para un posible efecto Batch?  </w:t>
      </w:r>
    </w:p>
    <w:p w14:paraId="1B6610F0" w14:textId="38600157" w:rsidR="00330351" w:rsidRDefault="00065C1F" w:rsidP="002532E0">
      <w:pPr>
        <w:jc w:val="both"/>
        <w:rPr>
          <w:rFonts w:ascii="Arial" w:hAnsi="Arial" w:cs="Arial"/>
        </w:rPr>
      </w:pPr>
      <w:r w:rsidRPr="083CCA27">
        <w:rPr>
          <w:rFonts w:ascii="Arial" w:hAnsi="Arial" w:cs="Arial"/>
        </w:rPr>
        <w:lastRenderedPageBreak/>
        <w:t>En primer lugar, para cada tratamiento se utilizaron la misma cepa</w:t>
      </w:r>
      <w:r w:rsidR="002532E0">
        <w:rPr>
          <w:rFonts w:ascii="Arial" w:hAnsi="Arial" w:cs="Arial"/>
        </w:rPr>
        <w:t xml:space="preserve"> wild type</w:t>
      </w:r>
      <w:r w:rsidRPr="083CCA27">
        <w:rPr>
          <w:rFonts w:ascii="Arial" w:hAnsi="Arial" w:cs="Arial"/>
        </w:rPr>
        <w:t xml:space="preserve">, </w:t>
      </w:r>
      <w:r w:rsidR="001A72F4">
        <w:rPr>
          <w:rFonts w:ascii="Arial" w:hAnsi="Arial" w:cs="Arial"/>
        </w:rPr>
        <w:t>MG1655 (</w:t>
      </w:r>
      <w:r w:rsidR="001A72F4" w:rsidRPr="003A5EB8">
        <w:rPr>
          <w:rFonts w:ascii="Arial" w:hAnsi="Arial" w:cs="Arial"/>
          <w:i/>
          <w:iCs/>
        </w:rPr>
        <w:t>E. coli</w:t>
      </w:r>
      <w:r w:rsidR="001A72F4">
        <w:rPr>
          <w:rFonts w:ascii="Arial" w:hAnsi="Arial" w:cs="Arial"/>
        </w:rPr>
        <w:t>) y</w:t>
      </w:r>
      <w:r w:rsidR="00330351">
        <w:rPr>
          <w:rFonts w:ascii="Arial" w:hAnsi="Arial" w:cs="Arial"/>
        </w:rPr>
        <w:t xml:space="preserve"> </w:t>
      </w:r>
      <w:r w:rsidR="002815D7">
        <w:rPr>
          <w:rFonts w:ascii="Arial" w:hAnsi="Arial" w:cs="Arial"/>
        </w:rPr>
        <w:t xml:space="preserve">168 </w:t>
      </w:r>
      <w:r w:rsidR="00330351">
        <w:rPr>
          <w:rFonts w:ascii="Arial" w:hAnsi="Arial" w:cs="Arial"/>
        </w:rPr>
        <w:t>(</w:t>
      </w:r>
      <w:r w:rsidR="00330351" w:rsidRPr="00330351">
        <w:rPr>
          <w:rFonts w:ascii="Arial" w:hAnsi="Arial" w:cs="Arial"/>
          <w:i/>
          <w:iCs/>
        </w:rPr>
        <w:t>B. subtilis</w:t>
      </w:r>
      <w:r w:rsidR="00330351">
        <w:rPr>
          <w:rFonts w:ascii="Arial" w:hAnsi="Arial" w:cs="Arial"/>
        </w:rPr>
        <w:t>)</w:t>
      </w:r>
      <w:r w:rsidR="001A72F4" w:rsidRPr="083CCA27">
        <w:rPr>
          <w:rFonts w:ascii="Arial" w:hAnsi="Arial" w:cs="Arial"/>
        </w:rPr>
        <w:t>. Sin</w:t>
      </w:r>
      <w:r w:rsidRPr="083CCA27">
        <w:rPr>
          <w:rFonts w:ascii="Arial" w:hAnsi="Arial" w:cs="Arial"/>
        </w:rPr>
        <w:t xml:space="preserve"> embargo, el tiempo de la exposición para el tratamiento </w:t>
      </w:r>
      <w:r w:rsidR="006B0E78">
        <w:rPr>
          <w:rFonts w:ascii="Arial" w:hAnsi="Arial" w:cs="Arial"/>
        </w:rPr>
        <w:t>C</w:t>
      </w:r>
      <w:r w:rsidRPr="083CCA27">
        <w:rPr>
          <w:rFonts w:ascii="Arial" w:hAnsi="Arial" w:cs="Arial"/>
        </w:rPr>
        <w:t xml:space="preserve">CCP es diferente respecto a los demás, por lo que hay posibilidad de un efecto Batch entre los datos. Para </w:t>
      </w:r>
      <w:r w:rsidR="002815D7">
        <w:rPr>
          <w:rFonts w:ascii="Arial" w:hAnsi="Arial" w:cs="Arial"/>
        </w:rPr>
        <w:t xml:space="preserve">ello </w:t>
      </w:r>
      <w:r w:rsidR="00330351">
        <w:rPr>
          <w:rFonts w:ascii="Arial" w:hAnsi="Arial" w:cs="Arial"/>
        </w:rPr>
        <w:t xml:space="preserve">se tomará en cuenta la metodología y procedimiento propuesto para </w:t>
      </w:r>
      <w:r w:rsidR="002815D7">
        <w:rPr>
          <w:rFonts w:ascii="Arial" w:hAnsi="Arial" w:cs="Arial"/>
        </w:rPr>
        <w:t>eliminar o atenuar el Batch</w:t>
      </w:r>
      <w:r w:rsidR="007D23BF">
        <w:rPr>
          <w:rFonts w:ascii="Arial" w:hAnsi="Arial" w:cs="Arial"/>
        </w:rPr>
        <w:t xml:space="preserve"> </w:t>
      </w:r>
      <w:r w:rsidR="007D23BF" w:rsidRPr="007D23BF">
        <w:rPr>
          <w:rFonts w:ascii="Arial" w:hAnsi="Arial" w:cs="Arial"/>
        </w:rPr>
        <w:t>(Sanchez &amp; Carmona, n.d.)</w:t>
      </w:r>
      <w:r w:rsidR="002815D7">
        <w:rPr>
          <w:rFonts w:ascii="Arial" w:hAnsi="Arial" w:cs="Arial"/>
        </w:rPr>
        <w:t>, ya sea de forma implícita, balanceando las muestras entre los distintos tratamientos, o explicita, estimar el efecto Batch y substraerlo de los valores originales.</w:t>
      </w:r>
    </w:p>
    <w:p w14:paraId="22763A3B" w14:textId="50AC58DB" w:rsidR="0BEB6561" w:rsidRDefault="0BEB6561" w:rsidP="0B412BC1">
      <w:pPr>
        <w:jc w:val="both"/>
        <w:rPr>
          <w:rFonts w:ascii="Arial" w:hAnsi="Arial" w:cs="Arial"/>
          <w:b/>
          <w:bCs/>
        </w:rPr>
      </w:pPr>
      <w:r w:rsidRPr="0B412BC1">
        <w:rPr>
          <w:rFonts w:ascii="Arial" w:hAnsi="Arial" w:cs="Arial"/>
          <w:b/>
          <w:bCs/>
        </w:rPr>
        <w:t>Pregunta por Catalina Sánchez</w:t>
      </w:r>
    </w:p>
    <w:p w14:paraId="6D417AD8" w14:textId="787BAC79" w:rsidR="00D415A1" w:rsidRDefault="007D23BF" w:rsidP="002532E0">
      <w:pPr>
        <w:jc w:val="both"/>
        <w:rPr>
          <w:rFonts w:ascii="Arial" w:hAnsi="Arial" w:cs="Arial"/>
          <w:b/>
          <w:bCs/>
        </w:rPr>
      </w:pPr>
      <w:r>
        <w:rPr>
          <w:rFonts w:ascii="Arial" w:hAnsi="Arial" w:cs="Arial"/>
          <w:b/>
          <w:bCs/>
        </w:rPr>
        <w:t xml:space="preserve">¿Qué </w:t>
      </w:r>
      <w:r w:rsidR="007901B8">
        <w:rPr>
          <w:rFonts w:ascii="Arial" w:hAnsi="Arial" w:cs="Arial"/>
          <w:b/>
          <w:bCs/>
        </w:rPr>
        <w:t xml:space="preserve">significado biológico presenta cada tratamiento aplicado? </w:t>
      </w:r>
    </w:p>
    <w:p w14:paraId="4049BC91" w14:textId="5C458286" w:rsidR="00631664" w:rsidRPr="00631664" w:rsidRDefault="00631664" w:rsidP="002D408C">
      <w:pPr>
        <w:jc w:val="both"/>
        <w:rPr>
          <w:rFonts w:ascii="Arial" w:hAnsi="Arial" w:cs="Arial"/>
        </w:rPr>
      </w:pPr>
      <w:r>
        <w:rPr>
          <w:rFonts w:ascii="Arial" w:hAnsi="Arial" w:cs="Arial"/>
        </w:rPr>
        <w:t>Al solo haber un tipo de cepa</w:t>
      </w:r>
      <w:r w:rsidR="002532E0">
        <w:rPr>
          <w:rFonts w:ascii="Arial" w:hAnsi="Arial" w:cs="Arial"/>
        </w:rPr>
        <w:t xml:space="preserve"> wild type y exponerlas a diferentes tratamientos, </w:t>
      </w:r>
      <w:r w:rsidR="007D23BF">
        <w:rPr>
          <w:rFonts w:ascii="Arial" w:hAnsi="Arial" w:cs="Arial"/>
        </w:rPr>
        <w:t xml:space="preserve">se espera una disminución en el crecimiento poblacional </w:t>
      </w:r>
      <w:r w:rsidR="00AE3366">
        <w:rPr>
          <w:rFonts w:ascii="Arial" w:hAnsi="Arial" w:cs="Arial"/>
        </w:rPr>
        <w:t xml:space="preserve">de cada especie a lo largo del tiempo de exposición del tratamiento. Respecto a su significado biológico, estas dos bacterias se pueden encontrar en la microbiota intestinal de los humanos, y al exponerlas a diferentes antibióticos se esperaría </w:t>
      </w:r>
      <w:r w:rsidR="00386BEA">
        <w:rPr>
          <w:rFonts w:ascii="Arial" w:hAnsi="Arial" w:cs="Arial"/>
        </w:rPr>
        <w:t xml:space="preserve">no solo una disminución </w:t>
      </w:r>
      <w:r w:rsidR="009E451D">
        <w:rPr>
          <w:rFonts w:ascii="Arial" w:hAnsi="Arial" w:cs="Arial"/>
        </w:rPr>
        <w:t>en esas comunidades microbianas sino también en</w:t>
      </w:r>
      <w:r w:rsidR="00CB3398">
        <w:rPr>
          <w:rFonts w:ascii="Arial" w:hAnsi="Arial" w:cs="Arial"/>
        </w:rPr>
        <w:t xml:space="preserve"> la posible infección que pueden causar. Respecto a</w:t>
      </w:r>
      <w:r w:rsidR="00142207">
        <w:rPr>
          <w:rFonts w:ascii="Arial" w:hAnsi="Arial" w:cs="Arial"/>
        </w:rPr>
        <w:t xml:space="preserve"> evaluar y proponer ese escenario biológico, se puede aislar ambas cepas en un mismo medio de cultivo, exponerlas con los mismos tratamientos y evaluar </w:t>
      </w:r>
      <w:r w:rsidR="007F50A9">
        <w:rPr>
          <w:rFonts w:ascii="Arial" w:hAnsi="Arial" w:cs="Arial"/>
        </w:rPr>
        <w:t xml:space="preserve">el perfil de expresión de cada especie, con ello </w:t>
      </w:r>
      <w:r w:rsidR="00ED4A9C">
        <w:rPr>
          <w:rFonts w:ascii="Arial" w:hAnsi="Arial" w:cs="Arial"/>
        </w:rPr>
        <w:t>identificar</w:t>
      </w:r>
      <w:r w:rsidR="007F50A9">
        <w:rPr>
          <w:rFonts w:ascii="Arial" w:hAnsi="Arial" w:cs="Arial"/>
        </w:rPr>
        <w:t xml:space="preserve"> si hay intercambio o interacción </w:t>
      </w:r>
      <w:r w:rsidR="00ED4A9C">
        <w:rPr>
          <w:rFonts w:ascii="Arial" w:hAnsi="Arial" w:cs="Arial"/>
        </w:rPr>
        <w:t xml:space="preserve">de genes expresados </w:t>
      </w:r>
      <w:r w:rsidR="007F50A9">
        <w:rPr>
          <w:rFonts w:ascii="Arial" w:hAnsi="Arial" w:cs="Arial"/>
        </w:rPr>
        <w:t xml:space="preserve">entre </w:t>
      </w:r>
      <w:r w:rsidR="00ED4A9C">
        <w:rPr>
          <w:rFonts w:ascii="Arial" w:hAnsi="Arial" w:cs="Arial"/>
        </w:rPr>
        <w:t>las especies.</w:t>
      </w:r>
    </w:p>
    <w:p w14:paraId="615A2F38" w14:textId="69FABD71" w:rsidR="002D408C" w:rsidRPr="002D408C" w:rsidRDefault="002D408C" w:rsidP="002D408C">
      <w:pPr>
        <w:jc w:val="both"/>
        <w:rPr>
          <w:rFonts w:ascii="Arial" w:hAnsi="Arial" w:cs="Arial"/>
          <w:b/>
          <w:bCs/>
        </w:rPr>
      </w:pPr>
      <w:r w:rsidRPr="002D408C">
        <w:rPr>
          <w:rFonts w:ascii="Arial" w:hAnsi="Arial" w:cs="Arial"/>
          <w:b/>
          <w:bCs/>
        </w:rPr>
        <w:t>Bibliografía:</w:t>
      </w:r>
    </w:p>
    <w:p w14:paraId="2E2279C8" w14:textId="77777777" w:rsidR="007F50A9" w:rsidRPr="007F50A9" w:rsidRDefault="007F50A9" w:rsidP="002D408C">
      <w:pPr>
        <w:jc w:val="both"/>
        <w:rPr>
          <w:rFonts w:ascii="Arial" w:hAnsi="Arial" w:cs="Arial"/>
          <w:shd w:val="clear" w:color="auto" w:fill="FFFFFF"/>
        </w:rPr>
      </w:pPr>
      <w:r w:rsidRPr="007F50A9">
        <w:rPr>
          <w:rFonts w:ascii="Arial" w:hAnsi="Arial" w:cs="Arial"/>
          <w:shd w:val="clear" w:color="auto" w:fill="FFFFFF"/>
        </w:rPr>
        <w:t>Kashyap, D. R., Rompca, A., Gaballa, A., Helmann, J. D., Chan, J., Chang, C. J., Hozo, I., Gupta, D., &amp; Dziarski, R. (2014). Peptidoglycan recognition proteins kill bacteria by inducing oxidative, thiol, and metal stress. </w:t>
      </w:r>
      <w:r w:rsidRPr="007F50A9">
        <w:rPr>
          <w:rFonts w:ascii="Arial" w:hAnsi="Arial" w:cs="Arial"/>
          <w:i/>
          <w:iCs/>
          <w:shd w:val="clear" w:color="auto" w:fill="FFFFFF"/>
        </w:rPr>
        <w:t>PLoS pathogens</w:t>
      </w:r>
      <w:r w:rsidRPr="007F50A9">
        <w:rPr>
          <w:rFonts w:ascii="Arial" w:hAnsi="Arial" w:cs="Arial"/>
          <w:shd w:val="clear" w:color="auto" w:fill="FFFFFF"/>
        </w:rPr>
        <w:t>, </w:t>
      </w:r>
      <w:r w:rsidRPr="007F50A9">
        <w:rPr>
          <w:rFonts w:ascii="Arial" w:hAnsi="Arial" w:cs="Arial"/>
          <w:i/>
          <w:iCs/>
          <w:shd w:val="clear" w:color="auto" w:fill="FFFFFF"/>
        </w:rPr>
        <w:t>10</w:t>
      </w:r>
      <w:r w:rsidRPr="007F50A9">
        <w:rPr>
          <w:rFonts w:ascii="Arial" w:hAnsi="Arial" w:cs="Arial"/>
          <w:shd w:val="clear" w:color="auto" w:fill="FFFFFF"/>
        </w:rPr>
        <w:t xml:space="preserve">(7), e1004280. </w:t>
      </w:r>
      <w:hyperlink r:id="rId7">
        <w:r w:rsidRPr="007F50A9">
          <w:rPr>
            <w:rStyle w:val="Hipervnculo"/>
            <w:rFonts w:ascii="Arial" w:hAnsi="Arial" w:cs="Arial"/>
            <w:color w:val="auto"/>
            <w:u w:val="none"/>
          </w:rPr>
          <w:t>https://doi.org/10.1371/journal.ppat.1004280</w:t>
        </w:r>
      </w:hyperlink>
      <w:r w:rsidRPr="007F50A9">
        <w:rPr>
          <w:rFonts w:ascii="Arial" w:hAnsi="Arial" w:cs="Arial"/>
          <w:shd w:val="clear" w:color="auto" w:fill="FFFFFF"/>
        </w:rPr>
        <w:t>.</w:t>
      </w:r>
    </w:p>
    <w:p w14:paraId="7BA6BC1A" w14:textId="59EE15BD" w:rsidR="007F50A9" w:rsidRPr="007F50A9" w:rsidRDefault="007F50A9" w:rsidP="5E8F31AE">
      <w:pPr>
        <w:jc w:val="both"/>
        <w:rPr>
          <w:rFonts w:ascii="Arial" w:hAnsi="Arial" w:cs="Arial"/>
        </w:rPr>
      </w:pPr>
      <w:r w:rsidRPr="007F50A9">
        <w:rPr>
          <w:rFonts w:ascii="Arial" w:eastAsia="Arial" w:hAnsi="Arial" w:cs="Arial"/>
        </w:rPr>
        <w:t xml:space="preserve">Lu, Y., Huggins, P., &amp; Bar-Joseph, Z. (2009). Cross species analysis of microarray expression data. </w:t>
      </w:r>
      <w:r w:rsidRPr="007F50A9">
        <w:rPr>
          <w:rFonts w:ascii="Arial" w:eastAsia="Arial" w:hAnsi="Arial" w:cs="Arial"/>
          <w:i/>
        </w:rPr>
        <w:t>Bioinformatics (Oxford, England)</w:t>
      </w:r>
      <w:r w:rsidRPr="007F50A9">
        <w:rPr>
          <w:rFonts w:ascii="Arial" w:eastAsia="Arial" w:hAnsi="Arial" w:cs="Arial"/>
        </w:rPr>
        <w:t xml:space="preserve">, </w:t>
      </w:r>
      <w:r w:rsidRPr="007F50A9">
        <w:rPr>
          <w:rFonts w:ascii="Arial" w:eastAsia="Arial" w:hAnsi="Arial" w:cs="Arial"/>
          <w:i/>
        </w:rPr>
        <w:t>25</w:t>
      </w:r>
      <w:r w:rsidRPr="007F50A9">
        <w:rPr>
          <w:rFonts w:ascii="Arial" w:eastAsia="Arial" w:hAnsi="Arial" w:cs="Arial"/>
        </w:rPr>
        <w:t xml:space="preserve">(12), 1476–1483. </w:t>
      </w:r>
      <w:hyperlink r:id="rId8">
        <w:r w:rsidRPr="007F50A9">
          <w:rPr>
            <w:rStyle w:val="Hipervnculo"/>
            <w:rFonts w:ascii="Arial" w:eastAsia="Arial" w:hAnsi="Arial" w:cs="Arial"/>
            <w:color w:val="auto"/>
            <w:u w:val="none"/>
          </w:rPr>
          <w:t>https://doi.org/10.1093/bioinformatics/btp247</w:t>
        </w:r>
      </w:hyperlink>
    </w:p>
    <w:p w14:paraId="468B3877" w14:textId="79B1A69D" w:rsidR="007F50A9" w:rsidRPr="007F50A9" w:rsidRDefault="007F50A9" w:rsidP="002D408C">
      <w:pPr>
        <w:jc w:val="both"/>
        <w:rPr>
          <w:rFonts w:ascii="Arial" w:hAnsi="Arial" w:cs="Arial"/>
        </w:rPr>
      </w:pPr>
      <w:r w:rsidRPr="007F50A9">
        <w:rPr>
          <w:rFonts w:ascii="Arial" w:hAnsi="Arial" w:cs="Arial"/>
        </w:rPr>
        <w:t>Sanchez, A., &amp; Carmona, F. (n.d.). Detección de efecto batch en datos de alto rendimiento (pp. 1–11).</w:t>
      </w:r>
    </w:p>
    <w:p w14:paraId="6602135B" w14:textId="11D69063" w:rsidR="007F50A9" w:rsidRPr="007F50A9" w:rsidRDefault="007F50A9" w:rsidP="002D408C">
      <w:pPr>
        <w:jc w:val="both"/>
        <w:rPr>
          <w:rFonts w:ascii="Arial" w:eastAsia="Arial" w:hAnsi="Arial" w:cs="Arial"/>
        </w:rPr>
      </w:pPr>
      <w:r w:rsidRPr="007F50A9">
        <w:rPr>
          <w:rFonts w:ascii="Arial" w:eastAsia="Arial" w:hAnsi="Arial" w:cs="Arial"/>
        </w:rPr>
        <w:t xml:space="preserve">Shaik, R., &amp; Ramakrishna, W. (2013). Genes and co-expression modules common to drought and bacterial stress responses in Arabidopsis and rice. </w:t>
      </w:r>
      <w:r w:rsidRPr="007F50A9">
        <w:rPr>
          <w:rFonts w:ascii="Arial" w:eastAsia="Arial" w:hAnsi="Arial" w:cs="Arial"/>
          <w:i/>
          <w:iCs/>
        </w:rPr>
        <w:t>PloS one</w:t>
      </w:r>
      <w:r w:rsidRPr="007F50A9">
        <w:rPr>
          <w:rFonts w:ascii="Arial" w:eastAsia="Arial" w:hAnsi="Arial" w:cs="Arial"/>
        </w:rPr>
        <w:t xml:space="preserve">, </w:t>
      </w:r>
      <w:r w:rsidRPr="007F50A9">
        <w:rPr>
          <w:rFonts w:ascii="Arial" w:eastAsia="Arial" w:hAnsi="Arial" w:cs="Arial"/>
          <w:i/>
          <w:iCs/>
        </w:rPr>
        <w:t>8</w:t>
      </w:r>
      <w:r w:rsidRPr="007F50A9">
        <w:rPr>
          <w:rFonts w:ascii="Arial" w:eastAsia="Arial" w:hAnsi="Arial" w:cs="Arial"/>
        </w:rPr>
        <w:t>(10).</w:t>
      </w:r>
    </w:p>
    <w:sectPr w:rsidR="007F50A9" w:rsidRPr="007F50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979DF"/>
    <w:multiLevelType w:val="hybridMultilevel"/>
    <w:tmpl w:val="48DA3D90"/>
    <w:lvl w:ilvl="0" w:tplc="2334FB6E">
      <w:start w:val="1"/>
      <w:numFmt w:val="bullet"/>
      <w:lvlText w:val=""/>
      <w:lvlJc w:val="left"/>
      <w:pPr>
        <w:ind w:left="720" w:hanging="360"/>
      </w:pPr>
      <w:rPr>
        <w:rFonts w:ascii="Symbol" w:hAnsi="Symbol" w:hint="default"/>
      </w:rPr>
    </w:lvl>
    <w:lvl w:ilvl="1" w:tplc="322E9140">
      <w:start w:val="1"/>
      <w:numFmt w:val="bullet"/>
      <w:lvlText w:val="o"/>
      <w:lvlJc w:val="left"/>
      <w:pPr>
        <w:ind w:left="1440" w:hanging="360"/>
      </w:pPr>
      <w:rPr>
        <w:rFonts w:ascii="Courier New" w:hAnsi="Courier New" w:hint="default"/>
      </w:rPr>
    </w:lvl>
    <w:lvl w:ilvl="2" w:tplc="EE26C6FA">
      <w:start w:val="1"/>
      <w:numFmt w:val="bullet"/>
      <w:lvlText w:val=""/>
      <w:lvlJc w:val="left"/>
      <w:pPr>
        <w:ind w:left="2160" w:hanging="360"/>
      </w:pPr>
      <w:rPr>
        <w:rFonts w:ascii="Wingdings" w:hAnsi="Wingdings" w:hint="default"/>
      </w:rPr>
    </w:lvl>
    <w:lvl w:ilvl="3" w:tplc="1B285584">
      <w:start w:val="1"/>
      <w:numFmt w:val="bullet"/>
      <w:lvlText w:val=""/>
      <w:lvlJc w:val="left"/>
      <w:pPr>
        <w:ind w:left="2880" w:hanging="360"/>
      </w:pPr>
      <w:rPr>
        <w:rFonts w:ascii="Symbol" w:hAnsi="Symbol" w:hint="default"/>
      </w:rPr>
    </w:lvl>
    <w:lvl w:ilvl="4" w:tplc="2E5AB91E">
      <w:start w:val="1"/>
      <w:numFmt w:val="bullet"/>
      <w:lvlText w:val="o"/>
      <w:lvlJc w:val="left"/>
      <w:pPr>
        <w:ind w:left="3600" w:hanging="360"/>
      </w:pPr>
      <w:rPr>
        <w:rFonts w:ascii="Courier New" w:hAnsi="Courier New" w:hint="default"/>
      </w:rPr>
    </w:lvl>
    <w:lvl w:ilvl="5" w:tplc="59801B2A">
      <w:start w:val="1"/>
      <w:numFmt w:val="bullet"/>
      <w:lvlText w:val=""/>
      <w:lvlJc w:val="left"/>
      <w:pPr>
        <w:ind w:left="4320" w:hanging="360"/>
      </w:pPr>
      <w:rPr>
        <w:rFonts w:ascii="Wingdings" w:hAnsi="Wingdings" w:hint="default"/>
      </w:rPr>
    </w:lvl>
    <w:lvl w:ilvl="6" w:tplc="6488293A">
      <w:start w:val="1"/>
      <w:numFmt w:val="bullet"/>
      <w:lvlText w:val=""/>
      <w:lvlJc w:val="left"/>
      <w:pPr>
        <w:ind w:left="5040" w:hanging="360"/>
      </w:pPr>
      <w:rPr>
        <w:rFonts w:ascii="Symbol" w:hAnsi="Symbol" w:hint="default"/>
      </w:rPr>
    </w:lvl>
    <w:lvl w:ilvl="7" w:tplc="02388700">
      <w:start w:val="1"/>
      <w:numFmt w:val="bullet"/>
      <w:lvlText w:val="o"/>
      <w:lvlJc w:val="left"/>
      <w:pPr>
        <w:ind w:left="5760" w:hanging="360"/>
      </w:pPr>
      <w:rPr>
        <w:rFonts w:ascii="Courier New" w:hAnsi="Courier New" w:hint="default"/>
      </w:rPr>
    </w:lvl>
    <w:lvl w:ilvl="8" w:tplc="7DB4CED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9753BB"/>
    <w:rsid w:val="00053348"/>
    <w:rsid w:val="00065C1F"/>
    <w:rsid w:val="00091A46"/>
    <w:rsid w:val="00124C1C"/>
    <w:rsid w:val="00142207"/>
    <w:rsid w:val="001A72F4"/>
    <w:rsid w:val="001B5981"/>
    <w:rsid w:val="00205826"/>
    <w:rsid w:val="00235FB0"/>
    <w:rsid w:val="0025065C"/>
    <w:rsid w:val="002527A2"/>
    <w:rsid w:val="002532E0"/>
    <w:rsid w:val="002815D7"/>
    <w:rsid w:val="002D1696"/>
    <w:rsid w:val="002D408C"/>
    <w:rsid w:val="00301517"/>
    <w:rsid w:val="00330351"/>
    <w:rsid w:val="00386BEA"/>
    <w:rsid w:val="003A5EB8"/>
    <w:rsid w:val="003B6731"/>
    <w:rsid w:val="003B7644"/>
    <w:rsid w:val="003E54F0"/>
    <w:rsid w:val="0044130D"/>
    <w:rsid w:val="0045497F"/>
    <w:rsid w:val="00491157"/>
    <w:rsid w:val="004A23CB"/>
    <w:rsid w:val="005320B2"/>
    <w:rsid w:val="0058559C"/>
    <w:rsid w:val="00631664"/>
    <w:rsid w:val="00631E77"/>
    <w:rsid w:val="006B0E78"/>
    <w:rsid w:val="006E71EB"/>
    <w:rsid w:val="00725427"/>
    <w:rsid w:val="00737C7B"/>
    <w:rsid w:val="007901B8"/>
    <w:rsid w:val="007D23BF"/>
    <w:rsid w:val="007D43FB"/>
    <w:rsid w:val="007F50A9"/>
    <w:rsid w:val="00806987"/>
    <w:rsid w:val="008C087B"/>
    <w:rsid w:val="0095688C"/>
    <w:rsid w:val="00995958"/>
    <w:rsid w:val="009E451D"/>
    <w:rsid w:val="00A54B49"/>
    <w:rsid w:val="00AA372F"/>
    <w:rsid w:val="00AA792E"/>
    <w:rsid w:val="00AD6F3E"/>
    <w:rsid w:val="00AE31E9"/>
    <w:rsid w:val="00AE3366"/>
    <w:rsid w:val="00B67A3A"/>
    <w:rsid w:val="00C6308A"/>
    <w:rsid w:val="00C84130"/>
    <w:rsid w:val="00CB3398"/>
    <w:rsid w:val="00CD3A62"/>
    <w:rsid w:val="00CE4BE7"/>
    <w:rsid w:val="00D14A16"/>
    <w:rsid w:val="00D3426B"/>
    <w:rsid w:val="00D415A1"/>
    <w:rsid w:val="00D91E4A"/>
    <w:rsid w:val="00D951A0"/>
    <w:rsid w:val="00DE64BE"/>
    <w:rsid w:val="00E03887"/>
    <w:rsid w:val="00E351B5"/>
    <w:rsid w:val="00E534F7"/>
    <w:rsid w:val="00E63C55"/>
    <w:rsid w:val="00EC2598"/>
    <w:rsid w:val="00ED3F25"/>
    <w:rsid w:val="00ED4A9C"/>
    <w:rsid w:val="00F02200"/>
    <w:rsid w:val="00F16F4E"/>
    <w:rsid w:val="00F8505B"/>
    <w:rsid w:val="00FB2AC1"/>
    <w:rsid w:val="01D2898C"/>
    <w:rsid w:val="046CFA25"/>
    <w:rsid w:val="064071C2"/>
    <w:rsid w:val="06CDCAB2"/>
    <w:rsid w:val="07D2D67E"/>
    <w:rsid w:val="08105B44"/>
    <w:rsid w:val="08312234"/>
    <w:rsid w:val="083CCA27"/>
    <w:rsid w:val="0A6E3DC4"/>
    <w:rsid w:val="0AD3BB34"/>
    <w:rsid w:val="0B412BC1"/>
    <w:rsid w:val="0BCD36BD"/>
    <w:rsid w:val="0BEB6561"/>
    <w:rsid w:val="0CE5BAEA"/>
    <w:rsid w:val="0DC47ED8"/>
    <w:rsid w:val="0EBE4B8F"/>
    <w:rsid w:val="0F7FD199"/>
    <w:rsid w:val="10A6E6EC"/>
    <w:rsid w:val="13F5DF4B"/>
    <w:rsid w:val="147D4BA1"/>
    <w:rsid w:val="14A83924"/>
    <w:rsid w:val="159B798D"/>
    <w:rsid w:val="1709931A"/>
    <w:rsid w:val="17AA9668"/>
    <w:rsid w:val="17F62934"/>
    <w:rsid w:val="19BE507F"/>
    <w:rsid w:val="19DDDC4F"/>
    <w:rsid w:val="1B2653B6"/>
    <w:rsid w:val="1C43CC20"/>
    <w:rsid w:val="1D2F4C86"/>
    <w:rsid w:val="1D82844C"/>
    <w:rsid w:val="1DA8A310"/>
    <w:rsid w:val="1FE286E1"/>
    <w:rsid w:val="1FFEC084"/>
    <w:rsid w:val="22567948"/>
    <w:rsid w:val="231DD969"/>
    <w:rsid w:val="25AF1579"/>
    <w:rsid w:val="26149EDB"/>
    <w:rsid w:val="29176EFC"/>
    <w:rsid w:val="297CD68D"/>
    <w:rsid w:val="2B30DD94"/>
    <w:rsid w:val="2B9753BB"/>
    <w:rsid w:val="2E4849D9"/>
    <w:rsid w:val="307C8E55"/>
    <w:rsid w:val="30803ECB"/>
    <w:rsid w:val="3158ADD7"/>
    <w:rsid w:val="3402EC25"/>
    <w:rsid w:val="35218B8A"/>
    <w:rsid w:val="39164FDD"/>
    <w:rsid w:val="3A48245F"/>
    <w:rsid w:val="3BE2AEA0"/>
    <w:rsid w:val="3C54F500"/>
    <w:rsid w:val="3CC0E248"/>
    <w:rsid w:val="3F213405"/>
    <w:rsid w:val="401279DC"/>
    <w:rsid w:val="411940D1"/>
    <w:rsid w:val="428C3D0F"/>
    <w:rsid w:val="429D93DD"/>
    <w:rsid w:val="43BAD3BD"/>
    <w:rsid w:val="449A5356"/>
    <w:rsid w:val="464DDD5D"/>
    <w:rsid w:val="46FF8781"/>
    <w:rsid w:val="4A7EAEFA"/>
    <w:rsid w:val="4E029CB6"/>
    <w:rsid w:val="4E328DF4"/>
    <w:rsid w:val="4EA516A2"/>
    <w:rsid w:val="506D4177"/>
    <w:rsid w:val="52FA8B92"/>
    <w:rsid w:val="5488DA02"/>
    <w:rsid w:val="561446AF"/>
    <w:rsid w:val="567F48BA"/>
    <w:rsid w:val="56F038CB"/>
    <w:rsid w:val="578F9E67"/>
    <w:rsid w:val="57D82748"/>
    <w:rsid w:val="5913BABC"/>
    <w:rsid w:val="59AB3FEC"/>
    <w:rsid w:val="59BE3199"/>
    <w:rsid w:val="5D546B6D"/>
    <w:rsid w:val="5E3376C0"/>
    <w:rsid w:val="5E88EF25"/>
    <w:rsid w:val="5E8F31AE"/>
    <w:rsid w:val="615A5C46"/>
    <w:rsid w:val="63027D06"/>
    <w:rsid w:val="63B5159C"/>
    <w:rsid w:val="64549983"/>
    <w:rsid w:val="6720C7E3"/>
    <w:rsid w:val="673B373C"/>
    <w:rsid w:val="6777FB5E"/>
    <w:rsid w:val="681BCB99"/>
    <w:rsid w:val="683C9A20"/>
    <w:rsid w:val="68FDDA00"/>
    <w:rsid w:val="6CD9DA8B"/>
    <w:rsid w:val="6D99800E"/>
    <w:rsid w:val="70A3D9A0"/>
    <w:rsid w:val="71244D3C"/>
    <w:rsid w:val="74862A97"/>
    <w:rsid w:val="74A85A0C"/>
    <w:rsid w:val="7572A416"/>
    <w:rsid w:val="7730AB51"/>
    <w:rsid w:val="77456993"/>
    <w:rsid w:val="78C2D133"/>
    <w:rsid w:val="7BF60D14"/>
    <w:rsid w:val="7CEA4402"/>
    <w:rsid w:val="7E01717A"/>
    <w:rsid w:val="7FCB6A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753BB"/>
  <w15:chartTrackingRefBased/>
  <w15:docId w15:val="{AF789C72-0302-4382-B2A9-04EA33ED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31E9"/>
    <w:pPr>
      <w:ind w:left="720"/>
      <w:contextualSpacing/>
    </w:pPr>
  </w:style>
  <w:style w:type="character" w:styleId="Hipervnculo">
    <w:name w:val="Hyperlink"/>
    <w:basedOn w:val="Fuentedeprrafopredeter"/>
    <w:uiPriority w:val="99"/>
    <w:unhideWhenUsed/>
    <w:rPr>
      <w:color w:val="0563C1" w:themeColor="hyperlink"/>
      <w:u w:val="single"/>
    </w:rPr>
  </w:style>
  <w:style w:type="paragraph" w:styleId="Textocomentario">
    <w:name w:val="annotation text"/>
    <w:basedOn w:val="Normal"/>
    <w:link w:val="TextocomentarioCar"/>
    <w:uiPriority w:val="99"/>
    <w:semiHidden/>
    <w:unhideWhenUsed/>
    <w:rsid w:val="00631E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31E77"/>
    <w:rPr>
      <w:sz w:val="20"/>
      <w:szCs w:val="20"/>
    </w:rPr>
  </w:style>
  <w:style w:type="character" w:styleId="Refdecomentario">
    <w:name w:val="annotation reference"/>
    <w:basedOn w:val="Fuentedeprrafopredeter"/>
    <w:uiPriority w:val="99"/>
    <w:semiHidden/>
    <w:unhideWhenUsed/>
    <w:rsid w:val="00631E77"/>
    <w:rPr>
      <w:sz w:val="16"/>
      <w:szCs w:val="16"/>
    </w:rPr>
  </w:style>
  <w:style w:type="paragraph" w:styleId="Textodeglobo">
    <w:name w:val="Balloon Text"/>
    <w:basedOn w:val="Normal"/>
    <w:link w:val="TextodegloboCar"/>
    <w:uiPriority w:val="99"/>
    <w:semiHidden/>
    <w:unhideWhenUsed/>
    <w:rsid w:val="00631E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1E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57528">
      <w:bodyDiv w:val="1"/>
      <w:marLeft w:val="0"/>
      <w:marRight w:val="0"/>
      <w:marTop w:val="0"/>
      <w:marBottom w:val="0"/>
      <w:divBdr>
        <w:top w:val="none" w:sz="0" w:space="0" w:color="auto"/>
        <w:left w:val="none" w:sz="0" w:space="0" w:color="auto"/>
        <w:bottom w:val="none" w:sz="0" w:space="0" w:color="auto"/>
        <w:right w:val="none" w:sz="0" w:space="0" w:color="auto"/>
      </w:divBdr>
    </w:div>
    <w:div w:id="437481531">
      <w:bodyDiv w:val="1"/>
      <w:marLeft w:val="0"/>
      <w:marRight w:val="0"/>
      <w:marTop w:val="0"/>
      <w:marBottom w:val="0"/>
      <w:divBdr>
        <w:top w:val="none" w:sz="0" w:space="0" w:color="auto"/>
        <w:left w:val="none" w:sz="0" w:space="0" w:color="auto"/>
        <w:bottom w:val="none" w:sz="0" w:space="0" w:color="auto"/>
        <w:right w:val="none" w:sz="0" w:space="0" w:color="auto"/>
      </w:divBdr>
    </w:div>
    <w:div w:id="643655267">
      <w:bodyDiv w:val="1"/>
      <w:marLeft w:val="0"/>
      <w:marRight w:val="0"/>
      <w:marTop w:val="0"/>
      <w:marBottom w:val="0"/>
      <w:divBdr>
        <w:top w:val="none" w:sz="0" w:space="0" w:color="auto"/>
        <w:left w:val="none" w:sz="0" w:space="0" w:color="auto"/>
        <w:bottom w:val="none" w:sz="0" w:space="0" w:color="auto"/>
        <w:right w:val="none" w:sz="0" w:space="0" w:color="auto"/>
      </w:divBdr>
    </w:div>
    <w:div w:id="1037510291">
      <w:bodyDiv w:val="1"/>
      <w:marLeft w:val="0"/>
      <w:marRight w:val="0"/>
      <w:marTop w:val="0"/>
      <w:marBottom w:val="0"/>
      <w:divBdr>
        <w:top w:val="none" w:sz="0" w:space="0" w:color="auto"/>
        <w:left w:val="none" w:sz="0" w:space="0" w:color="auto"/>
        <w:bottom w:val="none" w:sz="0" w:space="0" w:color="auto"/>
        <w:right w:val="none" w:sz="0" w:space="0" w:color="auto"/>
      </w:divBdr>
    </w:div>
    <w:div w:id="188470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bioinformatics/btp247" TargetMode="External"/><Relationship Id="rId3" Type="http://schemas.openxmlformats.org/officeDocument/2006/relationships/styles" Target="styles.xml"/><Relationship Id="rId7" Type="http://schemas.openxmlformats.org/officeDocument/2006/relationships/hyperlink" Target="https://doi.org/10.1371/journal.ppat.10042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AC196-2868-4A3E-B7C6-ADB42DABD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914</Words>
  <Characters>5216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Luna Niño</dc:creator>
  <cp:keywords/>
  <dc:description/>
  <cp:lastModifiedBy>Luisa Fernanda Páez Triana</cp:lastModifiedBy>
  <cp:revision>2</cp:revision>
  <dcterms:created xsi:type="dcterms:W3CDTF">2020-04-23T20:53:00Z</dcterms:created>
  <dcterms:modified xsi:type="dcterms:W3CDTF">2020-04-23T20:53:00Z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334899a3-e7fc-3218-95bd-be54af5d1bc6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