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11C6" w:rsidRPr="00DA794F" w:rsidRDefault="008142D8" w:rsidP="009C11C6">
      <w:pPr>
        <w:spacing w:before="240" w:after="240"/>
        <w:jc w:val="center"/>
        <w:rPr>
          <w:rFonts w:ascii="Times New Roman" w:eastAsia="Times New Roman" w:hAnsi="Times New Roman" w:cs="Times New Roman"/>
          <w:i/>
          <w:color w:val="202020"/>
          <w:highlight w:val="white"/>
        </w:rPr>
      </w:pPr>
      <w:r>
        <w:rPr>
          <w:rFonts w:ascii="Times New Roman" w:eastAsia="Times New Roman" w:hAnsi="Times New Roman" w:cs="Times New Roman"/>
          <w:i/>
          <w:color w:val="202020"/>
          <w:sz w:val="24"/>
          <w:szCs w:val="24"/>
          <w:highlight w:val="white"/>
        </w:rPr>
        <w:t>¿En qué medida cambia el  nivel de expresión génica de los tejidos preservados de un cánido fósil (lobo del pleistoceno) respecto a un cánido actual (perro)?¿cómo estas diferencias de expresión reflejan posibles cambios adaptativos en respuesta al ambiente</w:t>
      </w:r>
      <w:r>
        <w:rPr>
          <w:rFonts w:ascii="Times New Roman" w:eastAsia="Times New Roman" w:hAnsi="Times New Roman" w:cs="Times New Roman"/>
          <w:i/>
          <w:color w:val="202020"/>
          <w:sz w:val="24"/>
          <w:szCs w:val="24"/>
          <w:highlight w:val="white"/>
        </w:rPr>
        <w:t xml:space="preserve"> del pasado?</w:t>
      </w:r>
    </w:p>
    <w:p w:rsidR="00777120" w:rsidRPr="00DA794F" w:rsidRDefault="008142D8">
      <w:pPr>
        <w:spacing w:before="240" w:after="240"/>
        <w:jc w:val="both"/>
        <w:rPr>
          <w:rFonts w:ascii="Times New Roman" w:eastAsia="Times New Roman" w:hAnsi="Times New Roman" w:cs="Times New Roman"/>
          <w:color w:val="202020"/>
          <w:highlight w:val="white"/>
        </w:rPr>
      </w:pPr>
      <w:r w:rsidRPr="00DA794F">
        <w:rPr>
          <w:rFonts w:ascii="Times New Roman" w:eastAsia="Times New Roman" w:hAnsi="Times New Roman" w:cs="Times New Roman"/>
          <w:color w:val="202020"/>
          <w:highlight w:val="white"/>
        </w:rPr>
        <w:t>Esta propuesta de investigación considera como control al cánido moderno y como “tratamiento” al fósil del pleistoceno. A continuación se presenta el flujo de trabajo:</w:t>
      </w:r>
    </w:p>
    <w:p w:rsidR="00777120" w:rsidRPr="00DA794F" w:rsidRDefault="008142D8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b/>
          <w:highlight w:val="white"/>
        </w:rPr>
      </w:pPr>
      <w:r w:rsidRPr="00DA794F">
        <w:rPr>
          <w:rFonts w:ascii="Times New Roman" w:eastAsia="Times New Roman" w:hAnsi="Times New Roman" w:cs="Times New Roman"/>
          <w:b/>
          <w:color w:val="202020"/>
          <w:highlight w:val="white"/>
        </w:rPr>
        <w:t xml:space="preserve">Obtención de datos de </w:t>
      </w:r>
      <w:r w:rsidRPr="00DA794F">
        <w:rPr>
          <w:rFonts w:ascii="Times New Roman" w:eastAsia="Times New Roman" w:hAnsi="Times New Roman" w:cs="Times New Roman"/>
          <w:b/>
          <w:highlight w:val="white"/>
        </w:rPr>
        <w:t>RNA-seq.</w:t>
      </w:r>
    </w:p>
    <w:p w:rsidR="00777120" w:rsidRPr="00DA794F" w:rsidRDefault="008142D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DA794F">
        <w:rPr>
          <w:rFonts w:ascii="Times New Roman" w:eastAsia="Times New Roman" w:hAnsi="Times New Roman" w:cs="Times New Roman"/>
          <w:highlight w:val="white"/>
        </w:rPr>
        <w:t>Se emplea</w:t>
      </w:r>
      <w:r w:rsidRPr="00DA794F">
        <w:rPr>
          <w:rFonts w:ascii="Times New Roman" w:eastAsia="Times New Roman" w:hAnsi="Times New Roman" w:cs="Times New Roman"/>
          <w:highlight w:val="white"/>
        </w:rPr>
        <w:t>rán los datos pertenecientes a las muestras del tejido hepático, esto debido a que los autores indican que fue este tejido el que mostró la mayor abundancia de transcritos y el mayor grado de similitud al compararlo con los datos modernos. Adicionalmente</w:t>
      </w:r>
      <w:r w:rsidRPr="00DA794F">
        <w:rPr>
          <w:rFonts w:ascii="Times New Roman" w:eastAsia="Times New Roman" w:hAnsi="Times New Roman" w:cs="Times New Roman"/>
          <w:b/>
          <w:color w:val="C00000"/>
          <w:highlight w:val="white"/>
        </w:rPr>
        <w:t xml:space="preserve"> </w:t>
      </w:r>
      <w:r w:rsidRPr="00DA794F">
        <w:rPr>
          <w:rFonts w:ascii="Times New Roman" w:eastAsia="Times New Roman" w:hAnsi="Times New Roman" w:cs="Times New Roman"/>
          <w:highlight w:val="white"/>
        </w:rPr>
        <w:t>v</w:t>
      </w:r>
      <w:r w:rsidRPr="00DA794F">
        <w:rPr>
          <w:rFonts w:ascii="Times New Roman" w:eastAsia="Times New Roman" w:hAnsi="Times New Roman" w:cs="Times New Roman"/>
          <w:highlight w:val="white"/>
        </w:rPr>
        <w:t xml:space="preserve">arios de los genes altamente expresados ​​en el tejido hepático antiguo están asociados con la función hepática. </w:t>
      </w:r>
    </w:p>
    <w:p w:rsidR="00777120" w:rsidRPr="00DA794F" w:rsidRDefault="008142D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DA794F">
        <w:rPr>
          <w:rFonts w:ascii="Times New Roman" w:eastAsia="Times New Roman" w:hAnsi="Times New Roman" w:cs="Times New Roman"/>
          <w:highlight w:val="white"/>
        </w:rPr>
        <w:t>Para tener claridad sobre el detalle de cada muestra, se realiza una búsqueda en NCBI Run Selector.</w:t>
      </w:r>
    </w:p>
    <w:p w:rsidR="00777120" w:rsidRPr="00DA794F" w:rsidRDefault="008142D8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 w:rsidRPr="00DA794F">
        <w:rPr>
          <w:rFonts w:ascii="Times New Roman" w:eastAsia="Times New Roman" w:hAnsi="Times New Roman" w:cs="Times New Roman"/>
          <w:highlight w:val="white"/>
        </w:rPr>
        <w:t>Importación de datos a Galaxy: Se utilizar</w:t>
      </w:r>
      <w:r w:rsidRPr="00DA794F">
        <w:rPr>
          <w:rFonts w:ascii="Times New Roman" w:eastAsia="Times New Roman" w:hAnsi="Times New Roman" w:cs="Times New Roman"/>
          <w:highlight w:val="white"/>
        </w:rPr>
        <w:t>á la herramienta EBI SRA (</w:t>
      </w:r>
      <w:hyperlink r:id="rId7">
        <w:r w:rsidRPr="00DA794F"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European Nucleotide Archive</w:t>
        </w:r>
      </w:hyperlink>
      <w:r w:rsidRPr="00DA794F">
        <w:rPr>
          <w:rFonts w:ascii="Times New Roman" w:eastAsia="Times New Roman" w:hAnsi="Times New Roman" w:cs="Times New Roman"/>
          <w:highlight w:val="white"/>
        </w:rPr>
        <w:t xml:space="preserve">) para encontrar los códigos anteriormente descritos bajo la siguiente codificación: </w:t>
      </w:r>
    </w:p>
    <w:p w:rsidR="00777120" w:rsidRPr="00DA794F" w:rsidRDefault="008142D8">
      <w:pPr>
        <w:numPr>
          <w:ilvl w:val="2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FFFFFF"/>
          <w:highlight w:val="white"/>
        </w:rPr>
      </w:pPr>
      <w:r w:rsidRPr="00DA794F">
        <w:rPr>
          <w:rFonts w:ascii="Times New Roman" w:eastAsia="Times New Roman" w:hAnsi="Times New Roman" w:cs="Times New Roman"/>
          <w:highlight w:val="white"/>
        </w:rPr>
        <w:t>Control: PRJNA396033 {SRX3055179 (cartílago), SRX3055151 (hígado), SRX3055143 (piel) y SRX3055142 (músculos)}</w:t>
      </w:r>
    </w:p>
    <w:p w:rsidR="00777120" w:rsidRPr="00DA794F" w:rsidRDefault="008142D8">
      <w:pPr>
        <w:numPr>
          <w:ilvl w:val="2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FFFFFF"/>
          <w:highlight w:val="white"/>
        </w:rPr>
      </w:pPr>
      <w:r w:rsidRPr="00DA794F">
        <w:rPr>
          <w:rFonts w:ascii="Times New Roman" w:eastAsia="Times New Roman" w:hAnsi="Times New Roman" w:cs="Times New Roman"/>
          <w:highlight w:val="white"/>
        </w:rPr>
        <w:t>Tratamiento: PRJNA497993</w:t>
      </w:r>
    </w:p>
    <w:p w:rsidR="00777120" w:rsidRPr="00DA794F" w:rsidRDefault="008142D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highlight w:val="white"/>
        </w:rPr>
      </w:pPr>
      <w:r w:rsidRPr="00DA794F">
        <w:rPr>
          <w:rFonts w:ascii="Times New Roman" w:eastAsia="Times New Roman" w:hAnsi="Times New Roman" w:cs="Times New Roman"/>
          <w:b/>
          <w:color w:val="202020"/>
          <w:highlight w:val="white"/>
        </w:rPr>
        <w:t>Verificación de</w:t>
      </w:r>
      <w:r w:rsidRPr="00DA794F">
        <w:rPr>
          <w:rFonts w:ascii="Times New Roman" w:eastAsia="Times New Roman" w:hAnsi="Times New Roman" w:cs="Times New Roman"/>
          <w:b/>
          <w:highlight w:val="white"/>
        </w:rPr>
        <w:t xml:space="preserve"> calidad de los dato</w:t>
      </w:r>
      <w:r w:rsidRPr="00DA794F">
        <w:rPr>
          <w:rFonts w:ascii="Times New Roman" w:eastAsia="Times New Roman" w:hAnsi="Times New Roman" w:cs="Times New Roman"/>
          <w:b/>
          <w:highlight w:val="white"/>
        </w:rPr>
        <w:t xml:space="preserve">s de RNA-seq. </w:t>
      </w:r>
    </w:p>
    <w:p w:rsidR="00777120" w:rsidRPr="00DA794F" w:rsidRDefault="008142D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DA794F">
        <w:rPr>
          <w:rFonts w:ascii="Times New Roman" w:eastAsia="Times New Roman" w:hAnsi="Times New Roman" w:cs="Times New Roman"/>
          <w:highlight w:val="white"/>
        </w:rPr>
        <w:t xml:space="preserve">Herramienta </w:t>
      </w:r>
      <w:r w:rsidRPr="00DA794F">
        <w:rPr>
          <w:rFonts w:ascii="Times New Roman" w:eastAsia="Times New Roman" w:hAnsi="Times New Roman" w:cs="Times New Roman"/>
          <w:b/>
          <w:highlight w:val="white"/>
        </w:rPr>
        <w:t>FastQC (Galaxy)</w:t>
      </w:r>
      <w:r w:rsidRPr="00DA794F">
        <w:rPr>
          <w:rFonts w:ascii="Times New Roman" w:eastAsia="Times New Roman" w:hAnsi="Times New Roman" w:cs="Times New Roman"/>
          <w:highlight w:val="white"/>
        </w:rPr>
        <w:t xml:space="preserve">: Este paso es esencial pues permitirá evaluar la calidad de las bibliotecas de secuenciación y diagnosticar posibles problemas con la extracción de </w:t>
      </w:r>
      <w:r w:rsidRPr="00DA794F">
        <w:rPr>
          <w:rFonts w:ascii="Times New Roman" w:eastAsia="Times New Roman" w:hAnsi="Times New Roman" w:cs="Times New Roman"/>
          <w:highlight w:val="white"/>
        </w:rPr>
        <w:t>RN</w:t>
      </w:r>
      <w:r w:rsidR="001F0040">
        <w:rPr>
          <w:rFonts w:ascii="Times New Roman" w:eastAsia="Times New Roman" w:hAnsi="Times New Roman" w:cs="Times New Roman"/>
          <w:highlight w:val="white"/>
        </w:rPr>
        <w:t>A</w:t>
      </w:r>
      <w:r w:rsidRPr="00DA794F">
        <w:rPr>
          <w:rFonts w:ascii="Times New Roman" w:eastAsia="Times New Roman" w:hAnsi="Times New Roman" w:cs="Times New Roman"/>
          <w:highlight w:val="white"/>
        </w:rPr>
        <w:t>, la construcción de la biblioteca o la secuenciación.</w:t>
      </w:r>
    </w:p>
    <w:p w:rsidR="00777120" w:rsidRPr="00DA794F" w:rsidRDefault="008142D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DA794F">
        <w:rPr>
          <w:rFonts w:ascii="Times New Roman" w:eastAsia="Times New Roman" w:hAnsi="Times New Roman" w:cs="Times New Roman"/>
          <w:highlight w:val="white"/>
        </w:rPr>
        <w:t>Limpiez</w:t>
      </w:r>
      <w:r w:rsidRPr="00DA794F">
        <w:rPr>
          <w:rFonts w:ascii="Times New Roman" w:eastAsia="Times New Roman" w:hAnsi="Times New Roman" w:cs="Times New Roman"/>
          <w:highlight w:val="white"/>
        </w:rPr>
        <w:t xml:space="preserve">a de muestras: En dependencia de los resultados, eliminar  muestras de baja calidad y/o no relevantes al estudio. De ser necesario, se utilizará la herramienta </w:t>
      </w:r>
      <w:r w:rsidRPr="00DA794F">
        <w:rPr>
          <w:rFonts w:ascii="Times New Roman" w:eastAsia="Times New Roman" w:hAnsi="Times New Roman" w:cs="Times New Roman"/>
          <w:b/>
          <w:highlight w:val="white"/>
        </w:rPr>
        <w:t>Cutadapt(Galaxy)</w:t>
      </w:r>
      <w:r w:rsidRPr="00DA794F">
        <w:rPr>
          <w:rFonts w:ascii="Times New Roman" w:eastAsia="Times New Roman" w:hAnsi="Times New Roman" w:cs="Times New Roman"/>
          <w:highlight w:val="white"/>
        </w:rPr>
        <w:t xml:space="preserve"> para la remoción de los adaptadores de secuenciación.</w:t>
      </w:r>
    </w:p>
    <w:p w:rsidR="00777120" w:rsidRPr="00DA794F" w:rsidRDefault="008142D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highlight w:val="white"/>
        </w:rPr>
      </w:pPr>
      <w:r w:rsidRPr="00DA794F">
        <w:rPr>
          <w:rFonts w:ascii="Times New Roman" w:eastAsia="Times New Roman" w:hAnsi="Times New Roman" w:cs="Times New Roman"/>
          <w:b/>
          <w:highlight w:val="white"/>
        </w:rPr>
        <w:t>Alineamiento y mapeo de s</w:t>
      </w:r>
      <w:r w:rsidRPr="00DA794F">
        <w:rPr>
          <w:rFonts w:ascii="Times New Roman" w:eastAsia="Times New Roman" w:hAnsi="Times New Roman" w:cs="Times New Roman"/>
          <w:b/>
          <w:highlight w:val="white"/>
        </w:rPr>
        <w:t>ecuencias de cada lectura con respecto al transcriptoma de referencia (CamFam3.1– perro moderno).</w:t>
      </w:r>
    </w:p>
    <w:p w:rsidR="00777120" w:rsidRPr="00DA794F" w:rsidRDefault="008142D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DA794F">
        <w:rPr>
          <w:rFonts w:ascii="Times New Roman" w:eastAsia="Times New Roman" w:hAnsi="Times New Roman" w:cs="Times New Roman"/>
          <w:highlight w:val="white"/>
        </w:rPr>
        <w:t xml:space="preserve">Herramienta </w:t>
      </w:r>
      <w:r w:rsidRPr="00DA794F">
        <w:rPr>
          <w:rFonts w:ascii="Times New Roman" w:eastAsia="Times New Roman" w:hAnsi="Times New Roman" w:cs="Times New Roman"/>
          <w:b/>
          <w:highlight w:val="white"/>
        </w:rPr>
        <w:t xml:space="preserve">Bowtie2/Hisat2(Galaxy): </w:t>
      </w:r>
      <w:r w:rsidRPr="00DA794F">
        <w:rPr>
          <w:rFonts w:ascii="Times New Roman" w:eastAsia="Times New Roman" w:hAnsi="Times New Roman" w:cs="Times New Roman"/>
          <w:highlight w:val="white"/>
        </w:rPr>
        <w:t>Bajo parámetros predeterminados para datos de un solo extremo.</w:t>
      </w:r>
    </w:p>
    <w:p w:rsidR="00777120" w:rsidRPr="00DA794F" w:rsidRDefault="008142D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DA794F">
        <w:rPr>
          <w:rFonts w:ascii="Times New Roman" w:eastAsia="Times New Roman" w:hAnsi="Times New Roman" w:cs="Times New Roman"/>
          <w:highlight w:val="white"/>
        </w:rPr>
        <w:t xml:space="preserve">Herramienta </w:t>
      </w:r>
      <w:r w:rsidRPr="00DA794F">
        <w:rPr>
          <w:rFonts w:ascii="Times New Roman" w:eastAsia="Times New Roman" w:hAnsi="Times New Roman" w:cs="Times New Roman"/>
          <w:b/>
          <w:highlight w:val="white"/>
        </w:rPr>
        <w:t>SAM-to-BAM</w:t>
      </w:r>
      <w:r w:rsidRPr="00DA794F">
        <w:rPr>
          <w:rFonts w:ascii="Times New Roman" w:eastAsia="Times New Roman" w:hAnsi="Times New Roman" w:cs="Times New Roman"/>
          <w:highlight w:val="white"/>
        </w:rPr>
        <w:t xml:space="preserve"> </w:t>
      </w:r>
      <w:r w:rsidRPr="00DA794F">
        <w:rPr>
          <w:rFonts w:ascii="Times New Roman" w:eastAsia="Times New Roman" w:hAnsi="Times New Roman" w:cs="Times New Roman"/>
          <w:b/>
          <w:highlight w:val="white"/>
        </w:rPr>
        <w:t>(Galaxy)</w:t>
      </w:r>
      <w:r w:rsidRPr="00DA794F">
        <w:rPr>
          <w:rFonts w:ascii="Times New Roman" w:eastAsia="Times New Roman" w:hAnsi="Times New Roman" w:cs="Times New Roman"/>
          <w:highlight w:val="white"/>
        </w:rPr>
        <w:t xml:space="preserve">: Con los BAM obtenidos, se </w:t>
      </w:r>
      <w:r w:rsidRPr="00DA794F">
        <w:rPr>
          <w:rFonts w:ascii="Times New Roman" w:eastAsia="Times New Roman" w:hAnsi="Times New Roman" w:cs="Times New Roman"/>
          <w:highlight w:val="white"/>
        </w:rPr>
        <w:t>realiza un control de calidad a través de un filtro por puntuación de calidad (q</w:t>
      </w:r>
      <w:r w:rsidRPr="00DA794F">
        <w:rPr>
          <w:rFonts w:ascii="Gungsuh" w:eastAsia="Gungsuh" w:hAnsi="Gungsuh" w:cs="Gungsuh"/>
          <w:highlight w:val="white"/>
        </w:rPr>
        <w:t>≥ 20).</w:t>
      </w:r>
    </w:p>
    <w:p w:rsidR="00777120" w:rsidRPr="00DA794F" w:rsidRDefault="008142D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highlight w:val="white"/>
        </w:rPr>
      </w:pPr>
      <w:r w:rsidRPr="00DA794F">
        <w:rPr>
          <w:rFonts w:ascii="Times New Roman" w:eastAsia="Times New Roman" w:hAnsi="Times New Roman" w:cs="Times New Roman"/>
          <w:b/>
          <w:highlight w:val="white"/>
        </w:rPr>
        <w:t>Identificación de genes de origen de los transcritos.</w:t>
      </w:r>
    </w:p>
    <w:p w:rsidR="00777120" w:rsidRPr="00DA794F" w:rsidRDefault="008142D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DA794F">
        <w:rPr>
          <w:rFonts w:ascii="Times New Roman" w:eastAsia="Times New Roman" w:hAnsi="Times New Roman" w:cs="Times New Roman"/>
          <w:highlight w:val="white"/>
        </w:rPr>
        <w:t xml:space="preserve">Herramienta </w:t>
      </w:r>
      <w:r w:rsidRPr="00DA794F">
        <w:rPr>
          <w:rFonts w:ascii="Times New Roman" w:eastAsia="Times New Roman" w:hAnsi="Times New Roman" w:cs="Times New Roman"/>
          <w:b/>
          <w:highlight w:val="white"/>
        </w:rPr>
        <w:t>BLAST+ (NCBI)</w:t>
      </w:r>
      <w:r w:rsidRPr="00DA794F">
        <w:rPr>
          <w:rFonts w:ascii="Times New Roman" w:eastAsia="Times New Roman" w:hAnsi="Times New Roman" w:cs="Times New Roman"/>
          <w:highlight w:val="white"/>
        </w:rPr>
        <w:t>: Búsqueda en la base de datos con parámetros predeterminados.</w:t>
      </w:r>
    </w:p>
    <w:p w:rsidR="00777120" w:rsidRPr="00DA794F" w:rsidRDefault="008142D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highlight w:val="white"/>
        </w:rPr>
      </w:pPr>
      <w:r w:rsidRPr="00DA794F">
        <w:rPr>
          <w:rFonts w:ascii="Times New Roman" w:eastAsia="Times New Roman" w:hAnsi="Times New Roman" w:cs="Times New Roman"/>
          <w:b/>
          <w:highlight w:val="white"/>
        </w:rPr>
        <w:t>Cuantificación de las lectu</w:t>
      </w:r>
      <w:r w:rsidRPr="00DA794F">
        <w:rPr>
          <w:rFonts w:ascii="Times New Roman" w:eastAsia="Times New Roman" w:hAnsi="Times New Roman" w:cs="Times New Roman"/>
          <w:b/>
          <w:highlight w:val="white"/>
        </w:rPr>
        <w:t xml:space="preserve">ras asignadas a cada transcrito individuales </w:t>
      </w:r>
    </w:p>
    <w:p w:rsidR="00777120" w:rsidRPr="00DA794F" w:rsidRDefault="008142D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DA794F">
        <w:rPr>
          <w:rFonts w:ascii="Times New Roman" w:eastAsia="Times New Roman" w:hAnsi="Times New Roman" w:cs="Times New Roman"/>
          <w:highlight w:val="white"/>
        </w:rPr>
        <w:t xml:space="preserve">Herramienta </w:t>
      </w:r>
      <w:r w:rsidRPr="00DA794F">
        <w:rPr>
          <w:rFonts w:ascii="Times New Roman" w:eastAsia="Times New Roman" w:hAnsi="Times New Roman" w:cs="Times New Roman"/>
          <w:b/>
          <w:highlight w:val="white"/>
        </w:rPr>
        <w:t>featureCounts(Galaxy):</w:t>
      </w:r>
      <w:r w:rsidRPr="00DA794F">
        <w:rPr>
          <w:rFonts w:ascii="Times New Roman" w:eastAsia="Times New Roman" w:hAnsi="Times New Roman" w:cs="Times New Roman"/>
          <w:highlight w:val="white"/>
        </w:rPr>
        <w:t xml:space="preserve"> Consolida todas las lecturas en una tabla de conteo </w:t>
      </w:r>
    </w:p>
    <w:p w:rsidR="00777120" w:rsidRPr="00DA794F" w:rsidRDefault="008142D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highlight w:val="white"/>
        </w:rPr>
      </w:pPr>
      <w:r w:rsidRPr="00DA794F">
        <w:rPr>
          <w:rFonts w:ascii="Times New Roman" w:eastAsia="Times New Roman" w:hAnsi="Times New Roman" w:cs="Times New Roman"/>
          <w:b/>
          <w:highlight w:val="white"/>
        </w:rPr>
        <w:t>Identificación de genes específicos cuyos transcritos se expresan diferencialmente entre muestras.</w:t>
      </w:r>
    </w:p>
    <w:p w:rsidR="00777120" w:rsidRPr="00DA794F" w:rsidRDefault="008142D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DA794F">
        <w:rPr>
          <w:rFonts w:ascii="Times New Roman" w:eastAsia="Times New Roman" w:hAnsi="Times New Roman" w:cs="Times New Roman"/>
          <w:highlight w:val="white"/>
        </w:rPr>
        <w:t>Comparación directa de los niveles de expresión entre el control y las muestras antiguas, se mantendrán aquellos que se encuentren por encima del percentil 9</w:t>
      </w:r>
      <w:r w:rsidRPr="00DA794F">
        <w:rPr>
          <w:rFonts w:ascii="Times New Roman" w:eastAsia="Times New Roman" w:hAnsi="Times New Roman" w:cs="Times New Roman"/>
          <w:highlight w:val="white"/>
        </w:rPr>
        <w:t>5 de los niveles de expresión.</w:t>
      </w:r>
    </w:p>
    <w:p w:rsidR="00777120" w:rsidRPr="00DA794F" w:rsidRDefault="008142D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highlight w:val="white"/>
        </w:rPr>
      </w:pPr>
      <w:r w:rsidRPr="00DA794F">
        <w:rPr>
          <w:rFonts w:ascii="Times New Roman" w:eastAsia="Times New Roman" w:hAnsi="Times New Roman" w:cs="Times New Roman"/>
          <w:b/>
          <w:highlight w:val="white"/>
        </w:rPr>
        <w:t>Interpretación biológica de genes expresados diferencialmente.</w:t>
      </w:r>
    </w:p>
    <w:p w:rsidR="00777120" w:rsidRPr="00DA794F" w:rsidRDefault="008142D8">
      <w:pPr>
        <w:numPr>
          <w:ilvl w:val="1"/>
          <w:numId w:val="1"/>
        </w:numPr>
        <w:spacing w:after="240"/>
        <w:jc w:val="both"/>
        <w:rPr>
          <w:rFonts w:ascii="Times New Roman" w:eastAsia="Times New Roman" w:hAnsi="Times New Roman" w:cs="Times New Roman"/>
          <w:highlight w:val="white"/>
        </w:rPr>
      </w:pPr>
      <w:r w:rsidRPr="00DA794F">
        <w:rPr>
          <w:rFonts w:ascii="Times New Roman" w:eastAsia="Times New Roman" w:hAnsi="Times New Roman" w:cs="Times New Roman"/>
          <w:highlight w:val="white"/>
        </w:rPr>
        <w:t xml:space="preserve">Análisis de vías: Enriquecimiento de categorías funcionales de genes o superposición con conjuntos de genes.  Herramienta </w:t>
      </w:r>
      <w:r w:rsidRPr="00DA794F">
        <w:rPr>
          <w:rFonts w:ascii="Times New Roman" w:eastAsia="Times New Roman" w:hAnsi="Times New Roman" w:cs="Times New Roman"/>
          <w:b/>
          <w:highlight w:val="white"/>
        </w:rPr>
        <w:t>GeneOntolgy (</w:t>
      </w:r>
      <w:hyperlink r:id="rId8">
        <w:r w:rsidRPr="00DA794F">
          <w:rPr>
            <w:rFonts w:ascii="Times New Roman" w:eastAsia="Times New Roman" w:hAnsi="Times New Roman" w:cs="Times New Roman"/>
            <w:b/>
            <w:color w:val="1155CC"/>
            <w:highlight w:val="white"/>
            <w:u w:val="single"/>
          </w:rPr>
          <w:t>http://geneontology.org</w:t>
        </w:r>
      </w:hyperlink>
      <w:r w:rsidRPr="00DA794F">
        <w:rPr>
          <w:rFonts w:ascii="Times New Roman" w:eastAsia="Times New Roman" w:hAnsi="Times New Roman" w:cs="Times New Roman"/>
          <w:b/>
          <w:highlight w:val="white"/>
        </w:rPr>
        <w:t xml:space="preserve">). </w:t>
      </w:r>
    </w:p>
    <w:p w:rsidR="00777120" w:rsidRPr="00DA794F" w:rsidRDefault="008142D8">
      <w:pPr>
        <w:spacing w:before="240" w:after="240"/>
        <w:jc w:val="both"/>
        <w:rPr>
          <w:rFonts w:ascii="Times New Roman" w:eastAsia="Times New Roman" w:hAnsi="Times New Roman" w:cs="Times New Roman"/>
          <w:b/>
          <w:highlight w:val="white"/>
        </w:rPr>
      </w:pPr>
      <w:r w:rsidRPr="00DA794F">
        <w:rPr>
          <w:rFonts w:ascii="Times New Roman" w:eastAsia="Times New Roman" w:hAnsi="Times New Roman" w:cs="Times New Roman"/>
          <w:b/>
          <w:highlight w:val="white"/>
        </w:rPr>
        <w:t>PREGUNTAS:</w:t>
      </w:r>
    </w:p>
    <w:p w:rsidR="00777120" w:rsidRPr="00DA794F" w:rsidRDefault="008142D8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highlight w:val="white"/>
        </w:rPr>
      </w:pPr>
      <w:r w:rsidRPr="00DA794F">
        <w:rPr>
          <w:rFonts w:ascii="Times New Roman" w:eastAsia="Times New Roman" w:hAnsi="Times New Roman" w:cs="Times New Roman"/>
          <w:b/>
          <w:highlight w:val="white"/>
        </w:rPr>
        <w:t>Influencia de edad en los cánidos.</w:t>
      </w:r>
    </w:p>
    <w:p w:rsidR="000900DB" w:rsidRDefault="008142D8">
      <w:pPr>
        <w:spacing w:before="240" w:after="240"/>
        <w:jc w:val="both"/>
        <w:rPr>
          <w:rFonts w:ascii="Times New Roman" w:eastAsia="Times New Roman" w:hAnsi="Times New Roman" w:cs="Times New Roman"/>
          <w:highlight w:val="white"/>
        </w:rPr>
      </w:pPr>
      <w:r w:rsidRPr="00DA794F">
        <w:rPr>
          <w:rFonts w:ascii="Times New Roman" w:eastAsia="Times New Roman" w:hAnsi="Times New Roman" w:cs="Times New Roman"/>
          <w:highlight w:val="white"/>
        </w:rPr>
        <w:t>Una v</w:t>
      </w:r>
      <w:r w:rsidRPr="00DA794F">
        <w:rPr>
          <w:rFonts w:ascii="Times New Roman" w:eastAsia="Times New Roman" w:hAnsi="Times New Roman" w:cs="Times New Roman"/>
          <w:highlight w:val="white"/>
        </w:rPr>
        <w:t>ez obtenidos los resultados de expresión diferencial de genes, se tendrán en cuenta sólo aquellos que corresponden a genes</w:t>
      </w:r>
      <w:r w:rsidR="009A1A9C">
        <w:rPr>
          <w:rFonts w:ascii="Times New Roman" w:eastAsia="Times New Roman" w:hAnsi="Times New Roman" w:cs="Times New Roman"/>
          <w:highlight w:val="white"/>
        </w:rPr>
        <w:t xml:space="preserve"> </w:t>
      </w:r>
      <w:r w:rsidRPr="00DA794F">
        <w:rPr>
          <w:rFonts w:ascii="Times New Roman" w:eastAsia="Times New Roman" w:hAnsi="Times New Roman" w:cs="Times New Roman"/>
          <w:highlight w:val="white"/>
        </w:rPr>
        <w:t>que no cambian su expresión a lo largo de su ontogenia. Es por ello que en  el caso de observar una diferencia en la expresión de ge</w:t>
      </w:r>
      <w:r w:rsidRPr="00DA794F">
        <w:rPr>
          <w:rFonts w:ascii="Times New Roman" w:eastAsia="Times New Roman" w:hAnsi="Times New Roman" w:cs="Times New Roman"/>
          <w:highlight w:val="white"/>
        </w:rPr>
        <w:t>nes  que se sabe que solo cambian su expresión en estados juveniles, estos no serán tenidos en cuenta.</w:t>
      </w:r>
    </w:p>
    <w:p w:rsidR="000900DB" w:rsidRPr="00DA794F" w:rsidRDefault="000900DB">
      <w:pPr>
        <w:spacing w:before="240" w:after="240"/>
        <w:jc w:val="both"/>
        <w:rPr>
          <w:rFonts w:ascii="Times New Roman" w:eastAsia="Times New Roman" w:hAnsi="Times New Roman" w:cs="Times New Roman"/>
          <w:highlight w:val="white"/>
        </w:rPr>
      </w:pPr>
    </w:p>
    <w:p w:rsidR="00777120" w:rsidRPr="00DA794F" w:rsidRDefault="008142D8">
      <w:pPr>
        <w:numPr>
          <w:ilvl w:val="1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highlight w:val="white"/>
        </w:rPr>
      </w:pPr>
      <w:r w:rsidRPr="00DA794F">
        <w:rPr>
          <w:rFonts w:ascii="Times New Roman" w:eastAsia="Times New Roman" w:hAnsi="Times New Roman" w:cs="Times New Roman"/>
          <w:b/>
          <w:highlight w:val="white"/>
        </w:rPr>
        <w:lastRenderedPageBreak/>
        <w:t>El transcriptoma es dinámico &gt;&gt; Estrategia de normalización.</w:t>
      </w:r>
    </w:p>
    <w:p w:rsidR="00777120" w:rsidRPr="00DA794F" w:rsidRDefault="008142D8" w:rsidP="00DA794F">
      <w:pPr>
        <w:spacing w:before="240" w:after="240"/>
        <w:jc w:val="both"/>
        <w:rPr>
          <w:rFonts w:ascii="Times New Roman" w:eastAsia="Times New Roman" w:hAnsi="Times New Roman" w:cs="Times New Roman"/>
          <w:highlight w:val="white"/>
        </w:rPr>
      </w:pPr>
      <w:r w:rsidRPr="00DA794F">
        <w:rPr>
          <w:rFonts w:ascii="Times New Roman" w:eastAsia="Times New Roman" w:hAnsi="Times New Roman" w:cs="Times New Roman"/>
          <w:highlight w:val="white"/>
        </w:rPr>
        <w:t>Desde el punto de vista metodológico, las herramientas de normalización previa al ensamblaje</w:t>
      </w:r>
      <w:r w:rsidRPr="00DA794F">
        <w:rPr>
          <w:rFonts w:ascii="Times New Roman" w:eastAsia="Times New Roman" w:hAnsi="Times New Roman" w:cs="Times New Roman"/>
          <w:highlight w:val="white"/>
        </w:rPr>
        <w:t xml:space="preserve"> y mapeo (como RPKM, FPKM  y TPM) podrían ser útiles al momento de solucionar este punto; sin embargo, por la naturaleza de los datos que se van a usar para el cánido fósil, no es posible aplicar un análisis que considere tanto profundidad de la lectura co</w:t>
      </w:r>
      <w:r w:rsidRPr="00DA794F">
        <w:rPr>
          <w:rFonts w:ascii="Times New Roman" w:eastAsia="Times New Roman" w:hAnsi="Times New Roman" w:cs="Times New Roman"/>
          <w:highlight w:val="white"/>
        </w:rPr>
        <w:t>mo longitud del gen. Para este último no habría limitaciones, pero respecto a la profundidad de lectura hay que considerar que por ser material fósil el número de lecturas no es muy alto y la profundidad es difícil de determinar. A pesar de ello, el tejido</w:t>
      </w:r>
      <w:r w:rsidRPr="00DA794F">
        <w:rPr>
          <w:rFonts w:ascii="Times New Roman" w:eastAsia="Times New Roman" w:hAnsi="Times New Roman" w:cs="Times New Roman"/>
          <w:highlight w:val="white"/>
        </w:rPr>
        <w:t xml:space="preserve"> hepático reporta una de las coberturas más altas del estudio (50%) lo que da la confianza suficiente para realizar este estudio aún sin normalizar.</w:t>
      </w:r>
    </w:p>
    <w:p w:rsidR="00777120" w:rsidRPr="00DA794F" w:rsidRDefault="008142D8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highlight w:val="white"/>
        </w:rPr>
      </w:pPr>
      <w:r w:rsidRPr="00DA794F">
        <w:rPr>
          <w:rFonts w:ascii="Times New Roman" w:eastAsia="Times New Roman" w:hAnsi="Times New Roman" w:cs="Times New Roman"/>
          <w:b/>
          <w:highlight w:val="white"/>
        </w:rPr>
        <w:t>Limitaciones/ventajas de usar una referencia actual.</w:t>
      </w:r>
    </w:p>
    <w:tbl>
      <w:tblPr>
        <w:tblStyle w:val="a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660"/>
        <w:gridCol w:w="4789"/>
      </w:tblGrid>
      <w:tr w:rsidR="00777120" w:rsidRPr="00DA794F" w:rsidTr="000900DB">
        <w:tc>
          <w:tcPr>
            <w:tcW w:w="5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120" w:rsidRPr="00DA794F" w:rsidRDefault="00814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 w:rsidRPr="00DA794F">
              <w:rPr>
                <w:rFonts w:ascii="Times New Roman" w:eastAsia="Times New Roman" w:hAnsi="Times New Roman" w:cs="Times New Roman"/>
                <w:b/>
                <w:highlight w:val="white"/>
              </w:rPr>
              <w:t>Limitaciones</w:t>
            </w:r>
          </w:p>
        </w:tc>
        <w:tc>
          <w:tcPr>
            <w:tcW w:w="4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120" w:rsidRPr="00DA794F" w:rsidRDefault="00814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 w:rsidRPr="00DA794F">
              <w:rPr>
                <w:rFonts w:ascii="Times New Roman" w:eastAsia="Times New Roman" w:hAnsi="Times New Roman" w:cs="Times New Roman"/>
                <w:b/>
                <w:highlight w:val="white"/>
              </w:rPr>
              <w:t>Ventajas</w:t>
            </w:r>
          </w:p>
        </w:tc>
      </w:tr>
      <w:tr w:rsidR="00777120" w:rsidRPr="00DA794F" w:rsidTr="000900DB">
        <w:trPr>
          <w:trHeight w:val="1110"/>
        </w:trPr>
        <w:tc>
          <w:tcPr>
            <w:tcW w:w="5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120" w:rsidRPr="00DA794F" w:rsidRDefault="008142D8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 w:rsidRPr="00DA794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Es posible que se presente gaps en las lecturas, pues a pesar de que estamos empleando dos organismos del mismo género, presentan una distancia temporal de ~15.000 y cabe la posibilidad de que se hayan dado pequeñas variaciones en el genoma de cánido del p</w:t>
            </w:r>
            <w:r w:rsidRPr="00DA794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asado con respecto al del actual.  </w:t>
            </w:r>
          </w:p>
        </w:tc>
        <w:tc>
          <w:tcPr>
            <w:tcW w:w="4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120" w:rsidRPr="00DA794F" w:rsidRDefault="008142D8" w:rsidP="00DA794F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 w:rsidRPr="00DA794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Corresponde al genoma de un organismo modelo, con un alto nivel de anotación  y presentan una alta cercanía filogenética.</w:t>
            </w:r>
          </w:p>
        </w:tc>
      </w:tr>
      <w:tr w:rsidR="00777120" w:rsidRPr="00DA794F" w:rsidTr="000900DB">
        <w:trPr>
          <w:trHeight w:val="1110"/>
        </w:trPr>
        <w:tc>
          <w:tcPr>
            <w:tcW w:w="5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120" w:rsidRPr="00DA794F" w:rsidRDefault="008142D8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 w:rsidRPr="00DA794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La degradación del material fósil lleva a la formación de secuencias cortas que, pueden generar variaciones de tipo no biológico con respecto al genoma de referencia.</w:t>
            </w:r>
          </w:p>
        </w:tc>
        <w:tc>
          <w:tcPr>
            <w:tcW w:w="4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120" w:rsidRPr="00DA794F" w:rsidRDefault="008142D8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 w:rsidRPr="00DA794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Las muestras de los tejidos del pasado muestran una alta especificidad con respecto a la</w:t>
            </w:r>
            <w:r w:rsidRPr="00DA794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s del genoma de referencia (actual)</w:t>
            </w:r>
          </w:p>
        </w:tc>
      </w:tr>
      <w:tr w:rsidR="00777120" w:rsidRPr="00DA794F" w:rsidTr="000900DB">
        <w:trPr>
          <w:trHeight w:val="1110"/>
        </w:trPr>
        <w:tc>
          <w:tcPr>
            <w:tcW w:w="5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120" w:rsidRPr="00DA794F" w:rsidRDefault="008142D8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 w:rsidRPr="00DA794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La presencia de material genético contaminante (microbiano) que lleve a variaciones en las secuencias del cánido del pasado con respecto el actual</w:t>
            </w:r>
          </w:p>
        </w:tc>
        <w:tc>
          <w:tcPr>
            <w:tcW w:w="4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120" w:rsidRPr="00DA794F" w:rsidRDefault="00814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 w:rsidRPr="00DA794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Las muestras del tejido del pasado, muestran un alto porcentaje de cober</w:t>
            </w:r>
            <w:r w:rsidRPr="00DA794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tura con respecto al genoma de referencia contribuyendo a mejor el poder estadístico del análisis.</w:t>
            </w:r>
          </w:p>
        </w:tc>
      </w:tr>
    </w:tbl>
    <w:p w:rsidR="00777120" w:rsidRPr="00DA794F" w:rsidRDefault="008142D8" w:rsidP="00DA794F">
      <w:pPr>
        <w:pStyle w:val="Prrafodelista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b/>
          <w:highlight w:val="white"/>
        </w:rPr>
      </w:pPr>
      <w:r w:rsidRPr="00DA794F">
        <w:rPr>
          <w:rFonts w:ascii="Times New Roman" w:eastAsia="Times New Roman" w:hAnsi="Times New Roman" w:cs="Times New Roman"/>
          <w:b/>
          <w:highlight w:val="white"/>
        </w:rPr>
        <w:t xml:space="preserve">¿Por qué BLAST antes de cuantificar? ¿Qué </w:t>
      </w:r>
      <w:r w:rsidRPr="001133BC">
        <w:rPr>
          <w:rFonts w:ascii="Times New Roman" w:eastAsia="Times New Roman" w:hAnsi="Times New Roman" w:cs="Times New Roman"/>
          <w:b/>
          <w:highlight w:val="white"/>
        </w:rPr>
        <w:t>info</w:t>
      </w:r>
      <w:r w:rsidR="001133BC" w:rsidRPr="001133BC">
        <w:rPr>
          <w:rFonts w:ascii="Times New Roman" w:eastAsia="Times New Roman" w:hAnsi="Times New Roman" w:cs="Times New Roman"/>
          <w:b/>
          <w:highlight w:val="white"/>
        </w:rPr>
        <w:t>rmación</w:t>
      </w:r>
      <w:r w:rsidRPr="00DA794F">
        <w:rPr>
          <w:rFonts w:ascii="Times New Roman" w:eastAsia="Times New Roman" w:hAnsi="Times New Roman" w:cs="Times New Roman"/>
          <w:b/>
          <w:highlight w:val="white"/>
        </w:rPr>
        <w:t xml:space="preserve"> adicional esperamos obtener?</w:t>
      </w:r>
    </w:p>
    <w:p w:rsidR="00777120" w:rsidRPr="00DA794F" w:rsidRDefault="008142D8">
      <w:pPr>
        <w:spacing w:before="240" w:after="240"/>
        <w:jc w:val="both"/>
        <w:rPr>
          <w:rFonts w:ascii="Times New Roman" w:eastAsia="Times New Roman" w:hAnsi="Times New Roman" w:cs="Times New Roman"/>
          <w:highlight w:val="white"/>
        </w:rPr>
      </w:pPr>
      <w:r w:rsidRPr="00DA794F">
        <w:rPr>
          <w:rFonts w:ascii="Times New Roman" w:eastAsia="Times New Roman" w:hAnsi="Times New Roman" w:cs="Times New Roman"/>
          <w:highlight w:val="white"/>
        </w:rPr>
        <w:t>L</w:t>
      </w:r>
      <w:r w:rsidRPr="00DA794F">
        <w:rPr>
          <w:rFonts w:ascii="Times New Roman" w:eastAsia="Times New Roman" w:hAnsi="Times New Roman" w:cs="Times New Roman"/>
          <w:highlight w:val="white"/>
        </w:rPr>
        <w:t xml:space="preserve">levar a cabo un blast antes de proceder a la cuantificación, permitirá obtener información acerca de qué genes están expresándose, </w:t>
      </w:r>
      <w:r w:rsidRPr="000900DB">
        <w:rPr>
          <w:rFonts w:ascii="Times New Roman" w:eastAsia="Times New Roman" w:hAnsi="Times New Roman" w:cs="Times New Roman"/>
        </w:rPr>
        <w:t xml:space="preserve">obtener </w:t>
      </w:r>
      <w:r w:rsidRPr="000900DB">
        <w:rPr>
          <w:rFonts w:ascii="Times New Roman" w:eastAsia="Times New Roman" w:hAnsi="Times New Roman" w:cs="Times New Roman"/>
        </w:rPr>
        <w:t>id’s</w:t>
      </w:r>
      <w:r w:rsidRPr="000900DB">
        <w:rPr>
          <w:rFonts w:ascii="Times New Roman" w:eastAsia="Times New Roman" w:hAnsi="Times New Roman" w:cs="Times New Roman"/>
        </w:rPr>
        <w:t xml:space="preserve"> y con ello </w:t>
      </w:r>
      <w:r w:rsidRPr="00DA794F">
        <w:rPr>
          <w:rFonts w:ascii="Times New Roman" w:eastAsia="Times New Roman" w:hAnsi="Times New Roman" w:cs="Times New Roman"/>
          <w:highlight w:val="white"/>
        </w:rPr>
        <w:t>se podrá seleccionar o  descartar aquellos que cumplan o no con el objetivo del análisis. Además, te</w:t>
      </w:r>
      <w:r w:rsidRPr="00DA794F">
        <w:rPr>
          <w:rFonts w:ascii="Times New Roman" w:eastAsia="Times New Roman" w:hAnsi="Times New Roman" w:cs="Times New Roman"/>
          <w:highlight w:val="white"/>
        </w:rPr>
        <w:t>niendo en cuenta algunas de las limitaciones presentadas anteriormente, para analizar fuentes potenciales de lecturas no asignadas se puede inspeccionar manualmente algunas secuencias de lectura seleccionadas al azar y ejecutar un BLAST con las lecturas no</w:t>
      </w:r>
      <w:r w:rsidRPr="00DA794F">
        <w:rPr>
          <w:rFonts w:ascii="Times New Roman" w:eastAsia="Times New Roman" w:hAnsi="Times New Roman" w:cs="Times New Roman"/>
          <w:highlight w:val="white"/>
        </w:rPr>
        <w:t xml:space="preserve"> asignadas como consultas contra una base de datos de nucleótidos no redundante (NR) de NCBI. Esto nos indicará si las muestras han sido contaminadas </w:t>
      </w:r>
      <w:r w:rsidRPr="00DA794F">
        <w:rPr>
          <w:rFonts w:ascii="Times New Roman" w:eastAsia="Times New Roman" w:hAnsi="Times New Roman" w:cs="Times New Roman"/>
          <w:highlight w:val="white"/>
        </w:rPr>
        <w:t xml:space="preserve">por </w:t>
      </w:r>
      <w:r w:rsidRPr="001F0040">
        <w:rPr>
          <w:rFonts w:ascii="Times New Roman" w:eastAsia="Times New Roman" w:hAnsi="Times New Roman" w:cs="Times New Roman"/>
        </w:rPr>
        <w:t>DN</w:t>
      </w:r>
      <w:r w:rsidR="001F0040" w:rsidRPr="001F0040">
        <w:rPr>
          <w:rFonts w:ascii="Times New Roman" w:eastAsia="Times New Roman" w:hAnsi="Times New Roman" w:cs="Times New Roman"/>
        </w:rPr>
        <w:t>A</w:t>
      </w:r>
      <w:r w:rsidRPr="001F0040">
        <w:rPr>
          <w:rFonts w:ascii="Times New Roman" w:eastAsia="Times New Roman" w:hAnsi="Times New Roman" w:cs="Times New Roman"/>
        </w:rPr>
        <w:t>/</w:t>
      </w:r>
      <w:r w:rsidRPr="001F0040">
        <w:rPr>
          <w:rFonts w:ascii="Times New Roman" w:eastAsia="Times New Roman" w:hAnsi="Times New Roman" w:cs="Times New Roman"/>
        </w:rPr>
        <w:t>RN</w:t>
      </w:r>
      <w:r w:rsidR="001F0040" w:rsidRPr="001F0040">
        <w:rPr>
          <w:rFonts w:ascii="Times New Roman" w:eastAsia="Times New Roman" w:hAnsi="Times New Roman" w:cs="Times New Roman"/>
        </w:rPr>
        <w:t>A</w:t>
      </w:r>
      <w:r w:rsidRPr="001F0040">
        <w:rPr>
          <w:rFonts w:ascii="Times New Roman" w:eastAsia="Times New Roman" w:hAnsi="Times New Roman" w:cs="Times New Roman"/>
        </w:rPr>
        <w:t xml:space="preserve"> de otras </w:t>
      </w:r>
      <w:r w:rsidRPr="00DA794F">
        <w:rPr>
          <w:rFonts w:ascii="Times New Roman" w:eastAsia="Times New Roman" w:hAnsi="Times New Roman" w:cs="Times New Roman"/>
          <w:highlight w:val="white"/>
        </w:rPr>
        <w:t>especies (por ejemplo, bacterias) o por artefactos de la construcción de la bibliot</w:t>
      </w:r>
      <w:r w:rsidRPr="00DA794F">
        <w:rPr>
          <w:rFonts w:ascii="Times New Roman" w:eastAsia="Times New Roman" w:hAnsi="Times New Roman" w:cs="Times New Roman"/>
          <w:highlight w:val="white"/>
        </w:rPr>
        <w:t>eca.</w:t>
      </w:r>
    </w:p>
    <w:p w:rsidR="00777120" w:rsidRPr="00DA794F" w:rsidRDefault="008142D8">
      <w:pPr>
        <w:spacing w:before="240" w:after="240"/>
        <w:jc w:val="both"/>
        <w:rPr>
          <w:rFonts w:ascii="Times New Roman" w:eastAsia="Times New Roman" w:hAnsi="Times New Roman" w:cs="Times New Roman"/>
          <w:highlight w:val="white"/>
        </w:rPr>
      </w:pPr>
      <w:r w:rsidRPr="00DA794F">
        <w:rPr>
          <w:rFonts w:ascii="Times New Roman" w:eastAsia="Times New Roman" w:hAnsi="Times New Roman" w:cs="Times New Roman"/>
          <w:highlight w:val="white"/>
        </w:rPr>
        <w:t>Adicionalmente, esta herramienta nos podría dar una base de significancia estadística a partir del valor E proporcionado. En este sentido, si se encuentra que algún gen tiene un valor E bajo puede descartarse antes de tenerlo en cuenta en el conteo po</w:t>
      </w:r>
      <w:r w:rsidRPr="00DA794F">
        <w:rPr>
          <w:rFonts w:ascii="Times New Roman" w:eastAsia="Times New Roman" w:hAnsi="Times New Roman" w:cs="Times New Roman"/>
          <w:highlight w:val="white"/>
        </w:rPr>
        <w:t>rque su efecto está dado por el azar y no por un fenómeno biológico. También podemos aplicar un filtro adicional de calidad asociado al score y centrarnos en valores altos que nos indiquen mayor similitud durante el alineamiento.</w:t>
      </w:r>
    </w:p>
    <w:p w:rsidR="00777120" w:rsidRPr="00DA794F" w:rsidRDefault="008142D8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highlight w:val="white"/>
        </w:rPr>
      </w:pPr>
      <w:r w:rsidRPr="00DA794F">
        <w:rPr>
          <w:rFonts w:ascii="Times New Roman" w:eastAsia="Times New Roman" w:hAnsi="Times New Roman" w:cs="Times New Roman"/>
          <w:b/>
          <w:highlight w:val="white"/>
        </w:rPr>
        <w:t>Efecto de Batch (lote) &gt; V</w:t>
      </w:r>
      <w:r w:rsidRPr="00DA794F">
        <w:rPr>
          <w:rFonts w:ascii="Times New Roman" w:eastAsia="Times New Roman" w:hAnsi="Times New Roman" w:cs="Times New Roman"/>
          <w:b/>
          <w:highlight w:val="white"/>
        </w:rPr>
        <w:t>ariación técnica genera cambios de expresión.</w:t>
      </w:r>
    </w:p>
    <w:p w:rsidR="00777120" w:rsidRPr="00DA794F" w:rsidRDefault="008142D8">
      <w:pPr>
        <w:spacing w:before="240" w:after="240"/>
        <w:jc w:val="both"/>
        <w:rPr>
          <w:rFonts w:ascii="Times New Roman" w:eastAsia="Times New Roman" w:hAnsi="Times New Roman" w:cs="Times New Roman"/>
          <w:highlight w:val="white"/>
        </w:rPr>
      </w:pPr>
      <w:r w:rsidRPr="00DA794F">
        <w:rPr>
          <w:rFonts w:ascii="Times New Roman" w:eastAsia="Times New Roman" w:hAnsi="Times New Roman" w:cs="Times New Roman"/>
          <w:highlight w:val="white"/>
        </w:rPr>
        <w:t>El efecto Batch se da en datos procedentes de distinto laboratorio, estudio o tratados con distinto protocolo; los efectos sistemáticos introducidos sobre los datos hacen que difieran y la normalización no se</w:t>
      </w:r>
      <w:r w:rsidRPr="00DA794F">
        <w:rPr>
          <w:rFonts w:ascii="Times New Roman" w:eastAsia="Times New Roman" w:hAnsi="Times New Roman" w:cs="Times New Roman"/>
          <w:highlight w:val="white"/>
        </w:rPr>
        <w:t>aa capaz de compensarlos completamente. Frente a esto, la plataforma de NCBI Run Selector es clave para verificar el detalle de cada uno de los experimentos; las muestras que serán tenidas en cuenta para este estudio corresponden al mismo género, método (I</w:t>
      </w:r>
      <w:r w:rsidRPr="00DA794F">
        <w:rPr>
          <w:rFonts w:ascii="Times New Roman" w:eastAsia="Times New Roman" w:hAnsi="Times New Roman" w:cs="Times New Roman"/>
          <w:highlight w:val="white"/>
        </w:rPr>
        <w:t xml:space="preserve">llumina HiSeq 2500) y protocolo (Dr. Andrew M. Hoffman, Cummings School of Veterinary Medicine, Tufts University). Así, el único factor que no se puede controlar es la edad del organismo y ya se discutió anteriormente.  </w:t>
      </w:r>
    </w:p>
    <w:sectPr w:rsidR="00777120" w:rsidRPr="00DA794F" w:rsidSect="009C11C6">
      <w:headerReference w:type="default" r:id="rId9"/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42D8" w:rsidRDefault="008142D8" w:rsidP="00DA794F">
      <w:pPr>
        <w:spacing w:line="240" w:lineRule="auto"/>
      </w:pPr>
      <w:r>
        <w:separator/>
      </w:r>
    </w:p>
  </w:endnote>
  <w:endnote w:type="continuationSeparator" w:id="0">
    <w:p w:rsidR="008142D8" w:rsidRDefault="008142D8" w:rsidP="00DA79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42D8" w:rsidRDefault="008142D8" w:rsidP="00DA794F">
      <w:pPr>
        <w:spacing w:line="240" w:lineRule="auto"/>
      </w:pPr>
      <w:r>
        <w:separator/>
      </w:r>
    </w:p>
  </w:footnote>
  <w:footnote w:type="continuationSeparator" w:id="0">
    <w:p w:rsidR="008142D8" w:rsidRDefault="008142D8" w:rsidP="00DA79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A794F" w:rsidRPr="00DA794F" w:rsidRDefault="00DA794F">
    <w:pPr>
      <w:pStyle w:val="Encabezado"/>
      <w:rPr>
        <w:rFonts w:ascii="Times New Roman" w:hAnsi="Times New Roman" w:cs="Times New Roman"/>
        <w:lang w:val="es-ES"/>
      </w:rPr>
    </w:pPr>
    <w:r w:rsidRPr="00DA794F">
      <w:rPr>
        <w:rFonts w:ascii="Times New Roman" w:hAnsi="Times New Roman" w:cs="Times New Roman"/>
        <w:lang w:val="es-ES"/>
      </w:rPr>
      <w:t>Catalina Sánchez y David Cardona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833D1"/>
    <w:multiLevelType w:val="hybridMultilevel"/>
    <w:tmpl w:val="2CF8A6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4697025"/>
    <w:multiLevelType w:val="multilevel"/>
    <w:tmpl w:val="067E748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5D0285"/>
    <w:multiLevelType w:val="multilevel"/>
    <w:tmpl w:val="9A1EFA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120"/>
    <w:rsid w:val="000900DB"/>
    <w:rsid w:val="001133BC"/>
    <w:rsid w:val="001F0040"/>
    <w:rsid w:val="005D7DA4"/>
    <w:rsid w:val="00777120"/>
    <w:rsid w:val="008142D8"/>
    <w:rsid w:val="009A1A9C"/>
    <w:rsid w:val="009C11C6"/>
    <w:rsid w:val="00AF770C"/>
    <w:rsid w:val="00BC0326"/>
    <w:rsid w:val="00D40911"/>
    <w:rsid w:val="00DA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6F6DFF"/>
  <w15:docId w15:val="{28B75F95-773B-784A-8344-57C68551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A794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A794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794F"/>
  </w:style>
  <w:style w:type="paragraph" w:styleId="Piedepgina">
    <w:name w:val="footer"/>
    <w:basedOn w:val="Normal"/>
    <w:link w:val="PiedepginaCar"/>
    <w:uiPriority w:val="99"/>
    <w:unhideWhenUsed/>
    <w:rsid w:val="00DA794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eontology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bi.ac.uk/ena/data/search?GALAXY_URL=https%3A//usegalaxy.org/tool_runner%3Ftool_id%3Debi_sra_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1163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Catalina Sofía Sánchez Melo</cp:lastModifiedBy>
  <cp:revision>2</cp:revision>
  <dcterms:created xsi:type="dcterms:W3CDTF">2020-04-23T23:41:00Z</dcterms:created>
  <dcterms:modified xsi:type="dcterms:W3CDTF">2020-04-23T23:41:00Z</dcterms:modified>
</cp:coreProperties>
</file>