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breast cancer cases, approximately 6% are classified as metastatic breast cancer (MBC), where the cancer has spread to distant tissues. The 5-year survival rate for MBC is only 29.0%, highlighting the urgent need for effective treatment options.</w:t>
        <w:br/>
        <w:br/>
        <w:t>The majority of breast cancer cases are hormone receptor-positive (HR+) and human epidermal growth factor receptor 2-negative (HER2-), accounting for 68% of cases. For patients with first-line HR+/HER2- MBC, the National Comprehensive Cancer Network (NCCN) treatment guidelines recommend the use of a cyclin-dependent kinase 4/6 (CDK4/6) inhibitor in combination with endocrine therapy. This treatment approach has shown promising results in improving outcomes for both pre- and postmenopausal women, as well as men, with HR+/HER2- MBC.</w:t>
        <w:br/>
        <w:br/>
        <w:t>One such CDK4/6 inhibitor is palbociclib, which was approved in February 2015 for the first-line treatment of HR+/HER2- MBC in combination with an aromatase inhibitor. It was later approved in February 2016 in combination with fulvestrant for patients who had progressed while on prior endocrine therapy. The PALOMA-2 trial, a phase 3 study, evaluated the efficacy of palbociclib plus letrozole versus letrozole plus placebo as first-line treatment for estrogen receptor-positive/HER2- MBC. The trial demonstrated a significant prolongation of median progression-free survival (PFS) with the combination therapy, although overall survival (OS) data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Emerging real-world data on palbociclib have demonstrated its safety and effectiveness when used in combination with endocrine therapy for HR+/HER2- MBC. Comparative effectiveness studies using the Flatiron Health Analytic Database have shown longer real-world PFS and OS among patients treated with palbociclib plus letrozole compared to letrozole alone. These studies also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