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Module 16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TDD LTE &amp; PHY DU Impact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How TDD differs from FDD and what it forces to change: the frame and special subframe, PRACH format 4, HARQ/PUCCH, PSS/SSS positions, RF off-power/timing, and the PHY DU impact.</w:t>
      </w:r>
    </w:p>
    <w:p>
      <w:pPr>
        <w:pStyle w:val="Heading1"/>
      </w:pPr>
      <w:r>
        <w:t xml:space="preserve">1. TDD vs FDD</w:t>
      </w:r>
    </w:p>
    <w:p>
      <w:pPr>
        <w:spacing w:after="120"/>
      </w:pPr>
      <w:r>
        <w:t xml:space="preserve">Time-Division Duplex (TDD) puts downlink and uplink in different, non-overlapping time slots on the SAME frequency, so it works in unpaired spectrum (FDD needs paired UL/DL frequencies). B41 is your TDD band; B1/B3/B8/etc are FDD.</w:t>
      </w:r>
    </w:p>
    <w:p>
      <w:pPr>
        <w:pStyle w:val="Heading1"/>
      </w:pPr>
      <w:r>
        <w:t xml:space="preserve">2. The frame and the special subframe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2609850"/>
            <wp:effectExtent t="0" r="0" b="0" l="0"/>
            <wp:docPr id="1" name="m16_tddframe.png" descr="TDD frame type 2 (UL/DL config 3) with a special subframe (config 8)." title="TDD frame type 2 (UL/DL config 3) with a special subframe (config 8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TDD frame type 2 (UL/DL config 3) with a special subframe (config 8).</w:t>
      </w:r>
    </w:p>
    <w:p>
      <w:pPr>
        <w:spacing w:after="120"/>
      </w:pPr>
      <w:r>
        <w:t xml:space="preserve">A radio frame is 10 subframes in two half-frames of 5. A TDD frame mixes Downlink (D), Uplink (U), and Special (S) subframes. PW products use two combinations: </w:t>
      </w:r>
      <w:r>
        <w:rPr>
          <w:b/>
          <w:bCs/>
        </w:rPr>
        <w:t xml:space="preserve">(2,7)</w:t>
      </w:r>
      <w:r>
        <w:t xml:space="preserve"> and </w:t>
      </w:r>
      <w:r>
        <w:rPr>
          <w:b/>
          <w:bCs/>
        </w:rPr>
        <w:t xml:space="preserve">(3,8)</w:t>
      </w:r>
      <w:r>
        <w:t xml:space="preserve"> - meaning (UL/DL configuration, special-subframe configuration). The special subframe splits into </w:t>
      </w:r>
      <w:r>
        <w:rPr>
          <w:b/>
          <w:bCs/>
        </w:rPr>
        <w:t xml:space="preserve">DwPTS</w:t>
      </w:r>
      <w:r>
        <w:t xml:space="preserve"> (downlink data), a </w:t>
      </w:r>
      <w:r>
        <w:rPr>
          <w:b/>
          <w:bCs/>
        </w:rPr>
        <w:t xml:space="preserve">Guard Period</w:t>
      </w:r>
      <w:r>
        <w:t xml:space="preserve"> (protects against propagation delay during the DL-&gt;UL turnaround), and </w:t>
      </w:r>
      <w:r>
        <w:rPr>
          <w:b/>
          <w:bCs/>
        </w:rPr>
        <w:t xml:space="preserve">UpPTS</w:t>
      </w:r>
      <w:r>
        <w:t xml:space="preserve"> (too short for data - used for SRS or PRACH, or left as extra guard). Config 8 = DwPTS 11 sym, GP 1, UpPTS 2; config 7 = DwPTS 10, GP 2, UpPTS 2.</w:t>
      </w:r>
    </w:p>
    <w:p>
      <w:pPr>
        <w:pStyle w:val="Heading1"/>
      </w:pPr>
      <w:r>
        <w:t xml:space="preserve">3. PRACH in TDD</w:t>
      </w:r>
    </w:p>
    <w:p>
      <w:pPr>
        <w:spacing w:after="120"/>
      </w:pPr>
      <w:r>
        <w:t xml:space="preserve">TDD has fewer UL subframes, so to keep random-access capacity it can put multiple PRACH regions in one subframe (frequency-domain multiplexing). </w:t>
      </w:r>
      <w:r>
        <w:rPr>
          <w:b/>
          <w:bCs/>
        </w:rPr>
        <w:t xml:space="preserve">Format 4</w:t>
      </w:r>
      <w:r>
        <w:t xml:space="preserve"> is TDD-only: the preamble rides in the short UpPTS field (very small cells only), freeing the normal UL subframes for throughput. Note the FHGW limitation: only PRACH config index 4 is supported, and only Frame Config 2 / Special Subframe Config 6.</w:t>
      </w:r>
    </w:p>
    <w:p>
      <w:pPr>
        <w:pStyle w:val="Heading1"/>
      </w:pPr>
      <w:r>
        <w:t xml:space="preserve">4. UCI and HARQ - the bit-count problem</w:t>
      </w:r>
    </w:p>
    <w:p>
      <w:pPr>
        <w:spacing w:after="120"/>
      </w:pPr>
      <w:r>
        <w:t xml:space="preserve">With fewer UL subframes, each one must carry the ACK/NACKs for several DL subframes, so HARQ bit counts per UL subframe grow (worst case M=4 DL slots per UL slot). Consequences: PUCCH format 1b with channel selection covers up to 4 HARQ bits; beyond that (multiple carriers/codewords) you need format 3; bundling (logical AND of ACKs) reduces the count (e.g. 16 ACKs/frame down to 8). The scheduler must allocate more resources to keep the coding rate.</w:t>
      </w:r>
    </w:p>
    <w:p>
      <w:pPr>
        <w:pStyle w:val="Heading1"/>
      </w:pPr>
      <w:r>
        <w:t xml:space="preserve">5. PSS/SSS and control channels 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FDD position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TDD position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PSS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last symbol of slots 0 and 10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3rd symbol of the special subframes (sf 1 and 6)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SSS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2nd-to-last symbol of slots 0/10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last symbol of slot 1 (sf 0) and slot 11 (sf 5)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PDCCH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up to 3 OFDM symbols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&lt;=2 symbols in sf 1 and 6 (PSS occupies the 3rd)</w:t>
            </w:r>
          </w:p>
        </w:tc>
      </w:tr>
    </w:tbl>
    <w:p>
      <w:pPr>
        <w:spacing w:after="120"/>
      </w:pPr>
      <w:r>
        <w:t xml:space="preserve">The PSS/SSS offset even lets a UE detect whether a carrier is FDD or TDD.</w:t>
      </w:r>
    </w:p>
    <w:p>
      <w:pPr>
        <w:pStyle w:val="Heading1"/>
      </w:pPr>
      <w:r>
        <w:t xml:space="preserve">6. RF and system aspects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Off-power mask: </w:t>
      </w:r>
      <w:r>
        <w:t xml:space="preserve">TDD defines the transmitter OFF power during UL subframes and the maximum ON&lt;-&gt;OFF transient time (Module 7's gated measurement).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 stress: </w:t>
      </w:r>
      <w:r>
        <w:t xml:space="preserve">the DL/UL discontinuity means the PA switches on and off, which can degrade its performance - a reason CFR/DPD and bias sequencing matter.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Tighter timing: </w:t>
      </w:r>
      <w:r>
        <w:t xml:space="preserve">TDD needs stringent time synchronization (grandmaster/PTP) to avoid UL/DL interference between neighbouring cells (cross-slot interference).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Reciprocity: </w:t>
      </w:r>
      <w:r>
        <w:t xml:space="preserve">because UL and DL share the frequency, SRS measurements can drive DL beamforming - a big TDD advantage for massive MIMO (Module 9).</w:t>
      </w:r>
    </w:p>
    <w:p>
      <w:pPr>
        <w:pStyle w:val="Heading1"/>
      </w:pPr>
      <w:r>
        <w:t xml:space="preserve">7. What changes in the PHY DU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TDD change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PRACH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format 4 support; frequency-domain multiplexing; config-index constraints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PUCCH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support format 3 and 1b-with-channel-selection tables for more HARQ bits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UCI over PUSCH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handle the increased HARQ bit count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Slot length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PDSCH/PUSCH must handle special-slot lengths (11/12 sym, not 14)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PSS/SSS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place them at the TDD positions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PDCCH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restrict control region in sf 1/6; TDD-appropriate DCI sizes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Timing / SRS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more accurate TA loop; implement SRS receiver; mitigate cross-slot interference</w:t>
            </w:r>
          </w:p>
        </w:tc>
      </w:tr>
    </w:tbl>
    <w:p>
      <w:pPr>
        <w:pStyle w:val="Heading1"/>
      </w:pPr>
      <w:r>
        <w:t xml:space="preserve">8. Self-check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can TDD use unpaired spectrum but FDD cannot?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are the three parts of the special subframe, and what is the guard period for?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does TDD need more HARQ bits per UL subframe?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TDD-only advantage helps DL beamforming?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TDD separates UL and DL in time on one frequency; FDD separates them in frequency, needing a pair.</w:t>
            </w:r>
          </w:p>
          <w:p>
            <w:pPr>
              <w:spacing w:after="40"/>
            </w:pPr>
            <w:r>
              <w:t xml:space="preserve">2. DwPTS (DL data), Guard Period (covers propagation delay in the DL-&gt;UL switch), UpPTS (SRS/PRACH). </w:t>
            </w:r>
          </w:p>
          <w:p>
            <w:pPr>
              <w:spacing w:after="40"/>
            </w:pPr>
            <w:r>
              <w:t xml:space="preserve">3. Fewer UL subframes must acknowledge more DL subframes.</w:t>
            </w:r>
          </w:p>
          <w:p>
            <w:pPr>
              <w:spacing w:after="40"/>
            </w:pPr>
            <w:r>
              <w:t xml:space="preserve">4. Channel reciprocity - UL SRS measurements apply to the DL because both share the frequency.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TDD = UL and DL time-shared on one frequency; frame type 2 with a special subframe (DwPTS/GP/UpPTS).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Consequences ripple through PRACH (format 4), HARQ/PUCCH (more bits), PSS/SSS positions, and timing.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Reciprocity is the upside: SRS drives DL beamforming. FHGW supports frame config 2 / SSF 6, PRACH index 4.</w:t>
      </w:r>
    </w:p>
    <w:p>
      <w:pPr>
        <w:spacing w:after="120"/>
      </w:pPr>
      <w:r>
        <w:rPr>
          <w:i/>
          <w:iCs/>
          <w:color w:val="1F3864"/>
        </w:rPr>
        <w:t xml:space="preserve">Built from your TDD LTE Impact on PHY DU deck. This complements Module 7 (TDD gating) and Module 8 (PRACH).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Module 16: TDD LTE &amp; PHY DU Impact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b906b93953b27740ca9e59f5445665c8cea95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2026-07-01T11:46:20.375Z</dcterms:created>
  <dcterms:modified xsi:type="dcterms:W3CDTF">2026-07-01T11:46:20.375Z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