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52"/>
          <w:szCs w:val="52"/>
        </w:rPr>
        <w:t xml:space="preserve">HERNÁN M. PARDIÑAS</w:t>
      </w:r>
    </w:p>
    <w:p>
      <w:pPr>
        <w:spacing w:before="0" w:after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563A8"/>
          <w:sz w:val="26"/>
          <w:szCs w:val="26"/>
        </w:rPr>
        <w:t xml:space="preserve">Payments Transformation &amp; Innovation Executive</w:t>
      </w:r>
    </w:p>
    <w:p>
      <w:pPr>
        <w:pBdr>
          <w:bottom w:val="single" w:color="D4A843" w:sz="14" w:space="0"/>
        </w:pBdr>
        <w:spacing w:before="0"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spacing w:before="0" w:after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Pembroke Pines, FL  |  US Citizen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8D6E8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+1-754-284-7214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8D6E8"/>
          <w:sz w:val="18"/>
          <w:szCs w:val="18"/>
        </w:rPr>
        <w:t xml:space="preserve">     |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7DD8"/>
          <w:sz w:val="18"/>
          <w:szCs w:val="18"/>
        </w:rPr>
        <w:t xml:space="preserve">fisu2010@gmail.com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8D6E8"/>
          <w:sz w:val="18"/>
          <w:szCs w:val="18"/>
        </w:rPr>
        <w:t xml:space="preserve">     |     </w:t>
      </w:r>
      <w:hyperlink w:history="1" r:id="rIduxfzuksdoli5fagz0qtmo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3B7DD8"/>
            <w:sz w:val="18"/>
            <w:szCs w:val="18"/>
            <w:u w:val="single"/>
          </w:rPr>
          <w:t xml:space="preserve">LinkedIn Profile</w:t>
        </w:r>
      </w:hyperlink>
    </w:p>
    <w:p>
      <w:pPr>
        <w:pBdr>
          <w:bottom w:val="single" w:color="D4A843" w:sz="12" w:space="60"/>
        </w:pBdr>
        <w:spacing w:before="22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EXECUTIVE SUMMARY</w:t>
      </w:r>
    </w:p>
    <w:p>
      <w:pPr>
        <w:spacing w:before="80" w:after="100" w:line="28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Senior payments leader with 20+ years of experience guiding Tier-1 banks and fintechs through complex modernization programs spanning ISO 20022 migration, real-time payments (RTP/FedNow), cross-border rails, and digital asset enablement. Combines deep global operator credibility — including former COO and global P&amp;L ownership — with strategic advisory depth to help financial institutions navigate enterprise payment transformation, innovation adoption, and commercial &amp; wealth ecosystem evolution. Proven track record delivering 50%+ revenue growth, launching first-of-kind digital products, and building advisory practices generating $30MM+ in year-two revenue.</w:t>
      </w:r>
    </w:p>
    <w:p>
      <w:pPr>
        <w:pBdr>
          <w:bottom w:val="single" w:color="D4A843" w:sz="12" w:space="60"/>
        </w:pBdr>
        <w:spacing w:before="22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CORE EXPERTISE</w:t>
      </w:r>
    </w:p>
    <w:p>
      <w:pPr>
        <w:spacing w:before="0" w:after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Enterprise Payments Modernization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ISO 20022 Migration &amp; Strategy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Real-Time Payments (RTP / FedNow)</w:t>
            </w:r>
          </w:p>
        </w:tc>
      </w:tr>
      <w:tr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Cross-Border &amp; FX Rails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Commercial &amp; Wealth Payments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Gateway &amp; Orchestration Design</w:t>
            </w:r>
          </w:p>
        </w:tc>
      </w:tr>
      <w:tr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Digital Assets &amp; Stablecoin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Vendor Evaluation &amp; Selection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Target Operating Model Design</w:t>
            </w:r>
          </w:p>
        </w:tc>
      </w:tr>
      <w:tr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Transformation Governance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Executive Stakeholder Advisory</w:t>
            </w:r>
          </w:p>
        </w:tc>
        <w:tc>
          <w:tcPr>
            <w:tcW w:type="dxa" w:w="3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7DD8"/>
                <w:sz w:val="16"/>
                <w:szCs w:val="16"/>
              </w:rPr>
              <w:t xml:space="preserve">✦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Payment System Architecture</w:t>
            </w:r>
          </w:p>
        </w:tc>
      </w:tr>
    </w:tbl>
    <w:p>
      <w:pPr>
        <w:spacing w:before="0" w:after="2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bottom w:val="single" w:color="D4A843" w:sz="12" w:space="60"/>
        </w:pBdr>
        <w:spacing w:before="22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PROFESSIONAL EXPERIENCE</w:t>
      </w:r>
    </w:p>
    <w:p>
      <w:pPr>
        <w:tabs>
          <w:tab w:val="right" w:pos="10512"/>
        </w:tabs>
        <w:spacing w:before="200" w:after="3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Principal Consultant — Commercial &amp; Wealth Payments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	2023 – Present</w:t>
      </w:r>
    </w:p>
    <w:p>
      <w:pPr>
        <w:spacing w:before="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B7DD8"/>
          <w:sz w:val="20"/>
          <w:szCs w:val="20"/>
        </w:rPr>
        <w:t xml:space="preserve">Capco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●   Miami, FL</w:t>
      </w:r>
    </w:p>
    <w:p>
      <w:pPr>
        <w:spacing w:before="0" w:after="8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Senior payments transformation advisor to Tier-1 financial institutions on modernization strategy, innovation enablement, and commercial &amp; wealth payment evolution.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Advise C-suite stakeholders on end-to-end payments transformation: ISO 20022 migration, RTP/FedNow enablement, cross-border modernization, and digital asset integration.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Lead governance across four concurrent transformation workstreams — product, risk, operations, and technology — ensuring regulatory alignment and delivery milestones.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Architect orchestration agent frameworks to intelligently route payments between alternative real-time rails and traditional correspondent banking based on cost, speed, and compliance criteria.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Drive Commercial Payments practice development: client presentations, board-level business cases for payment gateway investments, and cross-border rail ROI analyses.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Design structured vendor evaluation frameworks for clients assessing Stripe, FIS, Fiserv, Dwolla, Paymentus, Payment Vision, and Plaid as payment partners.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Develop comprehensive payment transformation playbooks for 3+ year programs spanning multiple financial institutions and technology modernization workstreams.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Author thought leadership on ISO 20022 compliance, cross-border quasi-real-time remittances, and alternative direct payment methods for Tier-1 bank audiences.</w:t>
      </w:r>
    </w:p>
    <w:p>
      <w:pPr>
        <w:tabs>
          <w:tab w:val="right" w:pos="10512"/>
        </w:tabs>
        <w:spacing w:before="200" w:after="3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Chief Operating Officer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	2020 – 2022</w:t>
      </w:r>
    </w:p>
    <w:p>
      <w:pPr>
        <w:spacing w:before="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B7DD8"/>
          <w:sz w:val="20"/>
          <w:szCs w:val="20"/>
        </w:rPr>
        <w:t xml:space="preserve">YellowPepper (A Visa Company)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●   Miami, FL</w:t>
      </w:r>
    </w:p>
    <w:p>
      <w:pPr>
        <w:spacing w:before="0" w:after="8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COO of Visa-acquired payments fintech; led post-acquisition integration, operational scaling, and cross-border revenue expansion.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Executed full Visa acquisition integration in under 8 months, aligning operations, technology stacks, and culture across the combined entity.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Delivered 50% revenue growth through cross-border market expansion, strategic partnership activation, and operational efficiency programs.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Expanded digital payment capabilities across card and account-based rails, positioning the platform for next-generation payment infrastructure.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Designed and implemented 40+ cross-functional operational processes enterprise-wide, establishing a scalable and auditable operating model.</w:t>
      </w:r>
    </w:p>
    <w:p>
      <w:pPr>
        <w:tabs>
          <w:tab w:val="right" w:pos="10512"/>
        </w:tabs>
        <w:spacing w:before="200" w:after="3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Senior Principal – Real-Time Payments Practice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	2018 – 2020</w:t>
      </w:r>
    </w:p>
    <w:p>
      <w:pPr>
        <w:spacing w:before="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B7DD8"/>
          <w:sz w:val="20"/>
          <w:szCs w:val="20"/>
        </w:rPr>
        <w:t xml:space="preserve">Mastercard Advisors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●   North America &amp; Latin America</w:t>
      </w:r>
    </w:p>
    <w:p>
      <w:pPr>
        <w:spacing w:before="0" w:after="8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Co-founder of Mastercard's real-time payments advisory practice; drove regional delivery and revenue growth across major financial institutions.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Co-built the real-time payments advisory practice from inception — generated $30MM+ revenue in year two, exceeding 120% of target.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Designed P2P and P2M real-time payment strategies leveraging card and account-based rails for Tier-1 bank clients across the Americas.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Advised central banks and financial institutions on domestic and cross-border payment system modernization, scheme design, and adoption strategies.</w:t>
      </w:r>
    </w:p>
    <w:p>
      <w:pPr>
        <w:tabs>
          <w:tab w:val="right" w:pos="10512"/>
        </w:tabs>
        <w:spacing w:before="200" w:after="3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Global Head of Strategy &amp; Portfolio Management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	2015 – 2018</w:t>
      </w:r>
    </w:p>
    <w:p>
      <w:pPr>
        <w:spacing w:before="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B7DD8"/>
          <w:sz w:val="20"/>
          <w:szCs w:val="20"/>
        </w:rPr>
        <w:t xml:space="preserve">Mastercard Headquarters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●   Purchase, NY</w:t>
      </w:r>
    </w:p>
    <w:p>
      <w:pPr>
        <w:spacing w:before="0" w:after="8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Led global portfolio strategy and P&amp;L across digital and affluent segments; drove product innovation and deal execution worldwide.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Drove 25% YoY global portfolio revenue growth through targeted investment prioritization and strategic portfolio optimization.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Launched first digitally native product within the global portfolio — established the internal blueprint for future digital-first initiatives.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Achieved 75% deal win rate across digital &amp; affluent strategy initiatives; delivered 87% ROI optimization program with sub-12-month payback.</w:t>
      </w:r>
    </w:p>
    <w:p>
      <w:pPr>
        <w:tabs>
          <w:tab w:val="right" w:pos="10512"/>
        </w:tabs>
        <w:spacing w:before="200" w:after="3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Head of Consumer Credit – Middle East &amp; Africa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	2012 – 2015</w:t>
      </w:r>
    </w:p>
    <w:p>
      <w:pPr>
        <w:spacing w:before="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B7DD8"/>
          <w:sz w:val="20"/>
          <w:szCs w:val="20"/>
        </w:rPr>
        <w:t xml:space="preserve">Mastercard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●   Dubai, UAE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Grew premium card portfolio 45%+ and increased regional market share by 500 bps through bank partnerships and product innovation.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Drove 20%+ GDV growth across the region; established Mastercard as the leading premium card network across key MEA markets.</w:t>
      </w:r>
    </w:p>
    <w:p>
      <w:pPr>
        <w:tabs>
          <w:tab w:val="right" w:pos="10512"/>
        </w:tabs>
        <w:spacing w:before="200" w:after="3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Head of Card 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	2008 – 2012</w:t>
      </w:r>
    </w:p>
    <w:p>
      <w:pPr>
        <w:spacing w:before="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B7DD8"/>
          <w:sz w:val="20"/>
          <w:szCs w:val="20"/>
        </w:rPr>
        <w:t xml:space="preserve">Barclays Bank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●   Spain &amp; Portugal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Led $800M portfolio acquisition and integration, expanding the product suite across the Iberian market.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Reduced cost-to-income ratio from 69% to 41% through operational restructuring and automation of key processes.</w:t>
      </w:r>
    </w:p>
    <w:p>
      <w:pPr>
        <w:pStyle w:val="ListParagraph"/>
        <w:numPr>
          <w:ilvl w:val="0"/>
          <w:numId w:val="2"/>
        </w:numPr>
        <w:spacing w:before="30" w:after="3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9"/>
          <w:szCs w:val="19"/>
        </w:rPr>
        <w:t xml:space="preserve">Oversaw core system migration to Vision+, ensuring business continuity, improved reporting, and data quality.</w:t>
      </w:r>
    </w:p>
    <w:p>
      <w:pPr>
        <w:spacing w:before="200" w:after="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666666"/>
          <w:sz w:val="19"/>
          <w:szCs w:val="19"/>
        </w:rPr>
        <w:t xml:space="preserve">Earlier Roles</w:t>
      </w:r>
    </w:p>
    <w:p>
      <w:pPr>
        <w:spacing w:before="0" w:after="6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ING Direct  ·  GE Money  ·  Repsol Europe &amp; LATAM  — Progressive roles spanning retail banking, consumer lending, and energy sector financial operations across Europe and Latin America.</w:t>
      </w:r>
    </w:p>
    <w:p>
      <w:pPr>
        <w:pBdr>
          <w:bottom w:val="single" w:color="D4A843" w:sz="12" w:space="60"/>
        </w:pBdr>
        <w:spacing w:before="220" w:after="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EDUCATION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0"/>
        <w:gridCol w:w="5781"/>
      </w:tblGrid>
      <w:tr>
        <w:tc>
          <w:tcPr>
            <w:tcW w:type="dxa" w:w="4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Executive MBA</w:t>
            </w:r>
          </w:p>
        </w:tc>
        <w:tc>
          <w:tcPr>
            <w:tcW w:type="dxa" w:w="57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IESE Business School</w:t>
            </w:r>
          </w:p>
        </w:tc>
      </w:tr>
      <w:tr>
        <w:tc>
          <w:tcPr>
            <w:tcW w:type="dxa" w:w="4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MBA</w:t>
            </w:r>
          </w:p>
        </w:tc>
        <w:tc>
          <w:tcPr>
            <w:tcW w:type="dxa" w:w="57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Universidad Torcuato Di Tella</w:t>
            </w:r>
          </w:p>
        </w:tc>
      </w:tr>
      <w:tr>
        <w:tc>
          <w:tcPr>
            <w:tcW w:type="dxa" w:w="4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Industrial Engineering</w:t>
            </w:r>
          </w:p>
        </w:tc>
        <w:tc>
          <w:tcPr>
            <w:tcW w:type="dxa" w:w="57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Universidad Nacional del Comahue</w:t>
            </w:r>
          </w:p>
        </w:tc>
      </w:tr>
    </w:tbl>
    <w:p>
      <w:pPr>
        <w:spacing w:before="0" w:after="2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/>
      </w:r>
    </w:p>
    <w:p>
      <w:pPr>
        <w:pBdr>
          <w:top w:val="single" w:color="C8D6E8" w:sz="4" w:space="60"/>
        </w:pBdr>
        <w:spacing w:before="100" w:after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99999"/>
          <w:sz w:val="16"/>
          <w:szCs w:val="16"/>
        </w:rPr>
        <w:t xml:space="preserve">This document is maintained as cv_master.docx and serves as the source of truth for automated job application workflows. Last updated: March 2026.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before="30" w:after="30"/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xfzuksdoli5fagz0qtmo" Type="http://schemas.openxmlformats.org/officeDocument/2006/relationships/hyperlink" Target="https://linkedin.com/in/hern&#225;n-miguel-pardi&#241;as-osadchuk-543928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Hernan Pardinas – CV Master</dc:title>
  <dc:creator>Hernan Pardinas</dc:creator>
  <cp:keywords>payments ISO20022 fintech transformation cross-border RTP FedNow</cp:keywords>
  <dc:description>Payments Transformation &amp; Innovation Executive</dc:description>
  <cp:lastModifiedBy>Un-named</cp:lastModifiedBy>
  <cp:revision>1</cp:revision>
  <dcterms:created xsi:type="dcterms:W3CDTF">2026-03-03T00:05:05.739Z</dcterms:created>
  <dcterms:modified xsi:type="dcterms:W3CDTF">2026-03-03T00:05:05.739Z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