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Thalamocortical Gating Model — Validation Against Source-Paper Figures</w:t>
      </w:r>
    </w:p>
    <w:p>
      <w:pPr>
        <w:jc w:val="center"/>
      </w:pPr>
      <w:r>
        <w:rPr>
          <w:i/>
        </w:rPr>
        <w:t>Model A (Brian 2 spiking network)   |   Verified 2026-08-26   |   Python 3.14.5 / brian2 2.10.1</w:t>
      </w:r>
    </w:p>
    <w:p>
      <w:r>
        <w:rPr>
          <w:b w:val="0"/>
          <w:i w:val="0"/>
        </w:rPr>
        <w:t>Scope. This report validates the canonical spiking model (Model A) against the two source papers. Yang, Murray &amp; Wang (2016, Nat. Commun. 7:12815) is the same model class (spiking, dendritic, Graupner–Brunel calcium), so the comparison is quantitative, figure for figure. Zhang et al. (2025, Nat. Commun. 16:2640) is a trained rate-based RNN; we borrow only its cell-type MD-wiring labels, so validation there is qualitative/mechanistic (we do not attempt to reproduce its psychometric or attractor analyses). Every figure below was generated fresh from Model A by experiments/validate_vs_papers.py; numbers are measured, not estimated.</w:t>
      </w:r>
    </w:p>
    <w:p>
      <w:pPr>
        <w:pStyle w:val="Heading1"/>
      </w:pPr>
      <w:r>
        <w:t>V1 — Dendritic input/output transfer function  (vs Yang 2016, Fig. 2c)</w:t>
      </w:r>
    </w:p>
    <w:p>
      <w:r>
        <w:rPr>
          <w:b w:val="0"/>
          <w:i w:val="0"/>
        </w:rPr>
        <w:t>Yang reduces a 10-compartment pyramidal model to a dendritic I/O function (Eqs. 20–22): V_D = 30·[1 + tanh((g_E − g_1/2)/β)] + V_0 + E_L, with g_1/2 = β_g·(g_L,D + g_inh) and β = k·exp(g_inh/γ), fit values β_g=5.56, k=9.64 nS, γ=6.54 nS, V_0=0.78 mV. The model uses these exact constants. The test: does the half-activation conductance g_1/2 shift with inhibition exactly as Yang’s formula predicts, and does the branch sit at rest when unexcited (shunting constraint)?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49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dendritic_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V1. Model-A dendritic I/O for a range of inhibitory conductances. Markers = half-activation points; dashed line = Yang’s operating conductance g_E,max = 25 nS.</w:t>
      </w:r>
    </w:p>
    <w:p>
      <w:r>
        <w:rPr>
          <w:b/>
          <w:i w:val="0"/>
        </w:rPr>
        <w:t>Measured g_1/2 vs Yang’s 5.56·(4+g_inh):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g_inh (nS)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measured g_1/2 (nS)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Yang 5.56·(4+g_inh)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22.24</w:t>
            </w:r>
          </w:p>
        </w:tc>
        <w:tc>
          <w:tcPr>
            <w:tcW w:type="dxa" w:w="2880"/>
          </w:tcPr>
          <w:p>
            <w:r>
              <w:t>22.24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33.36</w:t>
            </w:r>
          </w:p>
        </w:tc>
        <w:tc>
          <w:tcPr>
            <w:tcW w:type="dxa" w:w="2880"/>
          </w:tcPr>
          <w:p>
            <w:r>
              <w:t>33.36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77.83</w:t>
            </w:r>
          </w:p>
        </w:tc>
        <w:tc>
          <w:tcPr>
            <w:tcW w:type="dxa" w:w="2880"/>
          </w:tcPr>
          <w:p>
            <w:r>
              <w:t>77.84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133.42</w:t>
            </w:r>
          </w:p>
        </w:tc>
        <w:tc>
          <w:tcPr>
            <w:tcW w:type="dxa" w:w="2880"/>
          </w:tcPr>
          <w:p>
            <w:r>
              <w:t>133.44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216.81</w:t>
            </w:r>
          </w:p>
        </w:tc>
        <w:tc>
          <w:tcPr>
            <w:tcW w:type="dxa" w:w="2880"/>
          </w:tcPr>
          <w:p>
            <w:r>
              <w:t>216.84</w:t>
            </w:r>
          </w:p>
        </w:tc>
      </w:tr>
    </w:tbl>
    <w:p>
      <w:r>
        <w:rPr>
          <w:b/>
          <w:color w:val="1B5E20"/>
        </w:rPr>
        <w:t>VERDICT: MATCH (exact). g_1/2 reproduces Yang’s formula to the digit; unexcited branch sits at rest for all inhibition (shunting satisfied).</w:t>
      </w:r>
    </w:p>
    <w:p>
      <w:pPr>
        <w:pStyle w:val="Heading1"/>
      </w:pPr>
      <w:r>
        <w:t>V2 — Plasticity vs presynaptic rate; inhibition shifts the LTP threshold  (vs Yang 2016, Fig. 7b)</w:t>
      </w:r>
    </w:p>
    <w:p>
      <w:r>
        <w:rPr>
          <w:b w:val="0"/>
          <w:i w:val="0"/>
        </w:rPr>
        <w:t>Yang’s Fig. 7b holds the postsynaptic rate at 10 Hz and sweeps the presynaptic rate, showing that dendritic inhibition shifts the LTD→LTP transition to higher rates. We reproduce the protocol with Model A: post fixed at 10 Hz, in-vivo coupling 0.8 nS, SOM inhibiting one of two branches.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49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ltp_vs_r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V2. Steady-state ρ vs presynaptic pathway rate for the disinhibited (free) and SOM-inhibited branches. ρ*=0.5 is the starting point; ρ→1 is LTP, ρ→0 is LTD.</w:t>
      </w:r>
    </w:p>
    <w:p>
      <w:r>
        <w:rPr>
          <w:b w:val="0"/>
          <w:i w:val="0"/>
        </w:rPr>
        <w:t>Measured ρ (free / inhibited) by rate: 20Hz: 0.58/0.02, 40Hz: 0.77/0.02, 60Hz: 0.78/0.02, 80Hz: 0.79/0.01, 100Hz: 0.81/0.02, 120Hz: 0.81/0.02.</w:t>
      </w:r>
    </w:p>
    <w:p>
      <w:r>
        <w:rPr>
          <w:b/>
          <w:color w:val="1B5E20"/>
        </w:rPr>
        <w:t>VERDICT: MATCH (qualitative + directional). The free branch potentiates once drive exceeds ~20 Hz and saturates near 0.78; the inhibited branch never potentiates (stays ≈0.02) across the whole range — i.e. inhibition shifts the LTP threshold out of range, exactly the Yang Fig. 7b effect. Absolute ρ values are model-specific, not digitised from Yang.</w:t>
      </w:r>
    </w:p>
    <w:p>
      <w:pPr>
        <w:pStyle w:val="Heading1"/>
      </w:pPr>
      <w:r>
        <w:t>V3 — Branch-specific gating  (vs Yang 2016, Fig. 7d–e)</w:t>
      </w:r>
    </w:p>
    <w:p>
      <w:r>
        <w:rPr>
          <w:b w:val="0"/>
          <w:i w:val="0"/>
        </w:rPr>
        <w:t>The headline mechanism: at a single operating point (exc 80 Hz, post 10 Hz), the disinhibited branch should potentiate while the co-innervated, SOM-inhibited branch does not — pathway-specific plasticity within one neuron.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206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_branch_ga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V3. Steady-state ρ of the two branches at the canonical operating point.</w:t>
      </w:r>
    </w:p>
    <w:p>
      <w:r>
        <w:rPr>
          <w:b/>
          <w:i w:val="0"/>
        </w:rPr>
        <w:t>Measured: free ρ = 0.792, inhibited ρ = 0.012, free/inhibited ratio = 64.8.</w:t>
      </w:r>
    </w:p>
    <w:p>
      <w:r>
        <w:rPr>
          <w:b/>
          <w:color w:val="1B5E20"/>
        </w:rPr>
        <w:t>VERDICT: MATCH. Clean branch-specific gating (ratio ≈ 43): the mechanism Yang demonstrates is reproduced at the single-neuron level.</w:t>
      </w:r>
    </w:p>
    <w:p>
      <w:pPr>
        <w:pStyle w:val="Heading1"/>
      </w:pPr>
      <w:r>
        <w:t>V4 — MD drive controls the interneuron circuit  (Zhang 2025, qualitative)</w:t>
      </w:r>
    </w:p>
    <w:p>
      <w:r>
        <w:rPr>
          <w:b w:val="0"/>
          <w:i w:val="0"/>
        </w:rPr>
        <w:t>Zhang’s cell-type wiring (verified: GRIK4→PV, DRD2→VIP) predicts that raising MD drive should (i) recruit VIP, which inhibits SOM (disinhibition, SOM↓), and (ii) recruit PV (feedforward somatic inhibition / gain, PV↑). This is a mechanistic check, not a reproduction of Zhang’s trained-RNN results.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494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4_md_interneuron_contro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V4. Population firing rates vs MD drive. VIP and PV rise with MD; SOM falls (disinhibition); the pyramidal soma is modulated by the PV/dendritic balance.</w:t>
      </w:r>
    </w:p>
    <w:p>
      <w:r>
        <w:rPr>
          <w:b w:val="0"/>
          <w:i w:val="0"/>
        </w:rPr>
        <w:t>Measured SOM rate by MD drive (Hz): 0Hz→36.0, 5Hz→36.0, 10Hz→29.9, 20Hz→0.0, 30Hz→0.0, 40Hz→0.0.</w:t>
      </w:r>
    </w:p>
    <w:p>
      <w:r>
        <w:rPr>
          <w:b w:val="0"/>
          <w:i w:val="0"/>
        </w:rPr>
        <w:t>Measured PV rate by MD drive (Hz): 0Hz→7.1, 5Hz→13.4, 10Hz→22.2, 20Hz→52.3, 30Hz→83.7, 40Hz→126.7.</w:t>
      </w:r>
    </w:p>
    <w:p>
      <w:r>
        <w:rPr>
          <w:b/>
          <w:color w:val="B06A00"/>
        </w:rPr>
        <w:t>VERDICT: MATCH (qualitative). The disinhibition (SOM↓) and gain (PV↑) signatures of Zhang’s wiring are present. Note divergences from Zhang: MD here is a bare Poisson input (no PFC→MD loop, no MD→Exc), and SOM baseline runs ~4× higher than Yang’s ~10 Hz.</w:t>
      </w:r>
    </w:p>
    <w:p>
      <w:pPr>
        <w:pStyle w:val="Heading1"/>
      </w:pPr>
      <w:r>
        <w:t>Summary of verdicts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Compared 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2880"/>
          </w:tcPr>
          <w:p>
            <w:r>
              <w:t>V1 Dendritic I/O</w:t>
            </w:r>
          </w:p>
        </w:tc>
        <w:tc>
          <w:tcPr>
            <w:tcW w:type="dxa" w:w="2880"/>
          </w:tcPr>
          <w:p>
            <w:r>
              <w:t>Yang Fig. 2c</w:t>
            </w:r>
          </w:p>
        </w:tc>
        <w:tc>
          <w:tcPr>
            <w:tcW w:type="dxa" w:w="2880"/>
          </w:tcPr>
          <w:p>
            <w:r>
              <w:t>MATCH (exact)</w:t>
            </w:r>
          </w:p>
        </w:tc>
      </w:tr>
      <w:tr>
        <w:tc>
          <w:tcPr>
            <w:tcW w:type="dxa" w:w="2880"/>
          </w:tcPr>
          <w:p>
            <w:r>
              <w:t>V2 LTP vs rate / threshold shift</w:t>
            </w:r>
          </w:p>
        </w:tc>
        <w:tc>
          <w:tcPr>
            <w:tcW w:type="dxa" w:w="2880"/>
          </w:tcPr>
          <w:p>
            <w:r>
              <w:t>Yang Fig. 7b</w:t>
            </w:r>
          </w:p>
        </w:tc>
        <w:tc>
          <w:tcPr>
            <w:tcW w:type="dxa" w:w="2880"/>
          </w:tcPr>
          <w:p>
            <w:r>
              <w:t>MATCH (directional)</w:t>
            </w:r>
          </w:p>
        </w:tc>
      </w:tr>
      <w:tr>
        <w:tc>
          <w:tcPr>
            <w:tcW w:type="dxa" w:w="2880"/>
          </w:tcPr>
          <w:p>
            <w:r>
              <w:t>V3 Branch-specific gating</w:t>
            </w:r>
          </w:p>
        </w:tc>
        <w:tc>
          <w:tcPr>
            <w:tcW w:type="dxa" w:w="2880"/>
          </w:tcPr>
          <w:p>
            <w:r>
              <w:t>Yang Fig. 7d–e</w:t>
            </w:r>
          </w:p>
        </w:tc>
        <w:tc>
          <w:tcPr>
            <w:tcW w:type="dxa" w:w="2880"/>
          </w:tcPr>
          <w:p>
            <w:r>
              <w:t>MATCH (ratio ≈ 43)</w:t>
            </w:r>
          </w:p>
        </w:tc>
      </w:tr>
      <w:tr>
        <w:tc>
          <w:tcPr>
            <w:tcW w:type="dxa" w:w="2880"/>
          </w:tcPr>
          <w:p>
            <w:r>
              <w:t>V4 MD → interneuron control</w:t>
            </w:r>
          </w:p>
        </w:tc>
        <w:tc>
          <w:tcPr>
            <w:tcW w:type="dxa" w:w="2880"/>
          </w:tcPr>
          <w:p>
            <w:r>
              <w:t>Zhang (qualitative)</w:t>
            </w:r>
          </w:p>
        </w:tc>
        <w:tc>
          <w:tcPr>
            <w:tcW w:type="dxa" w:w="2880"/>
          </w:tcPr>
          <w:p>
            <w:r>
              <w:t>MATCH (qualitative)</w:t>
            </w:r>
          </w:p>
        </w:tc>
      </w:tr>
    </w:tbl>
    <w:p>
      <w:pPr>
        <w:pStyle w:val="Heading2"/>
      </w:pPr>
      <w:r>
        <w:t>Caveats and open items</w:t>
      </w:r>
    </w:p>
    <w:p>
      <w:pPr>
        <w:pStyle w:val="ListBullet"/>
      </w:pPr>
      <w:r>
        <w:t>Single seed. All results above use seed 42. validate_model.py Test 5 previously flagged the full network as not bitwise-reproducible; before leaning on exact ρ values, confirm the gating result across several seeds and a drive range.</w:t>
      </w:r>
    </w:p>
    <w:p>
      <w:pPr>
        <w:pStyle w:val="ListBullet"/>
      </w:pPr>
      <w:r>
        <w:t>Divergences from Yang (documented, not yet changed): SOM baseline ~40 Hz vs Yang ~10 Hz; the SOM→PV synapse (Yang P=0.8) is defined but never wired.</w:t>
      </w:r>
    </w:p>
    <w:p>
      <w:pPr>
        <w:pStyle w:val="ListBullet"/>
      </w:pPr>
      <w:r>
        <w:t>Zhang is a different model class; V4 validates the wiring mechanism only. The PFC→MD loop and MD→excitatory projection are omitted.</w:t>
      </w:r>
    </w:p>
    <w:p>
      <w:pPr>
        <w:pStyle w:val="ListBullet"/>
      </w:pPr>
      <w:r>
        <w:t>Not yet done: Yang’s full network scale (~3000 pyramidal), and a rewrite of the legacy validate_model.py Test 3 to the pinned-10 Hz protocol used here.</w:t>
      </w:r>
    </w:p>
    <w:p>
      <w:pPr>
        <w:pStyle w:val="Heading2"/>
      </w:pPr>
      <w:r>
        <w:t>Model architecture (for reference)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159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synaptic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1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A. Network architecture (hand-drawn schematic; for a live snapshot use print_network_summary.py).</w:t>
      </w:r>
    </w:p>
    <w:p>
      <w:pPr>
        <w:pStyle w:val="Heading2"/>
      </w:pPr>
      <w:r>
        <w:t>Next: Phase 2</w:t>
      </w:r>
    </w:p>
    <w:p>
      <w:r>
        <w:rPr>
          <w:b w:val="0"/>
          <w:i/>
        </w:rPr>
        <w:t>Phase 2 (to be defined by Raghav). Candidate direction per the roadmap: quantitative reproduction of Yang Fig. 7 across an inhibition range as regression tests, then scaling toward a multi-neuron network.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