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1301" w:val="left" w:leader="none"/>
        </w:tabs>
        <w:spacing w:before="82"/>
        <w:ind w:left="22" w:right="0" w:firstLine="0"/>
        <w:jc w:val="left"/>
        <w:rPr>
          <w:b/>
          <w:i/>
          <w:sz w:val="18"/>
        </w:rPr>
      </w:pPr>
      <w:r>
        <w:rPr>
          <w:b/>
          <w:sz w:val="18"/>
        </w:rPr>
        <w:t>Item</w:t>
      </w:r>
      <w:r>
        <w:rPr>
          <w:b/>
          <w:spacing w:val="-1"/>
          <w:sz w:val="18"/>
        </w:rPr>
        <w:t> </w:t>
      </w:r>
      <w:r>
        <w:rPr>
          <w:b/>
          <w:spacing w:val="-5"/>
          <w:sz w:val="18"/>
        </w:rPr>
        <w:t>7.</w:t>
      </w:r>
      <w:r>
        <w:rPr>
          <w:b/>
          <w:sz w:val="18"/>
        </w:rPr>
        <w:tab/>
      </w:r>
      <w:r>
        <w:rPr>
          <w:b/>
          <w:i/>
          <w:sz w:val="18"/>
        </w:rPr>
        <w:t>Management’s</w:t>
      </w:r>
      <w:r>
        <w:rPr>
          <w:b/>
          <w:i/>
          <w:spacing w:val="-5"/>
          <w:sz w:val="18"/>
        </w:rPr>
        <w:t> </w:t>
      </w:r>
      <w:r>
        <w:rPr>
          <w:b/>
          <w:i/>
          <w:sz w:val="18"/>
        </w:rPr>
        <w:t>Discussion</w:t>
      </w:r>
      <w:r>
        <w:rPr>
          <w:b/>
          <w:i/>
          <w:spacing w:val="-2"/>
          <w:sz w:val="18"/>
        </w:rPr>
        <w:t> </w:t>
      </w:r>
      <w:r>
        <w:rPr>
          <w:b/>
          <w:i/>
          <w:sz w:val="18"/>
        </w:rPr>
        <w:t>and</w:t>
      </w:r>
      <w:r>
        <w:rPr>
          <w:b/>
          <w:i/>
          <w:spacing w:val="-9"/>
          <w:sz w:val="18"/>
        </w:rPr>
        <w:t> </w:t>
      </w:r>
      <w:r>
        <w:rPr>
          <w:b/>
          <w:i/>
          <w:sz w:val="18"/>
        </w:rPr>
        <w:t>Analysis</w:t>
      </w:r>
      <w:r>
        <w:rPr>
          <w:b/>
          <w:i/>
          <w:spacing w:val="-2"/>
          <w:sz w:val="18"/>
        </w:rPr>
        <w:t> </w:t>
      </w:r>
      <w:r>
        <w:rPr>
          <w:b/>
          <w:i/>
          <w:sz w:val="18"/>
        </w:rPr>
        <w:t>of</w:t>
      </w:r>
      <w:r>
        <w:rPr>
          <w:b/>
          <w:i/>
          <w:spacing w:val="-2"/>
          <w:sz w:val="18"/>
        </w:rPr>
        <w:t> </w:t>
      </w:r>
      <w:r>
        <w:rPr>
          <w:b/>
          <w:i/>
          <w:sz w:val="18"/>
        </w:rPr>
        <w:t>Financial</w:t>
      </w:r>
      <w:r>
        <w:rPr>
          <w:b/>
          <w:i/>
          <w:spacing w:val="-3"/>
          <w:sz w:val="18"/>
        </w:rPr>
        <w:t> </w:t>
      </w:r>
      <w:r>
        <w:rPr>
          <w:b/>
          <w:i/>
          <w:sz w:val="18"/>
        </w:rPr>
        <w:t>Condition</w:t>
      </w:r>
      <w:r>
        <w:rPr>
          <w:b/>
          <w:i/>
          <w:spacing w:val="-2"/>
          <w:sz w:val="18"/>
        </w:rPr>
        <w:t> </w:t>
      </w:r>
      <w:r>
        <w:rPr>
          <w:b/>
          <w:i/>
          <w:sz w:val="18"/>
        </w:rPr>
        <w:t>and</w:t>
      </w:r>
      <w:r>
        <w:rPr>
          <w:b/>
          <w:i/>
          <w:spacing w:val="-3"/>
          <w:sz w:val="18"/>
        </w:rPr>
        <w:t> </w:t>
      </w:r>
      <w:r>
        <w:rPr>
          <w:b/>
          <w:i/>
          <w:sz w:val="18"/>
        </w:rPr>
        <w:t>Results</w:t>
      </w:r>
      <w:r>
        <w:rPr>
          <w:b/>
          <w:i/>
          <w:spacing w:val="-2"/>
          <w:sz w:val="18"/>
        </w:rPr>
        <w:t> </w:t>
      </w:r>
      <w:r>
        <w:rPr>
          <w:b/>
          <w:i/>
          <w:sz w:val="18"/>
        </w:rPr>
        <w:t>of</w:t>
      </w:r>
      <w:r>
        <w:rPr>
          <w:b/>
          <w:i/>
          <w:spacing w:val="-2"/>
          <w:sz w:val="18"/>
        </w:rPr>
        <w:t> Operations</w:t>
      </w:r>
    </w:p>
    <w:p>
      <w:pPr>
        <w:pStyle w:val="BodyText"/>
        <w:spacing w:before="166"/>
        <w:ind w:left="0"/>
        <w:rPr>
          <w:b/>
          <w:i/>
        </w:rPr>
      </w:pPr>
    </w:p>
    <w:p>
      <w:pPr>
        <w:pStyle w:val="Heading1"/>
        <w:spacing w:before="1"/>
      </w:pPr>
      <w:r>
        <w:rPr/>
        <w:t>Forward-Looking</w:t>
      </w:r>
      <w:r>
        <w:rPr>
          <w:spacing w:val="-1"/>
        </w:rPr>
        <w:t> </w:t>
      </w:r>
      <w:r>
        <w:rPr>
          <w:spacing w:val="-2"/>
        </w:rPr>
        <w:t>Statements</w:t>
      </w:r>
    </w:p>
    <w:p>
      <w:pPr>
        <w:spacing w:line="249" w:lineRule="auto" w:before="103"/>
        <w:ind w:left="4" w:right="20" w:firstLine="445"/>
        <w:jc w:val="left"/>
        <w:rPr>
          <w:i/>
          <w:sz w:val="18"/>
        </w:rPr>
      </w:pPr>
      <w:r>
        <w:rPr>
          <w:i/>
          <w:sz w:val="18"/>
        </w:rPr>
        <w:t>This Annual Report on Form 10-K includes forward-looking statements within the meaning of the Private Securities Litigation Reform Act of 1995. All statements other than statements of historical fact, including statements regarding guidance, industry prospects, or future results of operations or financial position, made in this Annual Report on Form 10-K are forward-looking. We use words such as anticipates, believes, expects, future, intends, and similar expressions</w:t>
      </w:r>
      <w:r>
        <w:rPr>
          <w:i/>
          <w:spacing w:val="-7"/>
          <w:sz w:val="18"/>
        </w:rPr>
        <w:t> </w:t>
      </w:r>
      <w:r>
        <w:rPr>
          <w:i/>
          <w:sz w:val="18"/>
        </w:rPr>
        <w:t>to</w:t>
      </w:r>
      <w:r>
        <w:rPr>
          <w:i/>
          <w:spacing w:val="-7"/>
          <w:sz w:val="18"/>
        </w:rPr>
        <w:t> </w:t>
      </w:r>
      <w:r>
        <w:rPr>
          <w:i/>
          <w:sz w:val="18"/>
        </w:rPr>
        <w:t>identify</w:t>
      </w:r>
      <w:r>
        <w:rPr>
          <w:i/>
          <w:spacing w:val="-7"/>
          <w:sz w:val="18"/>
        </w:rPr>
        <w:t> </w:t>
      </w:r>
      <w:r>
        <w:rPr>
          <w:i/>
          <w:sz w:val="18"/>
        </w:rPr>
        <w:t>forward-looking</w:t>
      </w:r>
      <w:r>
        <w:rPr>
          <w:i/>
          <w:spacing w:val="-7"/>
          <w:sz w:val="18"/>
        </w:rPr>
        <w:t> </w:t>
      </w:r>
      <w:r>
        <w:rPr>
          <w:i/>
          <w:sz w:val="18"/>
        </w:rPr>
        <w:t>statements.</w:t>
      </w:r>
      <w:r>
        <w:rPr>
          <w:i/>
          <w:spacing w:val="-7"/>
          <w:sz w:val="18"/>
        </w:rPr>
        <w:t> </w:t>
      </w:r>
      <w:r>
        <w:rPr>
          <w:i/>
          <w:sz w:val="18"/>
        </w:rPr>
        <w:t>Forward-looking</w:t>
      </w:r>
      <w:r>
        <w:rPr>
          <w:i/>
          <w:spacing w:val="-7"/>
          <w:sz w:val="18"/>
        </w:rPr>
        <w:t> </w:t>
      </w:r>
      <w:r>
        <w:rPr>
          <w:i/>
          <w:sz w:val="18"/>
        </w:rPr>
        <w:t>statements</w:t>
      </w:r>
      <w:r>
        <w:rPr>
          <w:i/>
          <w:spacing w:val="-7"/>
          <w:sz w:val="18"/>
        </w:rPr>
        <w:t> </w:t>
      </w:r>
      <w:r>
        <w:rPr>
          <w:i/>
          <w:sz w:val="18"/>
        </w:rPr>
        <w:t>reflect</w:t>
      </w:r>
      <w:r>
        <w:rPr>
          <w:i/>
          <w:spacing w:val="-7"/>
          <w:sz w:val="18"/>
        </w:rPr>
        <w:t> </w:t>
      </w:r>
      <w:r>
        <w:rPr>
          <w:i/>
          <w:sz w:val="18"/>
        </w:rPr>
        <w:t>management’s</w:t>
      </w:r>
      <w:r>
        <w:rPr>
          <w:i/>
          <w:spacing w:val="-7"/>
          <w:sz w:val="18"/>
        </w:rPr>
        <w:t> </w:t>
      </w:r>
      <w:r>
        <w:rPr>
          <w:i/>
          <w:sz w:val="18"/>
        </w:rPr>
        <w:t>current</w:t>
      </w:r>
      <w:r>
        <w:rPr>
          <w:i/>
          <w:spacing w:val="-7"/>
          <w:sz w:val="18"/>
        </w:rPr>
        <w:t> </w:t>
      </w:r>
      <w:r>
        <w:rPr>
          <w:i/>
          <w:sz w:val="18"/>
        </w:rPr>
        <w:t>expectations</w:t>
      </w:r>
      <w:r>
        <w:rPr>
          <w:i/>
          <w:spacing w:val="-7"/>
          <w:sz w:val="18"/>
        </w:rPr>
        <w:t> </w:t>
      </w:r>
      <w:r>
        <w:rPr>
          <w:i/>
          <w:sz w:val="18"/>
        </w:rPr>
        <w:t>and</w:t>
      </w:r>
      <w:r>
        <w:rPr>
          <w:i/>
          <w:spacing w:val="-7"/>
          <w:sz w:val="18"/>
        </w:rPr>
        <w:t> </w:t>
      </w:r>
      <w:r>
        <w:rPr>
          <w:i/>
          <w:sz w:val="18"/>
        </w:rPr>
        <w:t>are</w:t>
      </w:r>
      <w:r>
        <w:rPr>
          <w:i/>
          <w:spacing w:val="-7"/>
          <w:sz w:val="18"/>
        </w:rPr>
        <w:t> </w:t>
      </w:r>
      <w:r>
        <w:rPr>
          <w:i/>
          <w:sz w:val="18"/>
        </w:rPr>
        <w:t>inherently</w:t>
      </w:r>
      <w:r>
        <w:rPr>
          <w:i/>
          <w:spacing w:val="-7"/>
          <w:sz w:val="18"/>
        </w:rPr>
        <w:t> </w:t>
      </w:r>
      <w:r>
        <w:rPr>
          <w:i/>
          <w:sz w:val="18"/>
        </w:rPr>
        <w:t>uncertain.</w:t>
      </w:r>
      <w:r>
        <w:rPr>
          <w:i/>
          <w:spacing w:val="-10"/>
          <w:sz w:val="18"/>
        </w:rPr>
        <w:t> </w:t>
      </w:r>
      <w:r>
        <w:rPr>
          <w:i/>
          <w:sz w:val="18"/>
        </w:rPr>
        <w:t>Actual results and outcomes could differ materially for a variety of reasons, including, among others, fluctuations in foreign exchange rates, changes in global economic conditions and customer demand and spending, inflation, interest rates, regional labor market constraints, world events, the rate of growth of the internet, online commerce, cloud services, and new and emerging technologies, the amount that Amazon.com invests in new business opportunities and the timing</w:t>
      </w:r>
      <w:r>
        <w:rPr>
          <w:i/>
          <w:spacing w:val="-3"/>
          <w:sz w:val="18"/>
        </w:rPr>
        <w:t> </w:t>
      </w:r>
      <w:r>
        <w:rPr>
          <w:i/>
          <w:sz w:val="18"/>
        </w:rPr>
        <w:t>of</w:t>
      </w:r>
      <w:r>
        <w:rPr>
          <w:i/>
          <w:spacing w:val="-3"/>
          <w:sz w:val="18"/>
        </w:rPr>
        <w:t> </w:t>
      </w:r>
      <w:r>
        <w:rPr>
          <w:i/>
          <w:sz w:val="18"/>
        </w:rPr>
        <w:t>those</w:t>
      </w:r>
      <w:r>
        <w:rPr>
          <w:i/>
          <w:spacing w:val="-3"/>
          <w:sz w:val="18"/>
        </w:rPr>
        <w:t> </w:t>
      </w:r>
      <w:r>
        <w:rPr>
          <w:i/>
          <w:sz w:val="18"/>
        </w:rPr>
        <w:t>investments,</w:t>
      </w:r>
      <w:r>
        <w:rPr>
          <w:i/>
          <w:spacing w:val="-3"/>
          <w:sz w:val="18"/>
        </w:rPr>
        <w:t> </w:t>
      </w:r>
      <w:r>
        <w:rPr>
          <w:i/>
          <w:sz w:val="18"/>
        </w:rPr>
        <w:t>the</w:t>
      </w:r>
      <w:r>
        <w:rPr>
          <w:i/>
          <w:spacing w:val="-3"/>
          <w:sz w:val="18"/>
        </w:rPr>
        <w:t> </w:t>
      </w:r>
      <w:r>
        <w:rPr>
          <w:i/>
          <w:sz w:val="18"/>
        </w:rPr>
        <w:t>mix</w:t>
      </w:r>
      <w:r>
        <w:rPr>
          <w:i/>
          <w:spacing w:val="-3"/>
          <w:sz w:val="18"/>
        </w:rPr>
        <w:t> </w:t>
      </w:r>
      <w:r>
        <w:rPr>
          <w:i/>
          <w:sz w:val="18"/>
        </w:rPr>
        <w:t>of</w:t>
      </w:r>
      <w:r>
        <w:rPr>
          <w:i/>
          <w:spacing w:val="-3"/>
          <w:sz w:val="18"/>
        </w:rPr>
        <w:t> </w:t>
      </w:r>
      <w:r>
        <w:rPr>
          <w:i/>
          <w:sz w:val="18"/>
        </w:rPr>
        <w:t>products</w:t>
      </w:r>
      <w:r>
        <w:rPr>
          <w:i/>
          <w:spacing w:val="-3"/>
          <w:sz w:val="18"/>
        </w:rPr>
        <w:t> </w:t>
      </w:r>
      <w:r>
        <w:rPr>
          <w:i/>
          <w:sz w:val="18"/>
        </w:rPr>
        <w:t>and</w:t>
      </w:r>
      <w:r>
        <w:rPr>
          <w:i/>
          <w:spacing w:val="-3"/>
          <w:sz w:val="18"/>
        </w:rPr>
        <w:t> </w:t>
      </w:r>
      <w:r>
        <w:rPr>
          <w:i/>
          <w:sz w:val="18"/>
        </w:rPr>
        <w:t>services</w:t>
      </w:r>
      <w:r>
        <w:rPr>
          <w:i/>
          <w:spacing w:val="-3"/>
          <w:sz w:val="18"/>
        </w:rPr>
        <w:t> </w:t>
      </w:r>
      <w:r>
        <w:rPr>
          <w:i/>
          <w:sz w:val="18"/>
        </w:rPr>
        <w:t>sold</w:t>
      </w:r>
      <w:r>
        <w:rPr>
          <w:i/>
          <w:spacing w:val="-3"/>
          <w:sz w:val="18"/>
        </w:rPr>
        <w:t> </w:t>
      </w:r>
      <w:r>
        <w:rPr>
          <w:i/>
          <w:sz w:val="18"/>
        </w:rPr>
        <w:t>to</w:t>
      </w:r>
      <w:r>
        <w:rPr>
          <w:i/>
          <w:spacing w:val="-3"/>
          <w:sz w:val="18"/>
        </w:rPr>
        <w:t> </w:t>
      </w:r>
      <w:r>
        <w:rPr>
          <w:i/>
          <w:sz w:val="18"/>
        </w:rPr>
        <w:t>customers,</w:t>
      </w:r>
      <w:r>
        <w:rPr>
          <w:i/>
          <w:spacing w:val="-3"/>
          <w:sz w:val="18"/>
        </w:rPr>
        <w:t> </w:t>
      </w:r>
      <w:r>
        <w:rPr>
          <w:i/>
          <w:sz w:val="18"/>
        </w:rPr>
        <w:t>the</w:t>
      </w:r>
      <w:r>
        <w:rPr>
          <w:i/>
          <w:spacing w:val="-3"/>
          <w:sz w:val="18"/>
        </w:rPr>
        <w:t> </w:t>
      </w:r>
      <w:r>
        <w:rPr>
          <w:i/>
          <w:sz w:val="18"/>
        </w:rPr>
        <w:t>mix</w:t>
      </w:r>
      <w:r>
        <w:rPr>
          <w:i/>
          <w:spacing w:val="-3"/>
          <w:sz w:val="18"/>
        </w:rPr>
        <w:t> </w:t>
      </w:r>
      <w:r>
        <w:rPr>
          <w:i/>
          <w:sz w:val="18"/>
        </w:rPr>
        <w:t>of</w:t>
      </w:r>
      <w:r>
        <w:rPr>
          <w:i/>
          <w:spacing w:val="-3"/>
          <w:sz w:val="18"/>
        </w:rPr>
        <w:t> </w:t>
      </w:r>
      <w:r>
        <w:rPr>
          <w:i/>
          <w:sz w:val="18"/>
        </w:rPr>
        <w:t>net</w:t>
      </w:r>
      <w:r>
        <w:rPr>
          <w:i/>
          <w:spacing w:val="-3"/>
          <w:sz w:val="18"/>
        </w:rPr>
        <w:t> </w:t>
      </w:r>
      <w:r>
        <w:rPr>
          <w:i/>
          <w:sz w:val="18"/>
        </w:rPr>
        <w:t>sales</w:t>
      </w:r>
      <w:r>
        <w:rPr>
          <w:i/>
          <w:spacing w:val="-3"/>
          <w:sz w:val="18"/>
        </w:rPr>
        <w:t> </w:t>
      </w:r>
      <w:r>
        <w:rPr>
          <w:i/>
          <w:sz w:val="18"/>
        </w:rPr>
        <w:t>derived</w:t>
      </w:r>
      <w:r>
        <w:rPr>
          <w:i/>
          <w:spacing w:val="-3"/>
          <w:sz w:val="18"/>
        </w:rPr>
        <w:t> </w:t>
      </w:r>
      <w:r>
        <w:rPr>
          <w:i/>
          <w:sz w:val="18"/>
        </w:rPr>
        <w:t>from</w:t>
      </w:r>
      <w:r>
        <w:rPr>
          <w:i/>
          <w:spacing w:val="-3"/>
          <w:sz w:val="18"/>
        </w:rPr>
        <w:t> </w:t>
      </w:r>
      <w:r>
        <w:rPr>
          <w:i/>
          <w:sz w:val="18"/>
        </w:rPr>
        <w:t>products</w:t>
      </w:r>
      <w:r>
        <w:rPr>
          <w:i/>
          <w:spacing w:val="-3"/>
          <w:sz w:val="18"/>
        </w:rPr>
        <w:t> </w:t>
      </w:r>
      <w:r>
        <w:rPr>
          <w:i/>
          <w:sz w:val="18"/>
        </w:rPr>
        <w:t>as</w:t>
      </w:r>
      <w:r>
        <w:rPr>
          <w:i/>
          <w:spacing w:val="-3"/>
          <w:sz w:val="18"/>
        </w:rPr>
        <w:t> </w:t>
      </w:r>
      <w:r>
        <w:rPr>
          <w:i/>
          <w:sz w:val="18"/>
        </w:rPr>
        <w:t>compared</w:t>
      </w:r>
      <w:r>
        <w:rPr>
          <w:i/>
          <w:spacing w:val="-3"/>
          <w:sz w:val="18"/>
        </w:rPr>
        <w:t> </w:t>
      </w:r>
      <w:r>
        <w:rPr>
          <w:i/>
          <w:sz w:val="18"/>
        </w:rPr>
        <w:t>with</w:t>
      </w:r>
      <w:r>
        <w:rPr>
          <w:i/>
          <w:spacing w:val="-3"/>
          <w:sz w:val="18"/>
        </w:rPr>
        <w:t> </w:t>
      </w:r>
      <w:r>
        <w:rPr>
          <w:i/>
          <w:sz w:val="18"/>
        </w:rPr>
        <w:t>services,</w:t>
      </w:r>
      <w:r>
        <w:rPr>
          <w:i/>
          <w:spacing w:val="-3"/>
          <w:sz w:val="18"/>
        </w:rPr>
        <w:t> </w:t>
      </w:r>
      <w:r>
        <w:rPr>
          <w:i/>
          <w:sz w:val="18"/>
        </w:rPr>
        <w:t>the</w:t>
      </w:r>
      <w:r>
        <w:rPr>
          <w:i/>
          <w:spacing w:val="-3"/>
          <w:sz w:val="18"/>
        </w:rPr>
        <w:t> </w:t>
      </w:r>
      <w:r>
        <w:rPr>
          <w:i/>
          <w:sz w:val="18"/>
        </w:rPr>
        <w:t>extent to which we owe income or other taxes, competition, management of growth, potential fluctuations in operating results, international growth and expansion, the outcomes of claims, litigation, government investigations, and other proceedings, fulfillment, sortation, delivery, and data center optimization, risks of inventory management, variability in demand, the degree to which we enter into, maintain, and develop commercial agreements, proposed and completed acquisitions and strategic transactions, payments risks, and risks of fulfillment throughput and productivity. In addition, global economic and geopolitical conditions and additional or unforeseen circumstances, developments, or events may give rise to or amplify many of these risks. These risks and uncertainties, as</w:t>
      </w:r>
      <w:r>
        <w:rPr>
          <w:i/>
          <w:spacing w:val="-4"/>
          <w:sz w:val="18"/>
        </w:rPr>
        <w:t> </w:t>
      </w:r>
      <w:r>
        <w:rPr>
          <w:i/>
          <w:sz w:val="18"/>
        </w:rPr>
        <w:t>well</w:t>
      </w:r>
      <w:r>
        <w:rPr>
          <w:i/>
          <w:spacing w:val="-4"/>
          <w:sz w:val="18"/>
        </w:rPr>
        <w:t> </w:t>
      </w:r>
      <w:r>
        <w:rPr>
          <w:i/>
          <w:sz w:val="18"/>
        </w:rPr>
        <w:t>as</w:t>
      </w:r>
      <w:r>
        <w:rPr>
          <w:i/>
          <w:spacing w:val="-4"/>
          <w:sz w:val="18"/>
        </w:rPr>
        <w:t> </w:t>
      </w:r>
      <w:r>
        <w:rPr>
          <w:i/>
          <w:sz w:val="18"/>
        </w:rPr>
        <w:t>other</w:t>
      </w:r>
      <w:r>
        <w:rPr>
          <w:i/>
          <w:spacing w:val="-4"/>
          <w:sz w:val="18"/>
        </w:rPr>
        <w:t> </w:t>
      </w:r>
      <w:r>
        <w:rPr>
          <w:i/>
          <w:sz w:val="18"/>
        </w:rPr>
        <w:t>risks</w:t>
      </w:r>
      <w:r>
        <w:rPr>
          <w:i/>
          <w:spacing w:val="-4"/>
          <w:sz w:val="18"/>
        </w:rPr>
        <w:t> </w:t>
      </w:r>
      <w:r>
        <w:rPr>
          <w:i/>
          <w:sz w:val="18"/>
        </w:rPr>
        <w:t>and</w:t>
      </w:r>
      <w:r>
        <w:rPr>
          <w:i/>
          <w:spacing w:val="-4"/>
          <w:sz w:val="18"/>
        </w:rPr>
        <w:t> </w:t>
      </w:r>
      <w:r>
        <w:rPr>
          <w:i/>
          <w:sz w:val="18"/>
        </w:rPr>
        <w:t>uncertainties</w:t>
      </w:r>
      <w:r>
        <w:rPr>
          <w:i/>
          <w:spacing w:val="-4"/>
          <w:sz w:val="18"/>
        </w:rPr>
        <w:t> </w:t>
      </w:r>
      <w:r>
        <w:rPr>
          <w:i/>
          <w:sz w:val="18"/>
        </w:rPr>
        <w:t>that</w:t>
      </w:r>
      <w:r>
        <w:rPr>
          <w:i/>
          <w:spacing w:val="-4"/>
          <w:sz w:val="18"/>
        </w:rPr>
        <w:t> </w:t>
      </w:r>
      <w:r>
        <w:rPr>
          <w:i/>
          <w:sz w:val="18"/>
        </w:rPr>
        <w:t>could</w:t>
      </w:r>
      <w:r>
        <w:rPr>
          <w:i/>
          <w:spacing w:val="-4"/>
          <w:sz w:val="18"/>
        </w:rPr>
        <w:t> </w:t>
      </w:r>
      <w:r>
        <w:rPr>
          <w:i/>
          <w:sz w:val="18"/>
        </w:rPr>
        <w:t>cause</w:t>
      </w:r>
      <w:r>
        <w:rPr>
          <w:i/>
          <w:spacing w:val="-4"/>
          <w:sz w:val="18"/>
        </w:rPr>
        <w:t> </w:t>
      </w:r>
      <w:r>
        <w:rPr>
          <w:i/>
          <w:sz w:val="18"/>
        </w:rPr>
        <w:t>our</w:t>
      </w:r>
      <w:r>
        <w:rPr>
          <w:i/>
          <w:spacing w:val="-4"/>
          <w:sz w:val="18"/>
        </w:rPr>
        <w:t> </w:t>
      </w:r>
      <w:r>
        <w:rPr>
          <w:i/>
          <w:sz w:val="18"/>
        </w:rPr>
        <w:t>actual</w:t>
      </w:r>
      <w:r>
        <w:rPr>
          <w:i/>
          <w:spacing w:val="-4"/>
          <w:sz w:val="18"/>
        </w:rPr>
        <w:t> </w:t>
      </w:r>
      <w:r>
        <w:rPr>
          <w:i/>
          <w:sz w:val="18"/>
        </w:rPr>
        <w:t>results</w:t>
      </w:r>
      <w:r>
        <w:rPr>
          <w:i/>
          <w:spacing w:val="-4"/>
          <w:sz w:val="18"/>
        </w:rPr>
        <w:t> </w:t>
      </w:r>
      <w:r>
        <w:rPr>
          <w:i/>
          <w:sz w:val="18"/>
        </w:rPr>
        <w:t>or</w:t>
      </w:r>
      <w:r>
        <w:rPr>
          <w:i/>
          <w:spacing w:val="-4"/>
          <w:sz w:val="18"/>
        </w:rPr>
        <w:t> </w:t>
      </w:r>
      <w:r>
        <w:rPr>
          <w:i/>
          <w:sz w:val="18"/>
        </w:rPr>
        <w:t>outcomes</w:t>
      </w:r>
      <w:r>
        <w:rPr>
          <w:i/>
          <w:spacing w:val="-4"/>
          <w:sz w:val="18"/>
        </w:rPr>
        <w:t> </w:t>
      </w:r>
      <w:r>
        <w:rPr>
          <w:i/>
          <w:sz w:val="18"/>
        </w:rPr>
        <w:t>to</w:t>
      </w:r>
      <w:r>
        <w:rPr>
          <w:i/>
          <w:spacing w:val="-4"/>
          <w:sz w:val="18"/>
        </w:rPr>
        <w:t> </w:t>
      </w:r>
      <w:r>
        <w:rPr>
          <w:i/>
          <w:sz w:val="18"/>
        </w:rPr>
        <w:t>differ</w:t>
      </w:r>
      <w:r>
        <w:rPr>
          <w:i/>
          <w:spacing w:val="-4"/>
          <w:sz w:val="18"/>
        </w:rPr>
        <w:t> </w:t>
      </w:r>
      <w:r>
        <w:rPr>
          <w:i/>
          <w:sz w:val="18"/>
        </w:rPr>
        <w:t>significantly</w:t>
      </w:r>
      <w:r>
        <w:rPr>
          <w:i/>
          <w:spacing w:val="-4"/>
          <w:sz w:val="18"/>
        </w:rPr>
        <w:t> </w:t>
      </w:r>
      <w:r>
        <w:rPr>
          <w:i/>
          <w:sz w:val="18"/>
        </w:rPr>
        <w:t>from</w:t>
      </w:r>
      <w:r>
        <w:rPr>
          <w:i/>
          <w:spacing w:val="-4"/>
          <w:sz w:val="18"/>
        </w:rPr>
        <w:t> </w:t>
      </w:r>
      <w:r>
        <w:rPr>
          <w:i/>
          <w:sz w:val="18"/>
        </w:rPr>
        <w:t>management’s</w:t>
      </w:r>
      <w:r>
        <w:rPr>
          <w:i/>
          <w:spacing w:val="-4"/>
          <w:sz w:val="18"/>
        </w:rPr>
        <w:t> </w:t>
      </w:r>
      <w:r>
        <w:rPr>
          <w:i/>
          <w:sz w:val="18"/>
        </w:rPr>
        <w:t>expectations,</w:t>
      </w:r>
      <w:r>
        <w:rPr>
          <w:i/>
          <w:spacing w:val="-4"/>
          <w:sz w:val="18"/>
        </w:rPr>
        <w:t> </w:t>
      </w:r>
      <w:r>
        <w:rPr>
          <w:i/>
          <w:sz w:val="18"/>
        </w:rPr>
        <w:t>are</w:t>
      </w:r>
      <w:r>
        <w:rPr>
          <w:i/>
          <w:spacing w:val="-4"/>
          <w:sz w:val="18"/>
        </w:rPr>
        <w:t> </w:t>
      </w:r>
      <w:r>
        <w:rPr>
          <w:i/>
          <w:sz w:val="18"/>
        </w:rPr>
        <w:t>described</w:t>
      </w:r>
      <w:r>
        <w:rPr>
          <w:i/>
          <w:spacing w:val="-4"/>
          <w:sz w:val="18"/>
        </w:rPr>
        <w:t> </w:t>
      </w:r>
      <w:r>
        <w:rPr>
          <w:i/>
          <w:sz w:val="18"/>
        </w:rPr>
        <w:t>in greater detail in Item 1A of Part I, “Risk Factors.”</w:t>
      </w:r>
    </w:p>
    <w:p>
      <w:pPr>
        <w:pStyle w:val="BodyText"/>
        <w:spacing w:before="60"/>
        <w:ind w:left="0"/>
        <w:rPr>
          <w:i/>
        </w:rPr>
      </w:pPr>
    </w:p>
    <w:p>
      <w:pPr>
        <w:pStyle w:val="Heading1"/>
        <w:spacing w:before="1"/>
      </w:pPr>
      <w:r>
        <w:rPr>
          <w:spacing w:val="-2"/>
        </w:rPr>
        <w:t>Overview</w:t>
      </w:r>
    </w:p>
    <w:p>
      <w:pPr>
        <w:pStyle w:val="BodyText"/>
        <w:spacing w:line="249" w:lineRule="auto" w:before="90"/>
        <w:ind w:right="122" w:firstLine="445"/>
      </w:pPr>
      <w:r>
        <w:rPr>
          <w:i/>
        </w:rPr>
        <w:t>Our primary source of revenue is the sale of a wide range of products and services to customers. </w:t>
      </w:r>
      <w:r>
        <w:rPr/>
        <w:t>The products offered through our stores include merchandise and content we have purchased for resale and products offered by third-party sellers, and we also manufacture and sell electronic devices and produce</w:t>
      </w:r>
      <w:r>
        <w:rPr>
          <w:spacing w:val="-3"/>
        </w:rPr>
        <w:t> </w:t>
      </w:r>
      <w:r>
        <w:rPr/>
        <w:t>media</w:t>
      </w:r>
      <w:r>
        <w:rPr>
          <w:spacing w:val="-3"/>
        </w:rPr>
        <w:t> </w:t>
      </w:r>
      <w:r>
        <w:rPr/>
        <w:t>content.</w:t>
      </w:r>
      <w:r>
        <w:rPr>
          <w:spacing w:val="-3"/>
        </w:rPr>
        <w:t> </w:t>
      </w:r>
      <w:r>
        <w:rPr/>
        <w:t>Generally,</w:t>
      </w:r>
      <w:r>
        <w:rPr>
          <w:spacing w:val="-3"/>
        </w:rPr>
        <w:t> </w:t>
      </w:r>
      <w:r>
        <w:rPr/>
        <w:t>we</w:t>
      </w:r>
      <w:r>
        <w:rPr>
          <w:spacing w:val="-3"/>
        </w:rPr>
        <w:t> </w:t>
      </w:r>
      <w:r>
        <w:rPr/>
        <w:t>recognize</w:t>
      </w:r>
      <w:r>
        <w:rPr>
          <w:spacing w:val="-3"/>
        </w:rPr>
        <w:t> </w:t>
      </w:r>
      <w:r>
        <w:rPr/>
        <w:t>gross</w:t>
      </w:r>
      <w:r>
        <w:rPr>
          <w:spacing w:val="-3"/>
        </w:rPr>
        <w:t> </w:t>
      </w:r>
      <w:r>
        <w:rPr/>
        <w:t>revenue</w:t>
      </w:r>
      <w:r>
        <w:rPr>
          <w:spacing w:val="-3"/>
        </w:rPr>
        <w:t> </w:t>
      </w:r>
      <w:r>
        <w:rPr/>
        <w:t>from</w:t>
      </w:r>
      <w:r>
        <w:rPr>
          <w:spacing w:val="-3"/>
        </w:rPr>
        <w:t> </w:t>
      </w:r>
      <w:r>
        <w:rPr/>
        <w:t>items</w:t>
      </w:r>
      <w:r>
        <w:rPr>
          <w:spacing w:val="-3"/>
        </w:rPr>
        <w:t> </w:t>
      </w:r>
      <w:r>
        <w:rPr/>
        <w:t>we</w:t>
      </w:r>
      <w:r>
        <w:rPr>
          <w:spacing w:val="-3"/>
        </w:rPr>
        <w:t> </w:t>
      </w:r>
      <w:r>
        <w:rPr/>
        <w:t>sell</w:t>
      </w:r>
      <w:r>
        <w:rPr>
          <w:spacing w:val="-3"/>
        </w:rPr>
        <w:t> </w:t>
      </w:r>
      <w:r>
        <w:rPr/>
        <w:t>from</w:t>
      </w:r>
      <w:r>
        <w:rPr>
          <w:spacing w:val="-3"/>
        </w:rPr>
        <w:t> </w:t>
      </w:r>
      <w:r>
        <w:rPr/>
        <w:t>our</w:t>
      </w:r>
      <w:r>
        <w:rPr>
          <w:spacing w:val="-3"/>
        </w:rPr>
        <w:t> </w:t>
      </w:r>
      <w:r>
        <w:rPr/>
        <w:t>inventory</w:t>
      </w:r>
      <w:r>
        <w:rPr>
          <w:spacing w:val="-3"/>
        </w:rPr>
        <w:t> </w:t>
      </w:r>
      <w:r>
        <w:rPr/>
        <w:t>as</w:t>
      </w:r>
      <w:r>
        <w:rPr>
          <w:spacing w:val="-3"/>
        </w:rPr>
        <w:t> </w:t>
      </w:r>
      <w:r>
        <w:rPr/>
        <w:t>product</w:t>
      </w:r>
      <w:r>
        <w:rPr>
          <w:spacing w:val="-3"/>
        </w:rPr>
        <w:t> </w:t>
      </w:r>
      <w:r>
        <w:rPr/>
        <w:t>sales</w:t>
      </w:r>
      <w:r>
        <w:rPr>
          <w:spacing w:val="-3"/>
        </w:rPr>
        <w:t> </w:t>
      </w:r>
      <w:r>
        <w:rPr/>
        <w:t>and</w:t>
      </w:r>
      <w:r>
        <w:rPr>
          <w:spacing w:val="-3"/>
        </w:rPr>
        <w:t> </w:t>
      </w:r>
      <w:r>
        <w:rPr/>
        <w:t>recognize</w:t>
      </w:r>
      <w:r>
        <w:rPr>
          <w:spacing w:val="-3"/>
        </w:rPr>
        <w:t> </w:t>
      </w:r>
      <w:r>
        <w:rPr/>
        <w:t>our</w:t>
      </w:r>
      <w:r>
        <w:rPr>
          <w:spacing w:val="-3"/>
        </w:rPr>
        <w:t> </w:t>
      </w:r>
      <w:r>
        <w:rPr/>
        <w:t>net</w:t>
      </w:r>
      <w:r>
        <w:rPr>
          <w:spacing w:val="-3"/>
        </w:rPr>
        <w:t> </w:t>
      </w:r>
      <w:r>
        <w:rPr/>
        <w:t>share</w:t>
      </w:r>
      <w:r>
        <w:rPr>
          <w:spacing w:val="-3"/>
        </w:rPr>
        <w:t> </w:t>
      </w:r>
      <w:r>
        <w:rPr/>
        <w:t>of</w:t>
      </w:r>
      <w:r>
        <w:rPr>
          <w:spacing w:val="-3"/>
        </w:rPr>
        <w:t> </w:t>
      </w:r>
      <w:r>
        <w:rPr/>
        <w:t>revenue of items sold by third-party sellers as service sales. We seek to increase unit sales across our stores, through increased product selection, across numerous product categories. We also offer other services such as compute, storage, and database offerings, fulfillment, advertising, publishing, and digital content </w:t>
      </w:r>
      <w:r>
        <w:rPr>
          <w:spacing w:val="-2"/>
        </w:rPr>
        <w:t>subscriptions.</w:t>
      </w:r>
    </w:p>
    <w:p>
      <w:pPr>
        <w:pStyle w:val="BodyText"/>
        <w:spacing w:line="249" w:lineRule="auto" w:before="99"/>
        <w:ind w:firstLine="445"/>
      </w:pPr>
      <w:r>
        <w:rPr>
          <w:i/>
        </w:rPr>
        <w:t>Our financial focus is on long-term, sustainable growth in free cash flows. </w:t>
      </w:r>
      <w:r>
        <w:rPr/>
        <w:t>Free cash flows are driven primarily by increasing operating income and efficiently managing accounts receivable, inventory, accounts payable, and cash capital expenditures, including our decision to purchase or lease property and equipment. Increases in operating income primarily result from increases in sales of products and services and efficiently managing our operating costs, partially offset by investments we make in longer-term strategic initiatives, including capital expenditures focused on improving the customer experience. To increase sales of products and services, we focus on improving all aspects of the customer experience, including lowering prices, improving availability, offering</w:t>
      </w:r>
      <w:r>
        <w:rPr>
          <w:spacing w:val="-3"/>
        </w:rPr>
        <w:t> </w:t>
      </w:r>
      <w:r>
        <w:rPr/>
        <w:t>faster</w:t>
      </w:r>
      <w:r>
        <w:rPr>
          <w:spacing w:val="-3"/>
        </w:rPr>
        <w:t> </w:t>
      </w:r>
      <w:r>
        <w:rPr/>
        <w:t>delivery</w:t>
      </w:r>
      <w:r>
        <w:rPr>
          <w:spacing w:val="-3"/>
        </w:rPr>
        <w:t> </w:t>
      </w:r>
      <w:r>
        <w:rPr/>
        <w:t>and</w:t>
      </w:r>
      <w:r>
        <w:rPr>
          <w:spacing w:val="-3"/>
        </w:rPr>
        <w:t> </w:t>
      </w:r>
      <w:r>
        <w:rPr/>
        <w:t>performance</w:t>
      </w:r>
      <w:r>
        <w:rPr>
          <w:spacing w:val="-3"/>
        </w:rPr>
        <w:t> </w:t>
      </w:r>
      <w:r>
        <w:rPr/>
        <w:t>times,</w:t>
      </w:r>
      <w:r>
        <w:rPr>
          <w:spacing w:val="-3"/>
        </w:rPr>
        <w:t> </w:t>
      </w:r>
      <w:r>
        <w:rPr/>
        <w:t>increasing</w:t>
      </w:r>
      <w:r>
        <w:rPr>
          <w:spacing w:val="-3"/>
        </w:rPr>
        <w:t> </w:t>
      </w:r>
      <w:r>
        <w:rPr/>
        <w:t>selection,</w:t>
      </w:r>
      <w:r>
        <w:rPr>
          <w:spacing w:val="-3"/>
        </w:rPr>
        <w:t> </w:t>
      </w:r>
      <w:r>
        <w:rPr/>
        <w:t>producing</w:t>
      </w:r>
      <w:r>
        <w:rPr>
          <w:spacing w:val="-3"/>
        </w:rPr>
        <w:t> </w:t>
      </w:r>
      <w:r>
        <w:rPr/>
        <w:t>original</w:t>
      </w:r>
      <w:r>
        <w:rPr>
          <w:spacing w:val="-3"/>
        </w:rPr>
        <w:t> </w:t>
      </w:r>
      <w:r>
        <w:rPr/>
        <w:t>content,</w:t>
      </w:r>
      <w:r>
        <w:rPr>
          <w:spacing w:val="-3"/>
        </w:rPr>
        <w:t> </w:t>
      </w:r>
      <w:r>
        <w:rPr/>
        <w:t>increasing</w:t>
      </w:r>
      <w:r>
        <w:rPr>
          <w:spacing w:val="-3"/>
        </w:rPr>
        <w:t> </w:t>
      </w:r>
      <w:r>
        <w:rPr/>
        <w:t>product</w:t>
      </w:r>
      <w:r>
        <w:rPr>
          <w:spacing w:val="-3"/>
        </w:rPr>
        <w:t> </w:t>
      </w:r>
      <w:r>
        <w:rPr/>
        <w:t>categories</w:t>
      </w:r>
      <w:r>
        <w:rPr>
          <w:spacing w:val="-3"/>
        </w:rPr>
        <w:t> </w:t>
      </w:r>
      <w:r>
        <w:rPr/>
        <w:t>and</w:t>
      </w:r>
      <w:r>
        <w:rPr>
          <w:spacing w:val="-3"/>
        </w:rPr>
        <w:t> </w:t>
      </w:r>
      <w:r>
        <w:rPr/>
        <w:t>service</w:t>
      </w:r>
      <w:r>
        <w:rPr>
          <w:spacing w:val="-3"/>
        </w:rPr>
        <w:t> </w:t>
      </w:r>
      <w:r>
        <w:rPr/>
        <w:t>offerings,</w:t>
      </w:r>
      <w:r>
        <w:rPr>
          <w:spacing w:val="-3"/>
        </w:rPr>
        <w:t> </w:t>
      </w:r>
      <w:r>
        <w:rPr/>
        <w:t>expanding product information, improving ease of use, improving reliability, and earning customer trust. See “Results of Operations — Non-GAAP</w:t>
      </w:r>
      <w:r>
        <w:rPr>
          <w:spacing w:val="-6"/>
        </w:rPr>
        <w:t> </w:t>
      </w:r>
      <w:r>
        <w:rPr/>
        <w:t>Financial Measures” below for additional information on our non-GAAP free cash flows financial measures.</w:t>
      </w:r>
    </w:p>
    <w:p>
      <w:pPr>
        <w:pStyle w:val="BodyText"/>
        <w:spacing w:line="249" w:lineRule="auto" w:before="100"/>
        <w:ind w:firstLine="445"/>
      </w:pPr>
      <w:r>
        <w:rPr>
          <w:i/>
        </w:rPr>
        <w:t>We seek to reduce our variable costs per unit and work to leverage our fixed costs. </w:t>
      </w:r>
      <w:r>
        <w:rPr/>
        <w:t>Our variable costs include product and content costs, payment processing</w:t>
      </w:r>
      <w:r>
        <w:rPr>
          <w:spacing w:val="-3"/>
        </w:rPr>
        <w:t> </w:t>
      </w:r>
      <w:r>
        <w:rPr/>
        <w:t>and</w:t>
      </w:r>
      <w:r>
        <w:rPr>
          <w:spacing w:val="-3"/>
        </w:rPr>
        <w:t> </w:t>
      </w:r>
      <w:r>
        <w:rPr/>
        <w:t>related</w:t>
      </w:r>
      <w:r>
        <w:rPr>
          <w:spacing w:val="-3"/>
        </w:rPr>
        <w:t> </w:t>
      </w:r>
      <w:r>
        <w:rPr/>
        <w:t>transaction</w:t>
      </w:r>
      <w:r>
        <w:rPr>
          <w:spacing w:val="-3"/>
        </w:rPr>
        <w:t> </w:t>
      </w:r>
      <w:r>
        <w:rPr/>
        <w:t>costs,</w:t>
      </w:r>
      <w:r>
        <w:rPr>
          <w:spacing w:val="-3"/>
        </w:rPr>
        <w:t> </w:t>
      </w:r>
      <w:r>
        <w:rPr/>
        <w:t>picking,</w:t>
      </w:r>
      <w:r>
        <w:rPr>
          <w:spacing w:val="-3"/>
        </w:rPr>
        <w:t> </w:t>
      </w:r>
      <w:r>
        <w:rPr/>
        <w:t>packaging,</w:t>
      </w:r>
      <w:r>
        <w:rPr>
          <w:spacing w:val="-3"/>
        </w:rPr>
        <w:t> </w:t>
      </w:r>
      <w:r>
        <w:rPr/>
        <w:t>and</w:t>
      </w:r>
      <w:r>
        <w:rPr>
          <w:spacing w:val="-3"/>
        </w:rPr>
        <w:t> </w:t>
      </w:r>
      <w:r>
        <w:rPr/>
        <w:t>preparing</w:t>
      </w:r>
      <w:r>
        <w:rPr>
          <w:spacing w:val="-3"/>
        </w:rPr>
        <w:t> </w:t>
      </w:r>
      <w:r>
        <w:rPr/>
        <w:t>orders</w:t>
      </w:r>
      <w:r>
        <w:rPr>
          <w:spacing w:val="-3"/>
        </w:rPr>
        <w:t> </w:t>
      </w:r>
      <w:r>
        <w:rPr/>
        <w:t>for</w:t>
      </w:r>
      <w:r>
        <w:rPr>
          <w:spacing w:val="-3"/>
        </w:rPr>
        <w:t> </w:t>
      </w:r>
      <w:r>
        <w:rPr/>
        <w:t>shipment,</w:t>
      </w:r>
      <w:r>
        <w:rPr>
          <w:spacing w:val="-3"/>
        </w:rPr>
        <w:t> </w:t>
      </w:r>
      <w:r>
        <w:rPr/>
        <w:t>transportation,</w:t>
      </w:r>
      <w:r>
        <w:rPr>
          <w:spacing w:val="-3"/>
        </w:rPr>
        <w:t> </w:t>
      </w:r>
      <w:r>
        <w:rPr/>
        <w:t>customer</w:t>
      </w:r>
      <w:r>
        <w:rPr>
          <w:spacing w:val="-3"/>
        </w:rPr>
        <w:t> </w:t>
      </w:r>
      <w:r>
        <w:rPr/>
        <w:t>service</w:t>
      </w:r>
      <w:r>
        <w:rPr>
          <w:spacing w:val="-3"/>
        </w:rPr>
        <w:t> </w:t>
      </w:r>
      <w:r>
        <w:rPr/>
        <w:t>support,</w:t>
      </w:r>
      <w:r>
        <w:rPr>
          <w:spacing w:val="-3"/>
        </w:rPr>
        <w:t> </w:t>
      </w:r>
      <w:r>
        <w:rPr/>
        <w:t>costs</w:t>
      </w:r>
      <w:r>
        <w:rPr>
          <w:spacing w:val="-3"/>
        </w:rPr>
        <w:t> </w:t>
      </w:r>
      <w:r>
        <w:rPr/>
        <w:t>necessary</w:t>
      </w:r>
      <w:r>
        <w:rPr>
          <w:spacing w:val="-3"/>
        </w:rPr>
        <w:t> </w:t>
      </w:r>
      <w:r>
        <w:rPr/>
        <w:t>to</w:t>
      </w:r>
      <w:r>
        <w:rPr>
          <w:spacing w:val="-3"/>
        </w:rPr>
        <w:t> </w:t>
      </w:r>
      <w:r>
        <w:rPr/>
        <w:t>run AWS, and a portion of our marketing costs. Our fixed costs include the costs necessary to build and run our technology infrastructure; to build, enhance, and add features to our online stores, web services, electronic devices, and digital offerings; and to build and optimize our fulfillment network. Variable costs generally change directly with sales volume, while fixed costs generally are dependent on the timing of capacity needs, geographic expansion, category expansion, and other factors. To decrease our variable costs on a per unit basis and enable us to lower prices for customers, we seek to increase our direct sourcing, increase discounts from suppliers, and reduce defects in our processes. To minimize unnecessary growth in fixed costs, we seek to improve process efficiencies and maintain a lean culture.</w:t>
      </w:r>
    </w:p>
    <w:p>
      <w:pPr>
        <w:pStyle w:val="BodyText"/>
        <w:spacing w:line="249" w:lineRule="auto" w:before="87"/>
        <w:ind w:firstLine="445"/>
      </w:pPr>
      <w:r>
        <w:rPr>
          <w:i/>
        </w:rPr>
        <w:t>We seek to turn inventory quickly and collect from consumers before our payments to vendors and sellers become due. </w:t>
      </w:r>
      <w:r>
        <w:rPr/>
        <w:t>Because consumers primarily use credit cards in our stores, our receivables from consumers settle quickly.</w:t>
      </w:r>
      <w:r>
        <w:rPr>
          <w:spacing w:val="-3"/>
        </w:rPr>
        <w:t> </w:t>
      </w:r>
      <w:r>
        <w:rPr/>
        <w:t>We expect variability in inventory turnover over time since it is affected by numerous factors, including our product mix, the mix of sales by us and by third-party sellers, our continuing focus on in-stock inventory availability and selection of product offerings, supply chain disruptions and resulting vendor lead times, our investment in new geographies and product lines, and the extent to which we choose</w:t>
      </w:r>
      <w:r>
        <w:rPr>
          <w:spacing w:val="-3"/>
        </w:rPr>
        <w:t> </w:t>
      </w:r>
      <w:r>
        <w:rPr/>
        <w:t>to</w:t>
      </w:r>
      <w:r>
        <w:rPr>
          <w:spacing w:val="-3"/>
        </w:rPr>
        <w:t> </w:t>
      </w:r>
      <w:r>
        <w:rPr/>
        <w:t>utilize</w:t>
      </w:r>
      <w:r>
        <w:rPr>
          <w:spacing w:val="-3"/>
        </w:rPr>
        <w:t> </w:t>
      </w:r>
      <w:r>
        <w:rPr/>
        <w:t>third-party</w:t>
      </w:r>
      <w:r>
        <w:rPr>
          <w:spacing w:val="-3"/>
        </w:rPr>
        <w:t> </w:t>
      </w:r>
      <w:r>
        <w:rPr/>
        <w:t>fulfillment</w:t>
      </w:r>
      <w:r>
        <w:rPr>
          <w:spacing w:val="-3"/>
        </w:rPr>
        <w:t> </w:t>
      </w:r>
      <w:r>
        <w:rPr/>
        <w:t>providers.</w:t>
      </w:r>
      <w:r>
        <w:rPr>
          <w:spacing w:val="-6"/>
        </w:rPr>
        <w:t> </w:t>
      </w:r>
      <w:r>
        <w:rPr/>
        <w:t>We</w:t>
      </w:r>
      <w:r>
        <w:rPr>
          <w:spacing w:val="-3"/>
        </w:rPr>
        <w:t> </w:t>
      </w:r>
      <w:r>
        <w:rPr/>
        <w:t>also</w:t>
      </w:r>
      <w:r>
        <w:rPr>
          <w:spacing w:val="-3"/>
        </w:rPr>
        <w:t> </w:t>
      </w:r>
      <w:r>
        <w:rPr/>
        <w:t>expect</w:t>
      </w:r>
      <w:r>
        <w:rPr>
          <w:spacing w:val="-3"/>
        </w:rPr>
        <w:t> </w:t>
      </w:r>
      <w:r>
        <w:rPr/>
        <w:t>some</w:t>
      </w:r>
      <w:r>
        <w:rPr>
          <w:spacing w:val="-3"/>
        </w:rPr>
        <w:t> </w:t>
      </w:r>
      <w:r>
        <w:rPr/>
        <w:t>variability</w:t>
      </w:r>
      <w:r>
        <w:rPr>
          <w:spacing w:val="-3"/>
        </w:rPr>
        <w:t> </w:t>
      </w:r>
      <w:r>
        <w:rPr/>
        <w:t>in</w:t>
      </w:r>
      <w:r>
        <w:rPr>
          <w:spacing w:val="-3"/>
        </w:rPr>
        <w:t> </w:t>
      </w:r>
      <w:r>
        <w:rPr/>
        <w:t>accounts</w:t>
      </w:r>
      <w:r>
        <w:rPr>
          <w:spacing w:val="-3"/>
        </w:rPr>
        <w:t> </w:t>
      </w:r>
      <w:r>
        <w:rPr/>
        <w:t>payable</w:t>
      </w:r>
      <w:r>
        <w:rPr>
          <w:spacing w:val="-3"/>
        </w:rPr>
        <w:t> </w:t>
      </w:r>
      <w:r>
        <w:rPr/>
        <w:t>days</w:t>
      </w:r>
      <w:r>
        <w:rPr>
          <w:spacing w:val="-3"/>
        </w:rPr>
        <w:t> </w:t>
      </w:r>
      <w:r>
        <w:rPr/>
        <w:t>over</w:t>
      </w:r>
      <w:r>
        <w:rPr>
          <w:spacing w:val="-3"/>
        </w:rPr>
        <w:t> </w:t>
      </w:r>
      <w:r>
        <w:rPr/>
        <w:t>time</w:t>
      </w:r>
      <w:r>
        <w:rPr>
          <w:spacing w:val="-3"/>
        </w:rPr>
        <w:t> </w:t>
      </w:r>
      <w:r>
        <w:rPr/>
        <w:t>since</w:t>
      </w:r>
      <w:r>
        <w:rPr>
          <w:spacing w:val="-3"/>
        </w:rPr>
        <w:t> </w:t>
      </w:r>
      <w:r>
        <w:rPr/>
        <w:t>they</w:t>
      </w:r>
      <w:r>
        <w:rPr>
          <w:spacing w:val="-3"/>
        </w:rPr>
        <w:t> </w:t>
      </w:r>
      <w:r>
        <w:rPr/>
        <w:t>are</w:t>
      </w:r>
      <w:r>
        <w:rPr>
          <w:spacing w:val="-3"/>
        </w:rPr>
        <w:t> </w:t>
      </w:r>
      <w:r>
        <w:rPr/>
        <w:t>affected</w:t>
      </w:r>
      <w:r>
        <w:rPr>
          <w:spacing w:val="-3"/>
        </w:rPr>
        <w:t> </w:t>
      </w:r>
      <w:r>
        <w:rPr/>
        <w:t>by</w:t>
      </w:r>
      <w:r>
        <w:rPr>
          <w:spacing w:val="-3"/>
        </w:rPr>
        <w:t> </w:t>
      </w:r>
      <w:r>
        <w:rPr/>
        <w:t>several</w:t>
      </w:r>
      <w:r>
        <w:rPr>
          <w:spacing w:val="-3"/>
        </w:rPr>
        <w:t> </w:t>
      </w:r>
      <w:r>
        <w:rPr/>
        <w:t>factors, including the mix of product sales, the mix of sales by third-party sellers, the mix</w:t>
      </w:r>
    </w:p>
    <w:p>
      <w:pPr>
        <w:pStyle w:val="BodyText"/>
        <w:ind w:left="0"/>
      </w:pPr>
    </w:p>
    <w:p>
      <w:pPr>
        <w:pStyle w:val="BodyText"/>
        <w:spacing w:before="144"/>
        <w:ind w:left="0"/>
      </w:pPr>
    </w:p>
    <w:p>
      <w:pPr>
        <w:pStyle w:val="BodyText"/>
        <w:jc w:val="center"/>
      </w:pPr>
      <w:r>
        <w:rPr/>
        <mc:AlternateContent>
          <mc:Choice Requires="wps">
            <w:drawing>
              <wp:anchor distT="0" distB="0" distL="0" distR="0" allowOverlap="1" layoutInCell="1" locked="0" behindDoc="0" simplePos="0" relativeHeight="15728640">
                <wp:simplePos x="0" y="0"/>
                <wp:positionH relativeFrom="page">
                  <wp:posOffset>231457</wp:posOffset>
                </wp:positionH>
                <wp:positionV relativeFrom="paragraph">
                  <wp:posOffset>201128</wp:posOffset>
                </wp:positionV>
                <wp:extent cx="7312659" cy="171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312659" cy="17145"/>
                          <a:chExt cx="7312659" cy="17145"/>
                        </a:xfrm>
                      </wpg:grpSpPr>
                      <wps:wsp>
                        <wps:cNvPr id="3" name="Graphic 3"/>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36912pt;width:575.8pt;height:1.35pt;mso-position-horizontal-relative:page;mso-position-vertical-relative:paragraph;z-index:15728640" id="docshapegroup2" coordorigin="364,317" coordsize="11516,27">
                <v:rect style="position:absolute;left:364;top:316;width:11516;height:14" id="docshape3" filled="true" fillcolor="#999999" stroked="false">
                  <v:fill type="solid"/>
                </v:rect>
                <v:shape style="position:absolute;left:364;top:316;width:11516;height:27" id="docshape4" coordorigin="364,317" coordsize="11516,27" path="m11880,317l11866,330,364,330,364,344,11866,344,11880,344,11880,330,11880,317xe" filled="true" fillcolor="#ededed" stroked="false">
                  <v:path arrowok="t"/>
                  <v:fill type="solid"/>
                </v:shape>
                <v:shape style="position:absolute;left:364;top:316;width:14;height:27" id="docshape5" coordorigin="364,317" coordsize="14,27" path="m364,344l364,317,378,317,378,330,364,344xe" filled="true" fillcolor="#999999" stroked="false">
                  <v:path arrowok="t"/>
                  <v:fill type="solid"/>
                </v:shape>
                <w10:wrap type="none"/>
              </v:group>
            </w:pict>
          </mc:Fallback>
        </mc:AlternateContent>
      </w:r>
      <w:r>
        <w:rPr>
          <w:spacing w:val="-5"/>
        </w:rPr>
        <w:t>20</w:t>
      </w:r>
    </w:p>
    <w:p>
      <w:pPr>
        <w:pStyle w:val="BodyText"/>
        <w:spacing w:after="0"/>
        <w:jc w:val="center"/>
        <w:sectPr>
          <w:headerReference w:type="default" r:id="rId5"/>
          <w:type w:val="continuous"/>
          <w:pgSz w:w="12240" w:h="15840"/>
          <w:pgMar w:header="460" w:footer="0" w:top="1180" w:bottom="280" w:left="360" w:right="360"/>
          <w:pgNumType w:start="1"/>
        </w:sectPr>
      </w:pPr>
    </w:p>
    <w:p>
      <w:pPr>
        <w:pStyle w:val="BodyText"/>
        <w:spacing w:line="249" w:lineRule="auto" w:before="109"/>
        <w:ind w:right="20"/>
      </w:pPr>
      <w:r>
        <w:rPr/>
        <w:t>of</w:t>
      </w:r>
      <w:r>
        <w:rPr>
          <w:spacing w:val="-3"/>
        </w:rPr>
        <w:t> </w:t>
      </w:r>
      <w:r>
        <w:rPr/>
        <w:t>suppliers,</w:t>
      </w:r>
      <w:r>
        <w:rPr>
          <w:spacing w:val="-3"/>
        </w:rPr>
        <w:t> </w:t>
      </w:r>
      <w:r>
        <w:rPr/>
        <w:t>seasonality,</w:t>
      </w:r>
      <w:r>
        <w:rPr>
          <w:spacing w:val="-3"/>
        </w:rPr>
        <w:t> </w:t>
      </w:r>
      <w:r>
        <w:rPr/>
        <w:t>and</w:t>
      </w:r>
      <w:r>
        <w:rPr>
          <w:spacing w:val="-3"/>
        </w:rPr>
        <w:t> </w:t>
      </w:r>
      <w:r>
        <w:rPr/>
        <w:t>changes</w:t>
      </w:r>
      <w:r>
        <w:rPr>
          <w:spacing w:val="-3"/>
        </w:rPr>
        <w:t> </w:t>
      </w:r>
      <w:r>
        <w:rPr/>
        <w:t>in</w:t>
      </w:r>
      <w:r>
        <w:rPr>
          <w:spacing w:val="-3"/>
        </w:rPr>
        <w:t> </w:t>
      </w:r>
      <w:r>
        <w:rPr/>
        <w:t>payment</w:t>
      </w:r>
      <w:r>
        <w:rPr>
          <w:spacing w:val="-3"/>
        </w:rPr>
        <w:t> </w:t>
      </w:r>
      <w:r>
        <w:rPr/>
        <w:t>and</w:t>
      </w:r>
      <w:r>
        <w:rPr>
          <w:spacing w:val="-3"/>
        </w:rPr>
        <w:t> </w:t>
      </w:r>
      <w:r>
        <w:rPr/>
        <w:t>other</w:t>
      </w:r>
      <w:r>
        <w:rPr>
          <w:spacing w:val="-3"/>
        </w:rPr>
        <w:t> </w:t>
      </w:r>
      <w:r>
        <w:rPr/>
        <w:t>terms</w:t>
      </w:r>
      <w:r>
        <w:rPr>
          <w:spacing w:val="-3"/>
        </w:rPr>
        <w:t> </w:t>
      </w:r>
      <w:r>
        <w:rPr/>
        <w:t>over</w:t>
      </w:r>
      <w:r>
        <w:rPr>
          <w:spacing w:val="-3"/>
        </w:rPr>
        <w:t> </w:t>
      </w:r>
      <w:r>
        <w:rPr/>
        <w:t>time,</w:t>
      </w:r>
      <w:r>
        <w:rPr>
          <w:spacing w:val="-3"/>
        </w:rPr>
        <w:t> </w:t>
      </w:r>
      <w:r>
        <w:rPr/>
        <w:t>including</w:t>
      </w:r>
      <w:r>
        <w:rPr>
          <w:spacing w:val="-3"/>
        </w:rPr>
        <w:t> </w:t>
      </w:r>
      <w:r>
        <w:rPr/>
        <w:t>the</w:t>
      </w:r>
      <w:r>
        <w:rPr>
          <w:spacing w:val="-3"/>
        </w:rPr>
        <w:t> </w:t>
      </w:r>
      <w:r>
        <w:rPr/>
        <w:t>effect</w:t>
      </w:r>
      <w:r>
        <w:rPr>
          <w:spacing w:val="-3"/>
        </w:rPr>
        <w:t> </w:t>
      </w:r>
      <w:r>
        <w:rPr/>
        <w:t>of</w:t>
      </w:r>
      <w:r>
        <w:rPr>
          <w:spacing w:val="-3"/>
        </w:rPr>
        <w:t> </w:t>
      </w:r>
      <w:r>
        <w:rPr/>
        <w:t>balancing</w:t>
      </w:r>
      <w:r>
        <w:rPr>
          <w:spacing w:val="-3"/>
        </w:rPr>
        <w:t> </w:t>
      </w:r>
      <w:r>
        <w:rPr/>
        <w:t>pricing</w:t>
      </w:r>
      <w:r>
        <w:rPr>
          <w:spacing w:val="-3"/>
        </w:rPr>
        <w:t> </w:t>
      </w:r>
      <w:r>
        <w:rPr/>
        <w:t>and</w:t>
      </w:r>
      <w:r>
        <w:rPr>
          <w:spacing w:val="-3"/>
        </w:rPr>
        <w:t> </w:t>
      </w:r>
      <w:r>
        <w:rPr/>
        <w:t>timing</w:t>
      </w:r>
      <w:r>
        <w:rPr>
          <w:spacing w:val="-3"/>
        </w:rPr>
        <w:t> </w:t>
      </w:r>
      <w:r>
        <w:rPr/>
        <w:t>of</w:t>
      </w:r>
      <w:r>
        <w:rPr>
          <w:spacing w:val="-3"/>
        </w:rPr>
        <w:t> </w:t>
      </w:r>
      <w:r>
        <w:rPr/>
        <w:t>payment</w:t>
      </w:r>
      <w:r>
        <w:rPr>
          <w:spacing w:val="-3"/>
        </w:rPr>
        <w:t> </w:t>
      </w:r>
      <w:r>
        <w:rPr/>
        <w:t>terms</w:t>
      </w:r>
      <w:r>
        <w:rPr>
          <w:spacing w:val="-3"/>
        </w:rPr>
        <w:t> </w:t>
      </w:r>
      <w:r>
        <w:rPr/>
        <w:t>with </w:t>
      </w:r>
      <w:r>
        <w:rPr>
          <w:spacing w:val="-2"/>
        </w:rPr>
        <w:t>suppliers.</w:t>
      </w:r>
    </w:p>
    <w:p>
      <w:pPr>
        <w:spacing w:line="249" w:lineRule="auto" w:before="96"/>
        <w:ind w:left="4" w:right="30" w:firstLine="445"/>
        <w:jc w:val="left"/>
        <w:rPr>
          <w:sz w:val="18"/>
        </w:rPr>
      </w:pPr>
      <w:r>
        <w:rPr>
          <w:i/>
          <w:sz w:val="18"/>
        </w:rPr>
        <w:t>We</w:t>
      </w:r>
      <w:r>
        <w:rPr>
          <w:i/>
          <w:spacing w:val="-2"/>
          <w:sz w:val="18"/>
        </w:rPr>
        <w:t> </w:t>
      </w:r>
      <w:r>
        <w:rPr>
          <w:i/>
          <w:sz w:val="18"/>
        </w:rPr>
        <w:t>expect</w:t>
      </w:r>
      <w:r>
        <w:rPr>
          <w:i/>
          <w:spacing w:val="-2"/>
          <w:sz w:val="18"/>
        </w:rPr>
        <w:t> </w:t>
      </w:r>
      <w:r>
        <w:rPr>
          <w:i/>
          <w:sz w:val="18"/>
        </w:rPr>
        <w:t>spending</w:t>
      </w:r>
      <w:r>
        <w:rPr>
          <w:i/>
          <w:spacing w:val="-2"/>
          <w:sz w:val="18"/>
        </w:rPr>
        <w:t> </w:t>
      </w:r>
      <w:r>
        <w:rPr>
          <w:i/>
          <w:sz w:val="18"/>
        </w:rPr>
        <w:t>in</w:t>
      </w:r>
      <w:r>
        <w:rPr>
          <w:i/>
          <w:spacing w:val="-2"/>
          <w:sz w:val="18"/>
        </w:rPr>
        <w:t> </w:t>
      </w:r>
      <w:r>
        <w:rPr>
          <w:i/>
          <w:sz w:val="18"/>
        </w:rPr>
        <w:t>technology</w:t>
      </w:r>
      <w:r>
        <w:rPr>
          <w:i/>
          <w:spacing w:val="-2"/>
          <w:sz w:val="18"/>
        </w:rPr>
        <w:t> </w:t>
      </w:r>
      <w:r>
        <w:rPr>
          <w:i/>
          <w:sz w:val="18"/>
        </w:rPr>
        <w:t>and</w:t>
      </w:r>
      <w:r>
        <w:rPr>
          <w:i/>
          <w:spacing w:val="-2"/>
          <w:sz w:val="18"/>
        </w:rPr>
        <w:t> </w:t>
      </w:r>
      <w:r>
        <w:rPr>
          <w:i/>
          <w:sz w:val="18"/>
        </w:rPr>
        <w:t>infrastructure</w:t>
      </w:r>
      <w:r>
        <w:rPr>
          <w:i/>
          <w:spacing w:val="-2"/>
          <w:sz w:val="18"/>
        </w:rPr>
        <w:t> </w:t>
      </w:r>
      <w:r>
        <w:rPr>
          <w:i/>
          <w:sz w:val="18"/>
        </w:rPr>
        <w:t>will</w:t>
      </w:r>
      <w:r>
        <w:rPr>
          <w:i/>
          <w:spacing w:val="-2"/>
          <w:sz w:val="18"/>
        </w:rPr>
        <w:t> </w:t>
      </w:r>
      <w:r>
        <w:rPr>
          <w:i/>
          <w:sz w:val="18"/>
        </w:rPr>
        <w:t>increase</w:t>
      </w:r>
      <w:r>
        <w:rPr>
          <w:i/>
          <w:spacing w:val="-2"/>
          <w:sz w:val="18"/>
        </w:rPr>
        <w:t> </w:t>
      </w:r>
      <w:r>
        <w:rPr>
          <w:i/>
          <w:sz w:val="18"/>
        </w:rPr>
        <w:t>over</w:t>
      </w:r>
      <w:r>
        <w:rPr>
          <w:i/>
          <w:spacing w:val="-2"/>
          <w:sz w:val="18"/>
        </w:rPr>
        <w:t> </w:t>
      </w:r>
      <w:r>
        <w:rPr>
          <w:i/>
          <w:sz w:val="18"/>
        </w:rPr>
        <w:t>time</w:t>
      </w:r>
      <w:r>
        <w:rPr>
          <w:i/>
          <w:spacing w:val="-2"/>
          <w:sz w:val="18"/>
        </w:rPr>
        <w:t> </w:t>
      </w:r>
      <w:r>
        <w:rPr>
          <w:i/>
          <w:sz w:val="18"/>
        </w:rPr>
        <w:t>as</w:t>
      </w:r>
      <w:r>
        <w:rPr>
          <w:i/>
          <w:spacing w:val="-2"/>
          <w:sz w:val="18"/>
        </w:rPr>
        <w:t> </w:t>
      </w:r>
      <w:r>
        <w:rPr>
          <w:i/>
          <w:sz w:val="18"/>
        </w:rPr>
        <w:t>we</w:t>
      </w:r>
      <w:r>
        <w:rPr>
          <w:i/>
          <w:spacing w:val="-2"/>
          <w:sz w:val="18"/>
        </w:rPr>
        <w:t> </w:t>
      </w:r>
      <w:r>
        <w:rPr>
          <w:i/>
          <w:sz w:val="18"/>
        </w:rPr>
        <w:t>add</w:t>
      </w:r>
      <w:r>
        <w:rPr>
          <w:i/>
          <w:spacing w:val="-2"/>
          <w:sz w:val="18"/>
        </w:rPr>
        <w:t> </w:t>
      </w:r>
      <w:r>
        <w:rPr>
          <w:i/>
          <w:sz w:val="18"/>
        </w:rPr>
        <w:t>computer</w:t>
      </w:r>
      <w:r>
        <w:rPr>
          <w:i/>
          <w:spacing w:val="-2"/>
          <w:sz w:val="18"/>
        </w:rPr>
        <w:t> </w:t>
      </w:r>
      <w:r>
        <w:rPr>
          <w:i/>
          <w:sz w:val="18"/>
        </w:rPr>
        <w:t>scientists,</w:t>
      </w:r>
      <w:r>
        <w:rPr>
          <w:i/>
          <w:spacing w:val="-2"/>
          <w:sz w:val="18"/>
        </w:rPr>
        <w:t> </w:t>
      </w:r>
      <w:r>
        <w:rPr>
          <w:i/>
          <w:sz w:val="18"/>
        </w:rPr>
        <w:t>designers,</w:t>
      </w:r>
      <w:r>
        <w:rPr>
          <w:i/>
          <w:spacing w:val="-2"/>
          <w:sz w:val="18"/>
        </w:rPr>
        <w:t> </w:t>
      </w:r>
      <w:r>
        <w:rPr>
          <w:i/>
          <w:sz w:val="18"/>
        </w:rPr>
        <w:t>software</w:t>
      </w:r>
      <w:r>
        <w:rPr>
          <w:i/>
          <w:spacing w:val="-2"/>
          <w:sz w:val="18"/>
        </w:rPr>
        <w:t> </w:t>
      </w:r>
      <w:r>
        <w:rPr>
          <w:i/>
          <w:sz w:val="18"/>
        </w:rPr>
        <w:t>and</w:t>
      </w:r>
      <w:r>
        <w:rPr>
          <w:i/>
          <w:spacing w:val="-2"/>
          <w:sz w:val="18"/>
        </w:rPr>
        <w:t> </w:t>
      </w:r>
      <w:r>
        <w:rPr>
          <w:i/>
          <w:sz w:val="18"/>
        </w:rPr>
        <w:t>hardware</w:t>
      </w:r>
      <w:r>
        <w:rPr>
          <w:i/>
          <w:spacing w:val="-2"/>
          <w:sz w:val="18"/>
        </w:rPr>
        <w:t> </w:t>
      </w:r>
      <w:r>
        <w:rPr>
          <w:i/>
          <w:sz w:val="18"/>
        </w:rPr>
        <w:t>engineers, and merchandising employees. Our technology and infrastructure investment and capital spending projects often support a variety of product and service offerings due to geographic expansion and the cross-functionality of our systems and operations. We seek to invest efficiently in several areas of technology and infrastructure, including AWS, and expansion of new and existing product categories and service offerings, as well as in infrastructure to enhance the customer experience and improve our process efficiencies. </w:t>
      </w:r>
      <w:r>
        <w:rPr>
          <w:sz w:val="18"/>
        </w:rPr>
        <w:t>We believe that advances in technology, specifically the speed and reduced cost of processing power,</w:t>
      </w:r>
      <w:r>
        <w:rPr>
          <w:spacing w:val="-2"/>
          <w:sz w:val="18"/>
        </w:rPr>
        <w:t> </w:t>
      </w:r>
      <w:r>
        <w:rPr>
          <w:sz w:val="18"/>
        </w:rPr>
        <w:t>data</w:t>
      </w:r>
      <w:r>
        <w:rPr>
          <w:spacing w:val="-2"/>
          <w:sz w:val="18"/>
        </w:rPr>
        <w:t> </w:t>
      </w:r>
      <w:r>
        <w:rPr>
          <w:sz w:val="18"/>
        </w:rPr>
        <w:t>storage</w:t>
      </w:r>
      <w:r>
        <w:rPr>
          <w:spacing w:val="-2"/>
          <w:sz w:val="18"/>
        </w:rPr>
        <w:t> </w:t>
      </w:r>
      <w:r>
        <w:rPr>
          <w:sz w:val="18"/>
        </w:rPr>
        <w:t>and</w:t>
      </w:r>
      <w:r>
        <w:rPr>
          <w:spacing w:val="-2"/>
          <w:sz w:val="18"/>
        </w:rPr>
        <w:t> </w:t>
      </w:r>
      <w:r>
        <w:rPr>
          <w:sz w:val="18"/>
        </w:rPr>
        <w:t>analytics,</w:t>
      </w:r>
      <w:r>
        <w:rPr>
          <w:spacing w:val="-2"/>
          <w:sz w:val="18"/>
        </w:rPr>
        <w:t> </w:t>
      </w:r>
      <w:r>
        <w:rPr>
          <w:sz w:val="18"/>
        </w:rPr>
        <w:t>improved</w:t>
      </w:r>
      <w:r>
        <w:rPr>
          <w:spacing w:val="-2"/>
          <w:sz w:val="18"/>
        </w:rPr>
        <w:t> </w:t>
      </w:r>
      <w:r>
        <w:rPr>
          <w:sz w:val="18"/>
        </w:rPr>
        <w:t>wireless</w:t>
      </w:r>
      <w:r>
        <w:rPr>
          <w:spacing w:val="-2"/>
          <w:sz w:val="18"/>
        </w:rPr>
        <w:t> </w:t>
      </w:r>
      <w:r>
        <w:rPr>
          <w:sz w:val="18"/>
        </w:rPr>
        <w:t>connectivity,</w:t>
      </w:r>
      <w:r>
        <w:rPr>
          <w:spacing w:val="-2"/>
          <w:sz w:val="18"/>
        </w:rPr>
        <w:t> </w:t>
      </w:r>
      <w:r>
        <w:rPr>
          <w:sz w:val="18"/>
        </w:rPr>
        <w:t>and</w:t>
      </w:r>
      <w:r>
        <w:rPr>
          <w:spacing w:val="-2"/>
          <w:sz w:val="18"/>
        </w:rPr>
        <w:t> </w:t>
      </w:r>
      <w:r>
        <w:rPr>
          <w:sz w:val="18"/>
        </w:rPr>
        <w:t>the</w:t>
      </w:r>
      <w:r>
        <w:rPr>
          <w:spacing w:val="-2"/>
          <w:sz w:val="18"/>
        </w:rPr>
        <w:t> </w:t>
      </w:r>
      <w:r>
        <w:rPr>
          <w:sz w:val="18"/>
        </w:rPr>
        <w:t>practical</w:t>
      </w:r>
      <w:r>
        <w:rPr>
          <w:spacing w:val="-2"/>
          <w:sz w:val="18"/>
        </w:rPr>
        <w:t> </w:t>
      </w:r>
      <w:r>
        <w:rPr>
          <w:sz w:val="18"/>
        </w:rPr>
        <w:t>applications</w:t>
      </w:r>
      <w:r>
        <w:rPr>
          <w:spacing w:val="-2"/>
          <w:sz w:val="18"/>
        </w:rPr>
        <w:t> </w:t>
      </w:r>
      <w:r>
        <w:rPr>
          <w:sz w:val="18"/>
        </w:rPr>
        <w:t>of</w:t>
      </w:r>
      <w:r>
        <w:rPr>
          <w:spacing w:val="-2"/>
          <w:sz w:val="18"/>
        </w:rPr>
        <w:t> </w:t>
      </w:r>
      <w:r>
        <w:rPr>
          <w:sz w:val="18"/>
        </w:rPr>
        <w:t>artificial</w:t>
      </w:r>
      <w:r>
        <w:rPr>
          <w:spacing w:val="-2"/>
          <w:sz w:val="18"/>
        </w:rPr>
        <w:t> </w:t>
      </w:r>
      <w:r>
        <w:rPr>
          <w:sz w:val="18"/>
        </w:rPr>
        <w:t>intelligence</w:t>
      </w:r>
      <w:r>
        <w:rPr>
          <w:spacing w:val="-2"/>
          <w:sz w:val="18"/>
        </w:rPr>
        <w:t> </w:t>
      </w:r>
      <w:r>
        <w:rPr>
          <w:sz w:val="18"/>
        </w:rPr>
        <w:t>and</w:t>
      </w:r>
      <w:r>
        <w:rPr>
          <w:spacing w:val="-2"/>
          <w:sz w:val="18"/>
        </w:rPr>
        <w:t> </w:t>
      </w:r>
      <w:r>
        <w:rPr>
          <w:sz w:val="18"/>
        </w:rPr>
        <w:t>machine</w:t>
      </w:r>
      <w:r>
        <w:rPr>
          <w:spacing w:val="-2"/>
          <w:sz w:val="18"/>
        </w:rPr>
        <w:t> </w:t>
      </w:r>
      <w:r>
        <w:rPr>
          <w:sz w:val="18"/>
        </w:rPr>
        <w:t>learning,</w:t>
      </w:r>
      <w:r>
        <w:rPr>
          <w:spacing w:val="-2"/>
          <w:sz w:val="18"/>
        </w:rPr>
        <w:t> </w:t>
      </w:r>
      <w:r>
        <w:rPr>
          <w:sz w:val="18"/>
        </w:rPr>
        <w:t>will</w:t>
      </w:r>
      <w:r>
        <w:rPr>
          <w:spacing w:val="-2"/>
          <w:sz w:val="18"/>
        </w:rPr>
        <w:t> </w:t>
      </w:r>
      <w:r>
        <w:rPr>
          <w:sz w:val="18"/>
        </w:rPr>
        <w:t>continue</w:t>
      </w:r>
      <w:r>
        <w:rPr>
          <w:spacing w:val="-2"/>
          <w:sz w:val="18"/>
        </w:rPr>
        <w:t> </w:t>
      </w:r>
      <w:r>
        <w:rPr>
          <w:sz w:val="18"/>
        </w:rPr>
        <w:t>to improve users’</w:t>
      </w:r>
      <w:r>
        <w:rPr>
          <w:spacing w:val="-12"/>
          <w:sz w:val="18"/>
        </w:rPr>
        <w:t> </w:t>
      </w:r>
      <w:r>
        <w:rPr>
          <w:sz w:val="18"/>
        </w:rPr>
        <w:t>experience on the internet and increase its ubiquity in people’s lives.</w:t>
      </w:r>
      <w:r>
        <w:rPr>
          <w:spacing w:val="-2"/>
          <w:sz w:val="18"/>
        </w:rPr>
        <w:t> </w:t>
      </w:r>
      <w:r>
        <w:rPr>
          <w:sz w:val="18"/>
        </w:rPr>
        <w:t>To best take advantage of these continued advances in technology, we are investing</w:t>
      </w:r>
      <w:r>
        <w:rPr>
          <w:spacing w:val="-3"/>
          <w:sz w:val="18"/>
        </w:rPr>
        <w:t> </w:t>
      </w:r>
      <w:r>
        <w:rPr>
          <w:sz w:val="18"/>
        </w:rPr>
        <w:t>in</w:t>
      </w:r>
      <w:r>
        <w:rPr>
          <w:spacing w:val="-12"/>
          <w:sz w:val="18"/>
        </w:rPr>
        <w:t> </w:t>
      </w:r>
      <w:r>
        <w:rPr>
          <w:sz w:val="18"/>
        </w:rPr>
        <w:t>AWS,</w:t>
      </w:r>
      <w:r>
        <w:rPr>
          <w:spacing w:val="-3"/>
          <w:sz w:val="18"/>
        </w:rPr>
        <w:t> </w:t>
      </w:r>
      <w:r>
        <w:rPr>
          <w:sz w:val="18"/>
        </w:rPr>
        <w:t>which</w:t>
      </w:r>
      <w:r>
        <w:rPr>
          <w:spacing w:val="-3"/>
          <w:sz w:val="18"/>
        </w:rPr>
        <w:t> </w:t>
      </w:r>
      <w:r>
        <w:rPr>
          <w:sz w:val="18"/>
        </w:rPr>
        <w:t>offers</w:t>
      </w:r>
      <w:r>
        <w:rPr>
          <w:spacing w:val="-3"/>
          <w:sz w:val="18"/>
        </w:rPr>
        <w:t> </w:t>
      </w:r>
      <w:r>
        <w:rPr>
          <w:sz w:val="18"/>
        </w:rPr>
        <w:t>a</w:t>
      </w:r>
      <w:r>
        <w:rPr>
          <w:spacing w:val="-3"/>
          <w:sz w:val="18"/>
        </w:rPr>
        <w:t> </w:t>
      </w:r>
      <w:r>
        <w:rPr>
          <w:sz w:val="18"/>
        </w:rPr>
        <w:t>broad</w:t>
      </w:r>
      <w:r>
        <w:rPr>
          <w:spacing w:val="-3"/>
          <w:sz w:val="18"/>
        </w:rPr>
        <w:t> </w:t>
      </w:r>
      <w:r>
        <w:rPr>
          <w:sz w:val="18"/>
        </w:rPr>
        <w:t>set</w:t>
      </w:r>
      <w:r>
        <w:rPr>
          <w:spacing w:val="-3"/>
          <w:sz w:val="18"/>
        </w:rPr>
        <w:t> </w:t>
      </w:r>
      <w:r>
        <w:rPr>
          <w:sz w:val="18"/>
        </w:rPr>
        <w:t>of</w:t>
      </w:r>
      <w:r>
        <w:rPr>
          <w:spacing w:val="-3"/>
          <w:sz w:val="18"/>
        </w:rPr>
        <w:t> </w:t>
      </w:r>
      <w:r>
        <w:rPr>
          <w:sz w:val="18"/>
        </w:rPr>
        <w:t>on-demand</w:t>
      </w:r>
      <w:r>
        <w:rPr>
          <w:spacing w:val="-3"/>
          <w:sz w:val="18"/>
        </w:rPr>
        <w:t> </w:t>
      </w:r>
      <w:r>
        <w:rPr>
          <w:sz w:val="18"/>
        </w:rPr>
        <w:t>technology</w:t>
      </w:r>
      <w:r>
        <w:rPr>
          <w:spacing w:val="-3"/>
          <w:sz w:val="18"/>
        </w:rPr>
        <w:t> </w:t>
      </w:r>
      <w:r>
        <w:rPr>
          <w:sz w:val="18"/>
        </w:rPr>
        <w:t>services,</w:t>
      </w:r>
      <w:r>
        <w:rPr>
          <w:spacing w:val="-3"/>
          <w:sz w:val="18"/>
        </w:rPr>
        <w:t> </w:t>
      </w:r>
      <w:r>
        <w:rPr>
          <w:sz w:val="18"/>
        </w:rPr>
        <w:t>including</w:t>
      </w:r>
      <w:r>
        <w:rPr>
          <w:spacing w:val="-3"/>
          <w:sz w:val="18"/>
        </w:rPr>
        <w:t> </w:t>
      </w:r>
      <w:r>
        <w:rPr>
          <w:sz w:val="18"/>
        </w:rPr>
        <w:t>compute,</w:t>
      </w:r>
      <w:r>
        <w:rPr>
          <w:spacing w:val="-3"/>
          <w:sz w:val="18"/>
        </w:rPr>
        <w:t> </w:t>
      </w:r>
      <w:r>
        <w:rPr>
          <w:sz w:val="18"/>
        </w:rPr>
        <w:t>storage,</w:t>
      </w:r>
      <w:r>
        <w:rPr>
          <w:spacing w:val="-3"/>
          <w:sz w:val="18"/>
        </w:rPr>
        <w:t> </w:t>
      </w:r>
      <w:r>
        <w:rPr>
          <w:sz w:val="18"/>
        </w:rPr>
        <w:t>database,</w:t>
      </w:r>
      <w:r>
        <w:rPr>
          <w:spacing w:val="-3"/>
          <w:sz w:val="18"/>
        </w:rPr>
        <w:t> </w:t>
      </w:r>
      <w:r>
        <w:rPr>
          <w:sz w:val="18"/>
        </w:rPr>
        <w:t>analytics,</w:t>
      </w:r>
      <w:r>
        <w:rPr>
          <w:spacing w:val="-3"/>
          <w:sz w:val="18"/>
        </w:rPr>
        <w:t> </w:t>
      </w:r>
      <w:r>
        <w:rPr>
          <w:sz w:val="18"/>
        </w:rPr>
        <w:t>and</w:t>
      </w:r>
      <w:r>
        <w:rPr>
          <w:spacing w:val="-3"/>
          <w:sz w:val="18"/>
        </w:rPr>
        <w:t> </w:t>
      </w:r>
      <w:r>
        <w:rPr>
          <w:sz w:val="18"/>
        </w:rPr>
        <w:t>machine</w:t>
      </w:r>
      <w:r>
        <w:rPr>
          <w:spacing w:val="-3"/>
          <w:sz w:val="18"/>
        </w:rPr>
        <w:t> </w:t>
      </w:r>
      <w:r>
        <w:rPr>
          <w:sz w:val="18"/>
        </w:rPr>
        <w:t>learning,</w:t>
      </w:r>
      <w:r>
        <w:rPr>
          <w:spacing w:val="-3"/>
          <w:sz w:val="18"/>
        </w:rPr>
        <w:t> </w:t>
      </w:r>
      <w:r>
        <w:rPr>
          <w:sz w:val="18"/>
        </w:rPr>
        <w:t>and</w:t>
      </w:r>
      <w:r>
        <w:rPr>
          <w:spacing w:val="-3"/>
          <w:sz w:val="18"/>
        </w:rPr>
        <w:t> </w:t>
      </w:r>
      <w:r>
        <w:rPr>
          <w:sz w:val="18"/>
        </w:rPr>
        <w:t>other services to developers and enterprises of all sizes. We are also investing in initiatives to build and deploy innovative and efficient software and electronic devices as well as other initiatives including the development of a satellite network for global broadband service and autonomous vehicles for ride-hailing </w:t>
      </w:r>
      <w:r>
        <w:rPr>
          <w:spacing w:val="-2"/>
          <w:sz w:val="18"/>
        </w:rPr>
        <w:t>services.</w:t>
      </w:r>
    </w:p>
    <w:p>
      <w:pPr>
        <w:spacing w:line="249" w:lineRule="auto" w:before="103"/>
        <w:ind w:left="4" w:right="30" w:firstLine="445"/>
        <w:jc w:val="left"/>
        <w:rPr>
          <w:sz w:val="18"/>
        </w:rPr>
      </w:pPr>
      <w:r>
        <w:rPr>
          <w:i/>
          <w:sz w:val="18"/>
        </w:rPr>
        <w:t>We seek to efficiently manage shareholder dilution while maintaining the flexibility to issue shares for strategic purposes, such as financings, acquisitions,</w:t>
      </w:r>
      <w:r>
        <w:rPr>
          <w:i/>
          <w:spacing w:val="-6"/>
          <w:sz w:val="18"/>
        </w:rPr>
        <w:t> </w:t>
      </w:r>
      <w:r>
        <w:rPr>
          <w:i/>
          <w:sz w:val="18"/>
        </w:rPr>
        <w:t>and</w:t>
      </w:r>
      <w:r>
        <w:rPr>
          <w:i/>
          <w:spacing w:val="-4"/>
          <w:sz w:val="18"/>
        </w:rPr>
        <w:t> </w:t>
      </w:r>
      <w:r>
        <w:rPr>
          <w:i/>
          <w:sz w:val="18"/>
        </w:rPr>
        <w:t>aligning</w:t>
      </w:r>
      <w:r>
        <w:rPr>
          <w:i/>
          <w:spacing w:val="-4"/>
          <w:sz w:val="18"/>
        </w:rPr>
        <w:t> </w:t>
      </w:r>
      <w:r>
        <w:rPr>
          <w:i/>
          <w:sz w:val="18"/>
        </w:rPr>
        <w:t>employee</w:t>
      </w:r>
      <w:r>
        <w:rPr>
          <w:i/>
          <w:spacing w:val="-4"/>
          <w:sz w:val="18"/>
        </w:rPr>
        <w:t> </w:t>
      </w:r>
      <w:r>
        <w:rPr>
          <w:i/>
          <w:sz w:val="18"/>
        </w:rPr>
        <w:t>compensation</w:t>
      </w:r>
      <w:r>
        <w:rPr>
          <w:i/>
          <w:spacing w:val="-4"/>
          <w:sz w:val="18"/>
        </w:rPr>
        <w:t> </w:t>
      </w:r>
      <w:r>
        <w:rPr>
          <w:i/>
          <w:sz w:val="18"/>
        </w:rPr>
        <w:t>with</w:t>
      </w:r>
      <w:r>
        <w:rPr>
          <w:i/>
          <w:spacing w:val="-4"/>
          <w:sz w:val="18"/>
        </w:rPr>
        <w:t> </w:t>
      </w:r>
      <w:r>
        <w:rPr>
          <w:i/>
          <w:sz w:val="18"/>
        </w:rPr>
        <w:t>shareholders’</w:t>
      </w:r>
      <w:r>
        <w:rPr>
          <w:i/>
          <w:spacing w:val="-20"/>
          <w:sz w:val="18"/>
        </w:rPr>
        <w:t> </w:t>
      </w:r>
      <w:r>
        <w:rPr>
          <w:i/>
          <w:sz w:val="18"/>
        </w:rPr>
        <w:t>interests.</w:t>
      </w:r>
      <w:r>
        <w:rPr>
          <w:i/>
          <w:spacing w:val="-3"/>
          <w:sz w:val="18"/>
        </w:rPr>
        <w:t> </w:t>
      </w:r>
      <w:r>
        <w:rPr>
          <w:sz w:val="18"/>
        </w:rPr>
        <w:t>We</w:t>
      </w:r>
      <w:r>
        <w:rPr>
          <w:spacing w:val="-4"/>
          <w:sz w:val="18"/>
        </w:rPr>
        <w:t> </w:t>
      </w:r>
      <w:r>
        <w:rPr>
          <w:sz w:val="18"/>
        </w:rPr>
        <w:t>utilize</w:t>
      </w:r>
      <w:r>
        <w:rPr>
          <w:spacing w:val="-4"/>
          <w:sz w:val="18"/>
        </w:rPr>
        <w:t> </w:t>
      </w:r>
      <w:r>
        <w:rPr>
          <w:sz w:val="18"/>
        </w:rPr>
        <w:t>restricted</w:t>
      </w:r>
      <w:r>
        <w:rPr>
          <w:spacing w:val="-4"/>
          <w:sz w:val="18"/>
        </w:rPr>
        <w:t> </w:t>
      </w:r>
      <w:r>
        <w:rPr>
          <w:sz w:val="18"/>
        </w:rPr>
        <w:t>stock</w:t>
      </w:r>
      <w:r>
        <w:rPr>
          <w:spacing w:val="-4"/>
          <w:sz w:val="18"/>
        </w:rPr>
        <w:t> </w:t>
      </w:r>
      <w:r>
        <w:rPr>
          <w:sz w:val="18"/>
        </w:rPr>
        <w:t>units</w:t>
      </w:r>
      <w:r>
        <w:rPr>
          <w:spacing w:val="-4"/>
          <w:sz w:val="18"/>
        </w:rPr>
        <w:t> </w:t>
      </w:r>
      <w:r>
        <w:rPr>
          <w:sz w:val="18"/>
        </w:rPr>
        <w:t>as</w:t>
      </w:r>
      <w:r>
        <w:rPr>
          <w:spacing w:val="-4"/>
          <w:sz w:val="18"/>
        </w:rPr>
        <w:t> </w:t>
      </w:r>
      <w:r>
        <w:rPr>
          <w:sz w:val="18"/>
        </w:rPr>
        <w:t>our</w:t>
      </w:r>
      <w:r>
        <w:rPr>
          <w:spacing w:val="-4"/>
          <w:sz w:val="18"/>
        </w:rPr>
        <w:t> </w:t>
      </w:r>
      <w:r>
        <w:rPr>
          <w:sz w:val="18"/>
        </w:rPr>
        <w:t>primary</w:t>
      </w:r>
      <w:r>
        <w:rPr>
          <w:spacing w:val="-4"/>
          <w:sz w:val="18"/>
        </w:rPr>
        <w:t> </w:t>
      </w:r>
      <w:r>
        <w:rPr>
          <w:sz w:val="18"/>
        </w:rPr>
        <w:t>vehicle</w:t>
      </w:r>
      <w:r>
        <w:rPr>
          <w:spacing w:val="-4"/>
          <w:sz w:val="18"/>
        </w:rPr>
        <w:t> </w:t>
      </w:r>
      <w:r>
        <w:rPr>
          <w:sz w:val="18"/>
        </w:rPr>
        <w:t>for</w:t>
      </w:r>
      <w:r>
        <w:rPr>
          <w:spacing w:val="-4"/>
          <w:sz w:val="18"/>
        </w:rPr>
        <w:t> </w:t>
      </w:r>
      <w:r>
        <w:rPr>
          <w:sz w:val="18"/>
        </w:rPr>
        <w:t>equity</w:t>
      </w:r>
      <w:r>
        <w:rPr>
          <w:spacing w:val="-4"/>
          <w:sz w:val="18"/>
        </w:rPr>
        <w:t> </w:t>
      </w:r>
      <w:r>
        <w:rPr>
          <w:sz w:val="18"/>
        </w:rPr>
        <w:t>compensation because we believe this compensation model aligns the long-term interests of our shareholders and employees. In measuring shareholder dilution, we include all vested and unvested stock awards outstanding, without regard to estimated forfeitures. Total shares outstanding plus outstanding stock awards were 10.8 billion and 10.9 billion as of December 31, 2023 and 2024.</w:t>
      </w:r>
    </w:p>
    <w:p>
      <w:pPr>
        <w:pStyle w:val="BodyText"/>
        <w:spacing w:line="249" w:lineRule="auto" w:before="84"/>
        <w:ind w:firstLine="445"/>
      </w:pPr>
      <w:r>
        <w:rPr>
          <w:i/>
        </w:rPr>
        <w:t>Our financial reporting currency is the U.S. Dollar and changes in foreign exchange rates significantly affect our reported results and consolidated trends. </w:t>
      </w:r>
      <w:r>
        <w:rPr/>
        <w:t>For example, if the U.S. Dollar weakens year-over-year relative to currencies in our international locations, our consolidated net sales and operating expenses will be higher than if currencies had remained constant. Likewise, if the U.S. Dollar strengthens year-over-year relative to currencies in our international</w:t>
      </w:r>
      <w:r>
        <w:rPr>
          <w:spacing w:val="-3"/>
        </w:rPr>
        <w:t> </w:t>
      </w:r>
      <w:r>
        <w:rPr/>
        <w:t>locations,</w:t>
      </w:r>
      <w:r>
        <w:rPr>
          <w:spacing w:val="-3"/>
        </w:rPr>
        <w:t> </w:t>
      </w:r>
      <w:r>
        <w:rPr/>
        <w:t>our</w:t>
      </w:r>
      <w:r>
        <w:rPr>
          <w:spacing w:val="-3"/>
        </w:rPr>
        <w:t> </w:t>
      </w:r>
      <w:r>
        <w:rPr/>
        <w:t>consolidated</w:t>
      </w:r>
      <w:r>
        <w:rPr>
          <w:spacing w:val="-3"/>
        </w:rPr>
        <w:t> </w:t>
      </w:r>
      <w:r>
        <w:rPr/>
        <w:t>net</w:t>
      </w:r>
      <w:r>
        <w:rPr>
          <w:spacing w:val="-3"/>
        </w:rPr>
        <w:t> </w:t>
      </w:r>
      <w:r>
        <w:rPr/>
        <w:t>sales</w:t>
      </w:r>
      <w:r>
        <w:rPr>
          <w:spacing w:val="-3"/>
        </w:rPr>
        <w:t> </w:t>
      </w:r>
      <w:r>
        <w:rPr/>
        <w:t>and</w:t>
      </w:r>
      <w:r>
        <w:rPr>
          <w:spacing w:val="-3"/>
        </w:rPr>
        <w:t> </w:t>
      </w:r>
      <w:r>
        <w:rPr/>
        <w:t>operating</w:t>
      </w:r>
      <w:r>
        <w:rPr>
          <w:spacing w:val="-3"/>
        </w:rPr>
        <w:t> </w:t>
      </w:r>
      <w:r>
        <w:rPr/>
        <w:t>expenses</w:t>
      </w:r>
      <w:r>
        <w:rPr>
          <w:spacing w:val="-3"/>
        </w:rPr>
        <w:t> </w:t>
      </w:r>
      <w:r>
        <w:rPr/>
        <w:t>will</w:t>
      </w:r>
      <w:r>
        <w:rPr>
          <w:spacing w:val="-3"/>
        </w:rPr>
        <w:t> </w:t>
      </w:r>
      <w:r>
        <w:rPr/>
        <w:t>be</w:t>
      </w:r>
      <w:r>
        <w:rPr>
          <w:spacing w:val="-3"/>
        </w:rPr>
        <w:t> </w:t>
      </w:r>
      <w:r>
        <w:rPr/>
        <w:t>lower</w:t>
      </w:r>
      <w:r>
        <w:rPr>
          <w:spacing w:val="-3"/>
        </w:rPr>
        <w:t> </w:t>
      </w:r>
      <w:r>
        <w:rPr/>
        <w:t>than</w:t>
      </w:r>
      <w:r>
        <w:rPr>
          <w:spacing w:val="-3"/>
        </w:rPr>
        <w:t> </w:t>
      </w:r>
      <w:r>
        <w:rPr/>
        <w:t>if</w:t>
      </w:r>
      <w:r>
        <w:rPr>
          <w:spacing w:val="-3"/>
        </w:rPr>
        <w:t> </w:t>
      </w:r>
      <w:r>
        <w:rPr/>
        <w:t>currencies</w:t>
      </w:r>
      <w:r>
        <w:rPr>
          <w:spacing w:val="-3"/>
        </w:rPr>
        <w:t> </w:t>
      </w:r>
      <w:r>
        <w:rPr/>
        <w:t>had</w:t>
      </w:r>
      <w:r>
        <w:rPr>
          <w:spacing w:val="-3"/>
        </w:rPr>
        <w:t> </w:t>
      </w:r>
      <w:r>
        <w:rPr/>
        <w:t>remained</w:t>
      </w:r>
      <w:r>
        <w:rPr>
          <w:spacing w:val="-3"/>
        </w:rPr>
        <w:t> </w:t>
      </w:r>
      <w:r>
        <w:rPr/>
        <w:t>constant.</w:t>
      </w:r>
      <w:r>
        <w:rPr>
          <w:spacing w:val="-6"/>
        </w:rPr>
        <w:t> </w:t>
      </w:r>
      <w:r>
        <w:rPr/>
        <w:t>We</w:t>
      </w:r>
      <w:r>
        <w:rPr>
          <w:spacing w:val="-3"/>
        </w:rPr>
        <w:t> </w:t>
      </w:r>
      <w:r>
        <w:rPr/>
        <w:t>believe</w:t>
      </w:r>
      <w:r>
        <w:rPr>
          <w:spacing w:val="-3"/>
        </w:rPr>
        <w:t> </w:t>
      </w:r>
      <w:r>
        <w:rPr/>
        <w:t>that</w:t>
      </w:r>
      <w:r>
        <w:rPr>
          <w:spacing w:val="-3"/>
        </w:rPr>
        <w:t> </w:t>
      </w:r>
      <w:r>
        <w:rPr/>
        <w:t>our</w:t>
      </w:r>
      <w:r>
        <w:rPr>
          <w:spacing w:val="-3"/>
        </w:rPr>
        <w:t> </w:t>
      </w:r>
      <w:r>
        <w:rPr/>
        <w:t>increasing diversification</w:t>
      </w:r>
      <w:r>
        <w:rPr>
          <w:spacing w:val="-3"/>
        </w:rPr>
        <w:t> </w:t>
      </w:r>
      <w:r>
        <w:rPr/>
        <w:t>beyond</w:t>
      </w:r>
      <w:r>
        <w:rPr>
          <w:spacing w:val="-3"/>
        </w:rPr>
        <w:t> </w:t>
      </w:r>
      <w:r>
        <w:rPr/>
        <w:t>the</w:t>
      </w:r>
      <w:r>
        <w:rPr>
          <w:spacing w:val="-3"/>
        </w:rPr>
        <w:t> </w:t>
      </w:r>
      <w:r>
        <w:rPr/>
        <w:t>U.S.</w:t>
      </w:r>
      <w:r>
        <w:rPr>
          <w:spacing w:val="-3"/>
        </w:rPr>
        <w:t> </w:t>
      </w:r>
      <w:r>
        <w:rPr/>
        <w:t>economy</w:t>
      </w:r>
      <w:r>
        <w:rPr>
          <w:spacing w:val="-3"/>
        </w:rPr>
        <w:t> </w:t>
      </w:r>
      <w:r>
        <w:rPr/>
        <w:t>through</w:t>
      </w:r>
      <w:r>
        <w:rPr>
          <w:spacing w:val="-3"/>
        </w:rPr>
        <w:t> </w:t>
      </w:r>
      <w:r>
        <w:rPr/>
        <w:t>our</w:t>
      </w:r>
      <w:r>
        <w:rPr>
          <w:spacing w:val="-3"/>
        </w:rPr>
        <w:t> </w:t>
      </w:r>
      <w:r>
        <w:rPr/>
        <w:t>growing</w:t>
      </w:r>
      <w:r>
        <w:rPr>
          <w:spacing w:val="-3"/>
        </w:rPr>
        <w:t> </w:t>
      </w:r>
      <w:r>
        <w:rPr/>
        <w:t>international</w:t>
      </w:r>
      <w:r>
        <w:rPr>
          <w:spacing w:val="-3"/>
        </w:rPr>
        <w:t> </w:t>
      </w:r>
      <w:r>
        <w:rPr/>
        <w:t>businesses</w:t>
      </w:r>
      <w:r>
        <w:rPr>
          <w:spacing w:val="-3"/>
        </w:rPr>
        <w:t> </w:t>
      </w:r>
      <w:r>
        <w:rPr/>
        <w:t>benefits</w:t>
      </w:r>
      <w:r>
        <w:rPr>
          <w:spacing w:val="-3"/>
        </w:rPr>
        <w:t> </w:t>
      </w:r>
      <w:r>
        <w:rPr/>
        <w:t>our</w:t>
      </w:r>
      <w:r>
        <w:rPr>
          <w:spacing w:val="-3"/>
        </w:rPr>
        <w:t> </w:t>
      </w:r>
      <w:r>
        <w:rPr/>
        <w:t>shareholders</w:t>
      </w:r>
      <w:r>
        <w:rPr>
          <w:spacing w:val="-3"/>
        </w:rPr>
        <w:t> </w:t>
      </w:r>
      <w:r>
        <w:rPr/>
        <w:t>over</w:t>
      </w:r>
      <w:r>
        <w:rPr>
          <w:spacing w:val="-3"/>
        </w:rPr>
        <w:t> </w:t>
      </w:r>
      <w:r>
        <w:rPr/>
        <w:t>the</w:t>
      </w:r>
      <w:r>
        <w:rPr>
          <w:spacing w:val="-3"/>
        </w:rPr>
        <w:t> </w:t>
      </w:r>
      <w:r>
        <w:rPr/>
        <w:t>long-term.</w:t>
      </w:r>
      <w:r>
        <w:rPr>
          <w:spacing w:val="-6"/>
        </w:rPr>
        <w:t> </w:t>
      </w:r>
      <w:r>
        <w:rPr/>
        <w:t>We</w:t>
      </w:r>
      <w:r>
        <w:rPr>
          <w:spacing w:val="-3"/>
        </w:rPr>
        <w:t> </w:t>
      </w:r>
      <w:r>
        <w:rPr/>
        <w:t>also</w:t>
      </w:r>
      <w:r>
        <w:rPr>
          <w:spacing w:val="-3"/>
        </w:rPr>
        <w:t> </w:t>
      </w:r>
      <w:r>
        <w:rPr/>
        <w:t>believe</w:t>
      </w:r>
      <w:r>
        <w:rPr>
          <w:spacing w:val="-3"/>
        </w:rPr>
        <w:t> </w:t>
      </w:r>
      <w:r>
        <w:rPr/>
        <w:t>it</w:t>
      </w:r>
      <w:r>
        <w:rPr>
          <w:spacing w:val="-3"/>
        </w:rPr>
        <w:t> </w:t>
      </w:r>
      <w:r>
        <w:rPr/>
        <w:t>is</w:t>
      </w:r>
      <w:r>
        <w:rPr>
          <w:spacing w:val="-3"/>
        </w:rPr>
        <w:t> </w:t>
      </w:r>
      <w:r>
        <w:rPr/>
        <w:t>useful to evaluate our operating results and growth rates before and after the effect of currency changes.</w:t>
      </w:r>
    </w:p>
    <w:p>
      <w:pPr>
        <w:pStyle w:val="BodyText"/>
        <w:spacing w:line="249" w:lineRule="auto" w:before="99"/>
        <w:ind w:right="33" w:firstLine="445"/>
      </w:pPr>
      <w:r>
        <w:rPr/>
        <w:t>In</w:t>
      </w:r>
      <w:r>
        <w:rPr>
          <w:spacing w:val="-2"/>
        </w:rPr>
        <w:t> </w:t>
      </w:r>
      <w:r>
        <w:rPr/>
        <w:t>addition,</w:t>
      </w:r>
      <w:r>
        <w:rPr>
          <w:spacing w:val="-2"/>
        </w:rPr>
        <w:t> </w:t>
      </w:r>
      <w:r>
        <w:rPr/>
        <w:t>the</w:t>
      </w:r>
      <w:r>
        <w:rPr>
          <w:spacing w:val="-2"/>
        </w:rPr>
        <w:t> </w:t>
      </w:r>
      <w:r>
        <w:rPr/>
        <w:t>remeasurement</w:t>
      </w:r>
      <w:r>
        <w:rPr>
          <w:spacing w:val="-2"/>
        </w:rPr>
        <w:t> </w:t>
      </w:r>
      <w:r>
        <w:rPr/>
        <w:t>of</w:t>
      </w:r>
      <w:r>
        <w:rPr>
          <w:spacing w:val="-2"/>
        </w:rPr>
        <w:t> </w:t>
      </w:r>
      <w:r>
        <w:rPr/>
        <w:t>our</w:t>
      </w:r>
      <w:r>
        <w:rPr>
          <w:spacing w:val="-2"/>
        </w:rPr>
        <w:t> </w:t>
      </w:r>
      <w:r>
        <w:rPr/>
        <w:t>intercompany</w:t>
      </w:r>
      <w:r>
        <w:rPr>
          <w:spacing w:val="-2"/>
        </w:rPr>
        <w:t> </w:t>
      </w:r>
      <w:r>
        <w:rPr/>
        <w:t>balances</w:t>
      </w:r>
      <w:r>
        <w:rPr>
          <w:spacing w:val="-2"/>
        </w:rPr>
        <w:t> </w:t>
      </w:r>
      <w:r>
        <w:rPr/>
        <w:t>can</w:t>
      </w:r>
      <w:r>
        <w:rPr>
          <w:spacing w:val="-2"/>
        </w:rPr>
        <w:t> </w:t>
      </w:r>
      <w:r>
        <w:rPr/>
        <w:t>result</w:t>
      </w:r>
      <w:r>
        <w:rPr>
          <w:spacing w:val="-2"/>
        </w:rPr>
        <w:t> </w:t>
      </w:r>
      <w:r>
        <w:rPr/>
        <w:t>in</w:t>
      </w:r>
      <w:r>
        <w:rPr>
          <w:spacing w:val="-2"/>
        </w:rPr>
        <w:t> </w:t>
      </w:r>
      <w:r>
        <w:rPr/>
        <w:t>significant</w:t>
      </w:r>
      <w:r>
        <w:rPr>
          <w:spacing w:val="-2"/>
        </w:rPr>
        <w:t> </w:t>
      </w:r>
      <w:r>
        <w:rPr/>
        <w:t>gains</w:t>
      </w:r>
      <w:r>
        <w:rPr>
          <w:spacing w:val="-2"/>
        </w:rPr>
        <w:t> </w:t>
      </w:r>
      <w:r>
        <w:rPr/>
        <w:t>and</w:t>
      </w:r>
      <w:r>
        <w:rPr>
          <w:spacing w:val="-2"/>
        </w:rPr>
        <w:t> </w:t>
      </w:r>
      <w:r>
        <w:rPr/>
        <w:t>losses</w:t>
      </w:r>
      <w:r>
        <w:rPr>
          <w:spacing w:val="-2"/>
        </w:rPr>
        <w:t> </w:t>
      </w:r>
      <w:r>
        <w:rPr/>
        <w:t>associated</w:t>
      </w:r>
      <w:r>
        <w:rPr>
          <w:spacing w:val="-2"/>
        </w:rPr>
        <w:t> </w:t>
      </w:r>
      <w:r>
        <w:rPr/>
        <w:t>with</w:t>
      </w:r>
      <w:r>
        <w:rPr>
          <w:spacing w:val="-2"/>
        </w:rPr>
        <w:t> </w:t>
      </w:r>
      <w:r>
        <w:rPr/>
        <w:t>the</w:t>
      </w:r>
      <w:r>
        <w:rPr>
          <w:spacing w:val="-2"/>
        </w:rPr>
        <w:t> </w:t>
      </w:r>
      <w:r>
        <w:rPr/>
        <w:t>effect</w:t>
      </w:r>
      <w:r>
        <w:rPr>
          <w:spacing w:val="-2"/>
        </w:rPr>
        <w:t> </w:t>
      </w:r>
      <w:r>
        <w:rPr/>
        <w:t>of</w:t>
      </w:r>
      <w:r>
        <w:rPr>
          <w:spacing w:val="-2"/>
        </w:rPr>
        <w:t> </w:t>
      </w:r>
      <w:r>
        <w:rPr/>
        <w:t>movements</w:t>
      </w:r>
      <w:r>
        <w:rPr>
          <w:spacing w:val="-2"/>
        </w:rPr>
        <w:t> </w:t>
      </w:r>
      <w:r>
        <w:rPr/>
        <w:t>in</w:t>
      </w:r>
      <w:r>
        <w:rPr>
          <w:spacing w:val="-2"/>
        </w:rPr>
        <w:t> </w:t>
      </w:r>
      <w:r>
        <w:rPr/>
        <w:t>foreign exchange rates. Currency volatilities may continue, which may significantly impact (either positively or negatively) our reported results and consolidated</w:t>
      </w:r>
      <w:r>
        <w:rPr>
          <w:spacing w:val="40"/>
        </w:rPr>
        <w:t> </w:t>
      </w:r>
      <w:r>
        <w:rPr/>
        <w:t>trends and comparisons.</w:t>
      </w:r>
    </w:p>
    <w:p>
      <w:pPr>
        <w:pStyle w:val="BodyText"/>
        <w:spacing w:line="249" w:lineRule="auto" w:before="83"/>
        <w:ind w:firstLine="445"/>
      </w:pPr>
      <w:r>
        <w:rPr/>
        <w:t>For</w:t>
      </w:r>
      <w:r>
        <w:rPr>
          <w:spacing w:val="-2"/>
        </w:rPr>
        <w:t> </w:t>
      </w:r>
      <w:r>
        <w:rPr/>
        <w:t>additional</w:t>
      </w:r>
      <w:r>
        <w:rPr>
          <w:spacing w:val="-2"/>
        </w:rPr>
        <w:t> </w:t>
      </w:r>
      <w:r>
        <w:rPr/>
        <w:t>information</w:t>
      </w:r>
      <w:r>
        <w:rPr>
          <w:spacing w:val="-2"/>
        </w:rPr>
        <w:t> </w:t>
      </w:r>
      <w:r>
        <w:rPr/>
        <w:t>about</w:t>
      </w:r>
      <w:r>
        <w:rPr>
          <w:spacing w:val="-2"/>
        </w:rPr>
        <w:t> </w:t>
      </w:r>
      <w:r>
        <w:rPr/>
        <w:t>each</w:t>
      </w:r>
      <w:r>
        <w:rPr>
          <w:spacing w:val="-2"/>
        </w:rPr>
        <w:t> </w:t>
      </w:r>
      <w:r>
        <w:rPr/>
        <w:t>line</w:t>
      </w:r>
      <w:r>
        <w:rPr>
          <w:spacing w:val="-2"/>
        </w:rPr>
        <w:t> </w:t>
      </w:r>
      <w:r>
        <w:rPr/>
        <w:t>item</w:t>
      </w:r>
      <w:r>
        <w:rPr>
          <w:spacing w:val="-2"/>
        </w:rPr>
        <w:t> </w:t>
      </w:r>
      <w:r>
        <w:rPr/>
        <w:t>addressed</w:t>
      </w:r>
      <w:r>
        <w:rPr>
          <w:spacing w:val="-2"/>
        </w:rPr>
        <w:t> </w:t>
      </w:r>
      <w:r>
        <w:rPr/>
        <w:t>above,</w:t>
      </w:r>
      <w:r>
        <w:rPr>
          <w:spacing w:val="-2"/>
        </w:rPr>
        <w:t> </w:t>
      </w:r>
      <w:r>
        <w:rPr/>
        <w:t>refer</w:t>
      </w:r>
      <w:r>
        <w:rPr>
          <w:spacing w:val="-2"/>
        </w:rPr>
        <w:t> </w:t>
      </w:r>
      <w:r>
        <w:rPr/>
        <w:t>to</w:t>
      </w:r>
      <w:r>
        <w:rPr>
          <w:spacing w:val="-2"/>
        </w:rPr>
        <w:t> </w:t>
      </w:r>
      <w:r>
        <w:rPr/>
        <w:t>Item</w:t>
      </w:r>
      <w:r>
        <w:rPr>
          <w:spacing w:val="-2"/>
        </w:rPr>
        <w:t> </w:t>
      </w:r>
      <w:r>
        <w:rPr/>
        <w:t>8</w:t>
      </w:r>
      <w:r>
        <w:rPr>
          <w:spacing w:val="-2"/>
        </w:rPr>
        <w:t> </w:t>
      </w:r>
      <w:r>
        <w:rPr/>
        <w:t>of</w:t>
      </w:r>
      <w:r>
        <w:rPr>
          <w:spacing w:val="-2"/>
        </w:rPr>
        <w:t> </w:t>
      </w:r>
      <w:r>
        <w:rPr/>
        <w:t>Part</w:t>
      </w:r>
      <w:r>
        <w:rPr>
          <w:spacing w:val="-2"/>
        </w:rPr>
        <w:t> </w:t>
      </w:r>
      <w:r>
        <w:rPr/>
        <w:t>II,</w:t>
      </w:r>
      <w:r>
        <w:rPr>
          <w:spacing w:val="-2"/>
        </w:rPr>
        <w:t> </w:t>
      </w:r>
      <w:r>
        <w:rPr/>
        <w:t>“Financial</w:t>
      </w:r>
      <w:r>
        <w:rPr>
          <w:spacing w:val="-2"/>
        </w:rPr>
        <w:t> </w:t>
      </w:r>
      <w:r>
        <w:rPr/>
        <w:t>Statements</w:t>
      </w:r>
      <w:r>
        <w:rPr>
          <w:spacing w:val="-2"/>
        </w:rPr>
        <w:t> </w:t>
      </w:r>
      <w:r>
        <w:rPr/>
        <w:t>and</w:t>
      </w:r>
      <w:r>
        <w:rPr>
          <w:spacing w:val="-2"/>
        </w:rPr>
        <w:t> </w:t>
      </w:r>
      <w:r>
        <w:rPr/>
        <w:t>Supplementary</w:t>
      </w:r>
      <w:r>
        <w:rPr>
          <w:spacing w:val="-2"/>
        </w:rPr>
        <w:t> </w:t>
      </w:r>
      <w:r>
        <w:rPr/>
        <w:t>Data</w:t>
      </w:r>
      <w:r>
        <w:rPr>
          <w:spacing w:val="-2"/>
        </w:rPr>
        <w:t> </w:t>
      </w:r>
      <w:r>
        <w:rPr/>
        <w:t>—</w:t>
      </w:r>
      <w:r>
        <w:rPr>
          <w:spacing w:val="-2"/>
        </w:rPr>
        <w:t> </w:t>
      </w:r>
      <w:r>
        <w:rPr/>
        <w:t>Note</w:t>
      </w:r>
      <w:r>
        <w:rPr>
          <w:spacing w:val="-2"/>
        </w:rPr>
        <w:t> </w:t>
      </w:r>
      <w:r>
        <w:rPr/>
        <w:t>1</w:t>
      </w:r>
      <w:r>
        <w:rPr>
          <w:spacing w:val="-2"/>
        </w:rPr>
        <w:t> </w:t>
      </w:r>
      <w:r>
        <w:rPr/>
        <w:t>— Description of Business, Accounting Policies, and Supplemental Disclosures.”</w:t>
      </w:r>
    </w:p>
    <w:p>
      <w:pPr>
        <w:pStyle w:val="BodyText"/>
        <w:spacing w:line="249" w:lineRule="auto" w:before="96"/>
        <w:ind w:firstLine="445"/>
      </w:pPr>
      <w:r>
        <w:rPr/>
        <w:t>Our</w:t>
      </w:r>
      <w:r>
        <w:rPr>
          <w:spacing w:val="-11"/>
        </w:rPr>
        <w:t> </w:t>
      </w:r>
      <w:r>
        <w:rPr/>
        <w:t>Annual</w:t>
      </w:r>
      <w:r>
        <w:rPr>
          <w:spacing w:val="-2"/>
        </w:rPr>
        <w:t> </w:t>
      </w:r>
      <w:r>
        <w:rPr/>
        <w:t>Report</w:t>
      </w:r>
      <w:r>
        <w:rPr>
          <w:spacing w:val="-2"/>
        </w:rPr>
        <w:t> </w:t>
      </w:r>
      <w:r>
        <w:rPr/>
        <w:t>on</w:t>
      </w:r>
      <w:r>
        <w:rPr>
          <w:spacing w:val="-2"/>
        </w:rPr>
        <w:t> </w:t>
      </w:r>
      <w:r>
        <w:rPr/>
        <w:t>Form</w:t>
      </w:r>
      <w:r>
        <w:rPr>
          <w:spacing w:val="-2"/>
        </w:rPr>
        <w:t> </w:t>
      </w:r>
      <w:r>
        <w:rPr/>
        <w:t>10-K</w:t>
      </w:r>
      <w:r>
        <w:rPr>
          <w:spacing w:val="-2"/>
        </w:rPr>
        <w:t> </w:t>
      </w:r>
      <w:r>
        <w:rPr/>
        <w:t>for</w:t>
      </w:r>
      <w:r>
        <w:rPr>
          <w:spacing w:val="-2"/>
        </w:rPr>
        <w:t> </w:t>
      </w:r>
      <w:r>
        <w:rPr/>
        <w:t>the</w:t>
      </w:r>
      <w:r>
        <w:rPr>
          <w:spacing w:val="-2"/>
        </w:rPr>
        <w:t> </w:t>
      </w:r>
      <w:r>
        <w:rPr/>
        <w:t>year</w:t>
      </w:r>
      <w:r>
        <w:rPr>
          <w:spacing w:val="-2"/>
        </w:rPr>
        <w:t> </w:t>
      </w:r>
      <w:r>
        <w:rPr/>
        <w:t>ended</w:t>
      </w:r>
      <w:r>
        <w:rPr>
          <w:spacing w:val="-2"/>
        </w:rPr>
        <w:t> </w:t>
      </w:r>
      <w:r>
        <w:rPr/>
        <w:t>December</w:t>
      </w:r>
      <w:r>
        <w:rPr>
          <w:spacing w:val="-2"/>
        </w:rPr>
        <w:t> </w:t>
      </w:r>
      <w:r>
        <w:rPr/>
        <w:t>31,</w:t>
      </w:r>
      <w:r>
        <w:rPr>
          <w:spacing w:val="-2"/>
        </w:rPr>
        <w:t> </w:t>
      </w:r>
      <w:r>
        <w:rPr/>
        <w:t>2023</w:t>
      </w:r>
      <w:r>
        <w:rPr>
          <w:spacing w:val="-2"/>
        </w:rPr>
        <w:t> </w:t>
      </w:r>
      <w:r>
        <w:rPr/>
        <w:t>includes</w:t>
      </w:r>
      <w:r>
        <w:rPr>
          <w:spacing w:val="-2"/>
        </w:rPr>
        <w:t> </w:t>
      </w:r>
      <w:r>
        <w:rPr/>
        <w:t>a</w:t>
      </w:r>
      <w:r>
        <w:rPr>
          <w:spacing w:val="-2"/>
        </w:rPr>
        <w:t> </w:t>
      </w:r>
      <w:r>
        <w:rPr/>
        <w:t>discussion</w:t>
      </w:r>
      <w:r>
        <w:rPr>
          <w:spacing w:val="-2"/>
        </w:rPr>
        <w:t> </w:t>
      </w:r>
      <w:r>
        <w:rPr/>
        <w:t>and</w:t>
      </w:r>
      <w:r>
        <w:rPr>
          <w:spacing w:val="-2"/>
        </w:rPr>
        <w:t> </w:t>
      </w:r>
      <w:r>
        <w:rPr/>
        <w:t>analysis</w:t>
      </w:r>
      <w:r>
        <w:rPr>
          <w:spacing w:val="-2"/>
        </w:rPr>
        <w:t> </w:t>
      </w:r>
      <w:r>
        <w:rPr/>
        <w:t>of</w:t>
      </w:r>
      <w:r>
        <w:rPr>
          <w:spacing w:val="-2"/>
        </w:rPr>
        <w:t> </w:t>
      </w:r>
      <w:r>
        <w:rPr/>
        <w:t>our</w:t>
      </w:r>
      <w:r>
        <w:rPr>
          <w:spacing w:val="-2"/>
        </w:rPr>
        <w:t> </w:t>
      </w:r>
      <w:r>
        <w:rPr/>
        <w:t>financial</w:t>
      </w:r>
      <w:r>
        <w:rPr>
          <w:spacing w:val="-2"/>
        </w:rPr>
        <w:t> </w:t>
      </w:r>
      <w:r>
        <w:rPr/>
        <w:t>condition</w:t>
      </w:r>
      <w:r>
        <w:rPr>
          <w:spacing w:val="-2"/>
        </w:rPr>
        <w:t> </w:t>
      </w:r>
      <w:r>
        <w:rPr/>
        <w:t>and</w:t>
      </w:r>
      <w:r>
        <w:rPr>
          <w:spacing w:val="-2"/>
        </w:rPr>
        <w:t> </w:t>
      </w:r>
      <w:r>
        <w:rPr/>
        <w:t>results</w:t>
      </w:r>
      <w:r>
        <w:rPr>
          <w:spacing w:val="-2"/>
        </w:rPr>
        <w:t> </w:t>
      </w:r>
      <w:r>
        <w:rPr/>
        <w:t>of operations for the year ended December 31, 2022 in Item 7 of Part II, “Management’s Discussion and</w:t>
      </w:r>
      <w:r>
        <w:rPr>
          <w:spacing w:val="-5"/>
        </w:rPr>
        <w:t> </w:t>
      </w:r>
      <w:r>
        <w:rPr/>
        <w:t>Analysis of Financial Condition and Results of </w:t>
      </w:r>
      <w:r>
        <w:rPr>
          <w:spacing w:val="-2"/>
        </w:rPr>
        <w:t>Operations.”</w:t>
      </w:r>
    </w:p>
    <w:p>
      <w:pPr>
        <w:pStyle w:val="BodyText"/>
        <w:spacing w:before="52"/>
        <w:ind w:left="0"/>
      </w:pPr>
    </w:p>
    <w:p>
      <w:pPr>
        <w:pStyle w:val="Heading1"/>
      </w:pPr>
      <w:r>
        <w:rPr/>
        <w:t>Critical</w:t>
      </w:r>
      <w:r>
        <w:rPr>
          <w:spacing w:val="-10"/>
        </w:rPr>
        <w:t> </w:t>
      </w:r>
      <w:r>
        <w:rPr/>
        <w:t>Accounting</w:t>
      </w:r>
      <w:r>
        <w:rPr>
          <w:spacing w:val="-1"/>
        </w:rPr>
        <w:t> </w:t>
      </w:r>
      <w:r>
        <w:rPr>
          <w:spacing w:val="-2"/>
        </w:rPr>
        <w:t>Estimates</w:t>
      </w:r>
    </w:p>
    <w:p>
      <w:pPr>
        <w:pStyle w:val="BodyText"/>
        <w:spacing w:line="249" w:lineRule="auto" w:before="90"/>
        <w:ind w:right="20" w:firstLine="445"/>
      </w:pPr>
      <w:r>
        <w:rPr/>
        <w:t>The preparation of financial statements in conformity with generally accepted accounting principles of the United States (“GAAP”) requires estimates and assumptions that affect the reported amounts of assets and liabilities, revenues and expenses, and related disclosures of contingent liabilities in the consolidated financial statements and accompanying notes. Critical accounting estimates are those estimates made in accordance with GAAP that involve a significant level of estimation uncertainty and have had or are reasonably likely to have a material impact on the financial condition or results of operations of the</w:t>
      </w:r>
      <w:r>
        <w:rPr>
          <w:spacing w:val="-4"/>
        </w:rPr>
        <w:t> </w:t>
      </w:r>
      <w:r>
        <w:rPr/>
        <w:t>Company.</w:t>
      </w:r>
      <w:r>
        <w:rPr>
          <w:spacing w:val="-4"/>
        </w:rPr>
        <w:t> </w:t>
      </w:r>
      <w:r>
        <w:rPr/>
        <w:t>Based</w:t>
      </w:r>
      <w:r>
        <w:rPr>
          <w:spacing w:val="-4"/>
        </w:rPr>
        <w:t> </w:t>
      </w:r>
      <w:r>
        <w:rPr/>
        <w:t>on</w:t>
      </w:r>
      <w:r>
        <w:rPr>
          <w:spacing w:val="-4"/>
        </w:rPr>
        <w:t> </w:t>
      </w:r>
      <w:r>
        <w:rPr/>
        <w:t>this</w:t>
      </w:r>
      <w:r>
        <w:rPr>
          <w:spacing w:val="-4"/>
        </w:rPr>
        <w:t> </w:t>
      </w:r>
      <w:r>
        <w:rPr/>
        <w:t>definition,</w:t>
      </w:r>
      <w:r>
        <w:rPr>
          <w:spacing w:val="-4"/>
        </w:rPr>
        <w:t> </w:t>
      </w:r>
      <w:r>
        <w:rPr/>
        <w:t>we</w:t>
      </w:r>
      <w:r>
        <w:rPr>
          <w:spacing w:val="-4"/>
        </w:rPr>
        <w:t> </w:t>
      </w:r>
      <w:r>
        <w:rPr/>
        <w:t>have</w:t>
      </w:r>
      <w:r>
        <w:rPr>
          <w:spacing w:val="-4"/>
        </w:rPr>
        <w:t> </w:t>
      </w:r>
      <w:r>
        <w:rPr/>
        <w:t>identified</w:t>
      </w:r>
      <w:r>
        <w:rPr>
          <w:spacing w:val="-4"/>
        </w:rPr>
        <w:t> </w:t>
      </w:r>
      <w:r>
        <w:rPr/>
        <w:t>the</w:t>
      </w:r>
      <w:r>
        <w:rPr>
          <w:spacing w:val="-4"/>
        </w:rPr>
        <w:t> </w:t>
      </w:r>
      <w:r>
        <w:rPr/>
        <w:t>critical</w:t>
      </w:r>
      <w:r>
        <w:rPr>
          <w:spacing w:val="-4"/>
        </w:rPr>
        <w:t> </w:t>
      </w:r>
      <w:r>
        <w:rPr/>
        <w:t>accounting</w:t>
      </w:r>
      <w:r>
        <w:rPr>
          <w:spacing w:val="-4"/>
        </w:rPr>
        <w:t> </w:t>
      </w:r>
      <w:r>
        <w:rPr/>
        <w:t>estimates</w:t>
      </w:r>
      <w:r>
        <w:rPr>
          <w:spacing w:val="-4"/>
        </w:rPr>
        <w:t> </w:t>
      </w:r>
      <w:r>
        <w:rPr/>
        <w:t>addressed</w:t>
      </w:r>
      <w:r>
        <w:rPr>
          <w:spacing w:val="-4"/>
        </w:rPr>
        <w:t> </w:t>
      </w:r>
      <w:r>
        <w:rPr/>
        <w:t>below.</w:t>
      </w:r>
      <w:r>
        <w:rPr>
          <w:spacing w:val="-7"/>
        </w:rPr>
        <w:t> </w:t>
      </w:r>
      <w:r>
        <w:rPr/>
        <w:t>We</w:t>
      </w:r>
      <w:r>
        <w:rPr>
          <w:spacing w:val="-4"/>
        </w:rPr>
        <w:t> </w:t>
      </w:r>
      <w:r>
        <w:rPr/>
        <w:t>also</w:t>
      </w:r>
      <w:r>
        <w:rPr>
          <w:spacing w:val="-4"/>
        </w:rPr>
        <w:t> </w:t>
      </w:r>
      <w:r>
        <w:rPr/>
        <w:t>have</w:t>
      </w:r>
      <w:r>
        <w:rPr>
          <w:spacing w:val="-4"/>
        </w:rPr>
        <w:t> </w:t>
      </w:r>
      <w:r>
        <w:rPr/>
        <w:t>other</w:t>
      </w:r>
      <w:r>
        <w:rPr>
          <w:spacing w:val="-4"/>
        </w:rPr>
        <w:t> </w:t>
      </w:r>
      <w:r>
        <w:rPr/>
        <w:t>key</w:t>
      </w:r>
      <w:r>
        <w:rPr>
          <w:spacing w:val="-4"/>
        </w:rPr>
        <w:t> </w:t>
      </w:r>
      <w:r>
        <w:rPr/>
        <w:t>accounting</w:t>
      </w:r>
      <w:r>
        <w:rPr>
          <w:spacing w:val="-4"/>
        </w:rPr>
        <w:t> </w:t>
      </w:r>
      <w:r>
        <w:rPr/>
        <w:t>policies,</w:t>
      </w:r>
      <w:r>
        <w:rPr>
          <w:spacing w:val="-4"/>
        </w:rPr>
        <w:t> </w:t>
      </w:r>
      <w:r>
        <w:rPr/>
        <w:t>which involve the use of estimates, judgments, and assumptions that are significant to understanding our results. For additional information, see Item 8 of Part II, “Financial Statements and Supplementary Data — Note 1 — Description of Business,</w:t>
      </w:r>
      <w:r>
        <w:rPr>
          <w:spacing w:val="-3"/>
        </w:rPr>
        <w:t> </w:t>
      </w:r>
      <w:r>
        <w:rPr/>
        <w:t>Accounting Policies, and Supplemental Disclosures.”</w:t>
      </w:r>
      <w:r>
        <w:rPr>
          <w:spacing w:val="-3"/>
        </w:rPr>
        <w:t> </w:t>
      </w:r>
      <w:r>
        <w:rPr/>
        <w:t>Although we believe that our estimates, assumptions, and judgments are reasonable, they are based upon information presently available.</w:t>
      </w:r>
      <w:r>
        <w:rPr>
          <w:spacing w:val="-4"/>
        </w:rPr>
        <w:t> </w:t>
      </w:r>
      <w:r>
        <w:rPr/>
        <w:t>Actual results may differ significantly from these estimates under different assumptions, judgments, or conditions.</w:t>
      </w:r>
    </w:p>
    <w:p>
      <w:pPr>
        <w:pStyle w:val="BodyText"/>
        <w:spacing w:before="56"/>
        <w:ind w:left="0"/>
      </w:pPr>
    </w:p>
    <w:p>
      <w:pPr>
        <w:spacing w:before="0"/>
        <w:ind w:left="206" w:right="0" w:firstLine="0"/>
        <w:jc w:val="left"/>
        <w:rPr>
          <w:i/>
          <w:sz w:val="18"/>
        </w:rPr>
      </w:pPr>
      <w:r>
        <w:rPr>
          <w:i/>
          <w:spacing w:val="-2"/>
          <w:sz w:val="18"/>
        </w:rPr>
        <w:t>Inventories</w:t>
      </w:r>
    </w:p>
    <w:p>
      <w:pPr>
        <w:pStyle w:val="BodyText"/>
        <w:spacing w:line="249" w:lineRule="auto" w:before="104"/>
        <w:ind w:right="192" w:firstLine="445"/>
        <w:jc w:val="both"/>
      </w:pPr>
      <w:r>
        <w:rPr/>
        <w:t>Inventories, consisting of products available for sale, are primarily accounted for using the first-in first-out method, and are valued at the lower of cost and</w:t>
      </w:r>
      <w:r>
        <w:rPr>
          <w:spacing w:val="-2"/>
        </w:rPr>
        <w:t> </w:t>
      </w:r>
      <w:r>
        <w:rPr/>
        <w:t>net</w:t>
      </w:r>
      <w:r>
        <w:rPr>
          <w:spacing w:val="-2"/>
        </w:rPr>
        <w:t> </w:t>
      </w:r>
      <w:r>
        <w:rPr/>
        <w:t>realizable</w:t>
      </w:r>
      <w:r>
        <w:rPr>
          <w:spacing w:val="-2"/>
        </w:rPr>
        <w:t> </w:t>
      </w:r>
      <w:r>
        <w:rPr/>
        <w:t>value.</w:t>
      </w:r>
      <w:r>
        <w:rPr>
          <w:spacing w:val="-5"/>
        </w:rPr>
        <w:t> </w:t>
      </w:r>
      <w:r>
        <w:rPr/>
        <w:t>This</w:t>
      </w:r>
      <w:r>
        <w:rPr>
          <w:spacing w:val="-2"/>
        </w:rPr>
        <w:t> </w:t>
      </w:r>
      <w:r>
        <w:rPr/>
        <w:t>valuation</w:t>
      </w:r>
      <w:r>
        <w:rPr>
          <w:spacing w:val="-2"/>
        </w:rPr>
        <w:t> </w:t>
      </w:r>
      <w:r>
        <w:rPr/>
        <w:t>requires</w:t>
      </w:r>
      <w:r>
        <w:rPr>
          <w:spacing w:val="-2"/>
        </w:rPr>
        <w:t> </w:t>
      </w:r>
      <w:r>
        <w:rPr/>
        <w:t>us</w:t>
      </w:r>
      <w:r>
        <w:rPr>
          <w:spacing w:val="-2"/>
        </w:rPr>
        <w:t> </w:t>
      </w:r>
      <w:r>
        <w:rPr/>
        <w:t>to</w:t>
      </w:r>
      <w:r>
        <w:rPr>
          <w:spacing w:val="-2"/>
        </w:rPr>
        <w:t> </w:t>
      </w:r>
      <w:r>
        <w:rPr/>
        <w:t>make</w:t>
      </w:r>
      <w:r>
        <w:rPr>
          <w:spacing w:val="-2"/>
        </w:rPr>
        <w:t> </w:t>
      </w:r>
      <w:r>
        <w:rPr/>
        <w:t>judgments,</w:t>
      </w:r>
      <w:r>
        <w:rPr>
          <w:spacing w:val="-2"/>
        </w:rPr>
        <w:t> </w:t>
      </w:r>
      <w:r>
        <w:rPr/>
        <w:t>based</w:t>
      </w:r>
      <w:r>
        <w:rPr>
          <w:spacing w:val="-2"/>
        </w:rPr>
        <w:t> </w:t>
      </w:r>
      <w:r>
        <w:rPr/>
        <w:t>on</w:t>
      </w:r>
      <w:r>
        <w:rPr>
          <w:spacing w:val="-2"/>
        </w:rPr>
        <w:t> </w:t>
      </w:r>
      <w:r>
        <w:rPr/>
        <w:t>currently</w:t>
      </w:r>
      <w:r>
        <w:rPr>
          <w:spacing w:val="-2"/>
        </w:rPr>
        <w:t> </w:t>
      </w:r>
      <w:r>
        <w:rPr/>
        <w:t>available</w:t>
      </w:r>
      <w:r>
        <w:rPr>
          <w:spacing w:val="-2"/>
        </w:rPr>
        <w:t> </w:t>
      </w:r>
      <w:r>
        <w:rPr/>
        <w:t>information,</w:t>
      </w:r>
      <w:r>
        <w:rPr>
          <w:spacing w:val="-2"/>
        </w:rPr>
        <w:t> </w:t>
      </w:r>
      <w:r>
        <w:rPr/>
        <w:t>about</w:t>
      </w:r>
      <w:r>
        <w:rPr>
          <w:spacing w:val="-2"/>
        </w:rPr>
        <w:t> </w:t>
      </w:r>
      <w:r>
        <w:rPr/>
        <w:t>the</w:t>
      </w:r>
      <w:r>
        <w:rPr>
          <w:spacing w:val="-2"/>
        </w:rPr>
        <w:t> </w:t>
      </w:r>
      <w:r>
        <w:rPr/>
        <w:t>likely</w:t>
      </w:r>
      <w:r>
        <w:rPr>
          <w:spacing w:val="-2"/>
        </w:rPr>
        <w:t> </w:t>
      </w:r>
      <w:r>
        <w:rPr/>
        <w:t>method</w:t>
      </w:r>
      <w:r>
        <w:rPr>
          <w:spacing w:val="-2"/>
        </w:rPr>
        <w:t> </w:t>
      </w:r>
      <w:r>
        <w:rPr/>
        <w:t>of</w:t>
      </w:r>
      <w:r>
        <w:rPr>
          <w:spacing w:val="-2"/>
        </w:rPr>
        <w:t> </w:t>
      </w:r>
      <w:r>
        <w:rPr/>
        <w:t>disposition,</w:t>
      </w:r>
      <w:r>
        <w:rPr>
          <w:spacing w:val="-2"/>
        </w:rPr>
        <w:t> </w:t>
      </w:r>
      <w:r>
        <w:rPr/>
        <w:t>such as through sales to individual customers, returns to product</w:t>
      </w:r>
    </w:p>
    <w:p>
      <w:pPr>
        <w:pStyle w:val="BodyText"/>
        <w:ind w:left="0"/>
      </w:pPr>
    </w:p>
    <w:p>
      <w:pPr>
        <w:pStyle w:val="BodyText"/>
        <w:spacing w:before="141"/>
        <w:ind w:left="0"/>
      </w:pPr>
    </w:p>
    <w:p>
      <w:pPr>
        <w:pStyle w:val="BodyText"/>
        <w:spacing w:before="1"/>
        <w:jc w:val="center"/>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ragraph">
                  <wp:posOffset>193015</wp:posOffset>
                </wp:positionV>
                <wp:extent cx="7312659" cy="1714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312659" cy="17145"/>
                          <a:chExt cx="7312659" cy="17145"/>
                        </a:xfrm>
                      </wpg:grpSpPr>
                      <wps:wsp>
                        <wps:cNvPr id="7" name="Graphic 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8" name="Graphic 8"/>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9" name="Graphic 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98048pt;width:575.8pt;height:1.35pt;mso-position-horizontal-relative:page;mso-position-vertical-relative:paragraph;z-index:15729152" id="docshapegroup6" coordorigin="364,304" coordsize="11516,27">
                <v:rect style="position:absolute;left:364;top:303;width:11516;height:14" id="docshape7" filled="true" fillcolor="#999999" stroked="false">
                  <v:fill type="solid"/>
                </v:rect>
                <v:shape style="position:absolute;left:364;top:303;width:11516;height:27" id="docshape8" coordorigin="364,304" coordsize="11516,27" path="m11880,304l11866,317,364,317,364,331,11866,331,11880,331,11880,317,11880,304xe" filled="true" fillcolor="#ededed" stroked="false">
                  <v:path arrowok="t"/>
                  <v:fill type="solid"/>
                </v:shape>
                <v:shape style="position:absolute;left:364;top:303;width:14;height:27" id="docshape9" coordorigin="364,304" coordsize="14,27" path="m364,331l364,304,378,304,378,317,364,331xe" filled="true" fillcolor="#999999" stroked="false">
                  <v:path arrowok="t"/>
                  <v:fill type="solid"/>
                </v:shape>
                <w10:wrap type="none"/>
              </v:group>
            </w:pict>
          </mc:Fallback>
        </mc:AlternateContent>
      </w:r>
      <w:r>
        <w:rPr>
          <w:spacing w:val="-5"/>
        </w:rPr>
        <w:t>21</w:t>
      </w:r>
    </w:p>
    <w:p>
      <w:pPr>
        <w:pStyle w:val="BodyText"/>
        <w:spacing w:after="0"/>
        <w:jc w:val="center"/>
        <w:sectPr>
          <w:pgSz w:w="12240" w:h="15840"/>
          <w:pgMar w:header="460" w:footer="0" w:top="1180" w:bottom="280" w:left="360" w:right="360"/>
        </w:sectPr>
      </w:pPr>
    </w:p>
    <w:p>
      <w:pPr>
        <w:pStyle w:val="BodyText"/>
        <w:spacing w:line="249" w:lineRule="auto" w:before="123"/>
      </w:pPr>
      <w:r>
        <w:rPr/>
        <w:t>vendors, or liquidations, and expected recoverable values of each disposition category. These assumptions about future disposition of inventory are inherently uncertain</w:t>
      </w:r>
      <w:r>
        <w:rPr>
          <w:spacing w:val="-3"/>
        </w:rPr>
        <w:t> </w:t>
      </w:r>
      <w:r>
        <w:rPr/>
        <w:t>and</w:t>
      </w:r>
      <w:r>
        <w:rPr>
          <w:spacing w:val="-3"/>
        </w:rPr>
        <w:t> </w:t>
      </w:r>
      <w:r>
        <w:rPr/>
        <w:t>changes</w:t>
      </w:r>
      <w:r>
        <w:rPr>
          <w:spacing w:val="-3"/>
        </w:rPr>
        <w:t> </w:t>
      </w:r>
      <w:r>
        <w:rPr/>
        <w:t>in</w:t>
      </w:r>
      <w:r>
        <w:rPr>
          <w:spacing w:val="-3"/>
        </w:rPr>
        <w:t> </w:t>
      </w:r>
      <w:r>
        <w:rPr/>
        <w:t>our</w:t>
      </w:r>
      <w:r>
        <w:rPr>
          <w:spacing w:val="-3"/>
        </w:rPr>
        <w:t> </w:t>
      </w:r>
      <w:r>
        <w:rPr/>
        <w:t>estimates</w:t>
      </w:r>
      <w:r>
        <w:rPr>
          <w:spacing w:val="-3"/>
        </w:rPr>
        <w:t> </w:t>
      </w:r>
      <w:r>
        <w:rPr/>
        <w:t>and</w:t>
      </w:r>
      <w:r>
        <w:rPr>
          <w:spacing w:val="-3"/>
        </w:rPr>
        <w:t> </w:t>
      </w:r>
      <w:r>
        <w:rPr/>
        <w:t>assumptions</w:t>
      </w:r>
      <w:r>
        <w:rPr>
          <w:spacing w:val="-3"/>
        </w:rPr>
        <w:t> </w:t>
      </w:r>
      <w:r>
        <w:rPr/>
        <w:t>may</w:t>
      </w:r>
      <w:r>
        <w:rPr>
          <w:spacing w:val="-3"/>
        </w:rPr>
        <w:t> </w:t>
      </w:r>
      <w:r>
        <w:rPr/>
        <w:t>cause</w:t>
      </w:r>
      <w:r>
        <w:rPr>
          <w:spacing w:val="-3"/>
        </w:rPr>
        <w:t> </w:t>
      </w:r>
      <w:r>
        <w:rPr/>
        <w:t>us</w:t>
      </w:r>
      <w:r>
        <w:rPr>
          <w:spacing w:val="-3"/>
        </w:rPr>
        <w:t> </w:t>
      </w:r>
      <w:r>
        <w:rPr/>
        <w:t>to</w:t>
      </w:r>
      <w:r>
        <w:rPr>
          <w:spacing w:val="-3"/>
        </w:rPr>
        <w:t> </w:t>
      </w:r>
      <w:r>
        <w:rPr/>
        <w:t>realize</w:t>
      </w:r>
      <w:r>
        <w:rPr>
          <w:spacing w:val="-3"/>
        </w:rPr>
        <w:t> </w:t>
      </w:r>
      <w:r>
        <w:rPr/>
        <w:t>material</w:t>
      </w:r>
      <w:r>
        <w:rPr>
          <w:spacing w:val="-3"/>
        </w:rPr>
        <w:t> </w:t>
      </w:r>
      <w:r>
        <w:rPr/>
        <w:t>write-downs</w:t>
      </w:r>
      <w:r>
        <w:rPr>
          <w:spacing w:val="-3"/>
        </w:rPr>
        <w:t> </w:t>
      </w:r>
      <w:r>
        <w:rPr/>
        <w:t>in</w:t>
      </w:r>
      <w:r>
        <w:rPr>
          <w:spacing w:val="-3"/>
        </w:rPr>
        <w:t> </w:t>
      </w:r>
      <w:r>
        <w:rPr/>
        <w:t>the</w:t>
      </w:r>
      <w:r>
        <w:rPr>
          <w:spacing w:val="-3"/>
        </w:rPr>
        <w:t> </w:t>
      </w:r>
      <w:r>
        <w:rPr/>
        <w:t>future.</w:t>
      </w:r>
      <w:r>
        <w:rPr>
          <w:spacing w:val="-11"/>
        </w:rPr>
        <w:t> </w:t>
      </w:r>
      <w:r>
        <w:rPr/>
        <w:t>As</w:t>
      </w:r>
      <w:r>
        <w:rPr>
          <w:spacing w:val="-3"/>
        </w:rPr>
        <w:t> </w:t>
      </w:r>
      <w:r>
        <w:rPr/>
        <w:t>a</w:t>
      </w:r>
      <w:r>
        <w:rPr>
          <w:spacing w:val="-3"/>
        </w:rPr>
        <w:t> </w:t>
      </w:r>
      <w:r>
        <w:rPr/>
        <w:t>measure</w:t>
      </w:r>
      <w:r>
        <w:rPr>
          <w:spacing w:val="-3"/>
        </w:rPr>
        <w:t> </w:t>
      </w:r>
      <w:r>
        <w:rPr/>
        <w:t>of</w:t>
      </w:r>
      <w:r>
        <w:rPr>
          <w:spacing w:val="-3"/>
        </w:rPr>
        <w:t> </w:t>
      </w:r>
      <w:r>
        <w:rPr/>
        <w:t>sensitivity,</w:t>
      </w:r>
      <w:r>
        <w:rPr>
          <w:spacing w:val="-3"/>
        </w:rPr>
        <w:t> </w:t>
      </w:r>
      <w:r>
        <w:rPr/>
        <w:t>for</w:t>
      </w:r>
      <w:r>
        <w:rPr>
          <w:spacing w:val="-3"/>
        </w:rPr>
        <w:t> </w:t>
      </w:r>
      <w:r>
        <w:rPr/>
        <w:t>every</w:t>
      </w:r>
      <w:r>
        <w:rPr>
          <w:spacing w:val="-3"/>
        </w:rPr>
        <w:t> </w:t>
      </w:r>
      <w:r>
        <w:rPr/>
        <w:t>1%</w:t>
      </w:r>
      <w:r>
        <w:rPr>
          <w:spacing w:val="-3"/>
        </w:rPr>
        <w:t> </w:t>
      </w:r>
      <w:r>
        <w:rPr/>
        <w:t>of additional inventory valuation allowance as of December 31, 2024, we would have recorded an additional cost of sales of approximately $365 million.</w:t>
      </w:r>
    </w:p>
    <w:p>
      <w:pPr>
        <w:pStyle w:val="BodyText"/>
        <w:spacing w:line="249" w:lineRule="auto" w:before="83"/>
        <w:ind w:firstLine="445"/>
      </w:pPr>
      <w:r>
        <w:rPr/>
        <w:t>In</w:t>
      </w:r>
      <w:r>
        <w:rPr>
          <w:spacing w:val="-3"/>
        </w:rPr>
        <w:t> </w:t>
      </w:r>
      <w:r>
        <w:rPr/>
        <w:t>addition,</w:t>
      </w:r>
      <w:r>
        <w:rPr>
          <w:spacing w:val="-3"/>
        </w:rPr>
        <w:t> </w:t>
      </w:r>
      <w:r>
        <w:rPr/>
        <w:t>we</w:t>
      </w:r>
      <w:r>
        <w:rPr>
          <w:spacing w:val="-3"/>
        </w:rPr>
        <w:t> </w:t>
      </w:r>
      <w:r>
        <w:rPr/>
        <w:t>enter</w:t>
      </w:r>
      <w:r>
        <w:rPr>
          <w:spacing w:val="-3"/>
        </w:rPr>
        <w:t> </w:t>
      </w:r>
      <w:r>
        <w:rPr/>
        <w:t>into</w:t>
      </w:r>
      <w:r>
        <w:rPr>
          <w:spacing w:val="-3"/>
        </w:rPr>
        <w:t> </w:t>
      </w:r>
      <w:r>
        <w:rPr/>
        <w:t>supplier</w:t>
      </w:r>
      <w:r>
        <w:rPr>
          <w:spacing w:val="-3"/>
        </w:rPr>
        <w:t> </w:t>
      </w:r>
      <w:r>
        <w:rPr/>
        <w:t>commitments</w:t>
      </w:r>
      <w:r>
        <w:rPr>
          <w:spacing w:val="-3"/>
        </w:rPr>
        <w:t> </w:t>
      </w:r>
      <w:r>
        <w:rPr/>
        <w:t>for</w:t>
      </w:r>
      <w:r>
        <w:rPr>
          <w:spacing w:val="-3"/>
        </w:rPr>
        <w:t> </w:t>
      </w:r>
      <w:r>
        <w:rPr/>
        <w:t>certain</w:t>
      </w:r>
      <w:r>
        <w:rPr>
          <w:spacing w:val="-3"/>
        </w:rPr>
        <w:t> </w:t>
      </w:r>
      <w:r>
        <w:rPr/>
        <w:t>electronic</w:t>
      </w:r>
      <w:r>
        <w:rPr>
          <w:spacing w:val="-3"/>
        </w:rPr>
        <w:t> </w:t>
      </w:r>
      <w:r>
        <w:rPr/>
        <w:t>device</w:t>
      </w:r>
      <w:r>
        <w:rPr>
          <w:spacing w:val="-3"/>
        </w:rPr>
        <w:t> </w:t>
      </w:r>
      <w:r>
        <w:rPr/>
        <w:t>components</w:t>
      </w:r>
      <w:r>
        <w:rPr>
          <w:spacing w:val="-3"/>
        </w:rPr>
        <w:t> </w:t>
      </w:r>
      <w:r>
        <w:rPr/>
        <w:t>and</w:t>
      </w:r>
      <w:r>
        <w:rPr>
          <w:spacing w:val="-3"/>
        </w:rPr>
        <w:t> </w:t>
      </w:r>
      <w:r>
        <w:rPr/>
        <w:t>certain</w:t>
      </w:r>
      <w:r>
        <w:rPr>
          <w:spacing w:val="-3"/>
        </w:rPr>
        <w:t> </w:t>
      </w:r>
      <w:r>
        <w:rPr/>
        <w:t>products.</w:t>
      </w:r>
      <w:r>
        <w:rPr>
          <w:spacing w:val="-6"/>
        </w:rPr>
        <w:t> </w:t>
      </w:r>
      <w:r>
        <w:rPr/>
        <w:t>These</w:t>
      </w:r>
      <w:r>
        <w:rPr>
          <w:spacing w:val="-3"/>
        </w:rPr>
        <w:t> </w:t>
      </w:r>
      <w:r>
        <w:rPr/>
        <w:t>commitments</w:t>
      </w:r>
      <w:r>
        <w:rPr>
          <w:spacing w:val="-3"/>
        </w:rPr>
        <w:t> </w:t>
      </w:r>
      <w:r>
        <w:rPr/>
        <w:t>are</w:t>
      </w:r>
      <w:r>
        <w:rPr>
          <w:spacing w:val="-3"/>
        </w:rPr>
        <w:t> </w:t>
      </w:r>
      <w:r>
        <w:rPr/>
        <w:t>based</w:t>
      </w:r>
      <w:r>
        <w:rPr>
          <w:spacing w:val="-3"/>
        </w:rPr>
        <w:t> </w:t>
      </w:r>
      <w:r>
        <w:rPr/>
        <w:t>on forecasted customer demand. If we reduce these commitments, we may incur additional costs.</w:t>
      </w:r>
    </w:p>
    <w:p>
      <w:pPr>
        <w:pStyle w:val="BodyText"/>
        <w:spacing w:before="51"/>
        <w:ind w:left="0"/>
      </w:pPr>
    </w:p>
    <w:p>
      <w:pPr>
        <w:spacing w:before="0"/>
        <w:ind w:left="206" w:right="0" w:firstLine="0"/>
        <w:jc w:val="left"/>
        <w:rPr>
          <w:i/>
          <w:sz w:val="18"/>
        </w:rPr>
      </w:pPr>
      <w:r>
        <w:rPr>
          <w:i/>
          <w:sz w:val="18"/>
        </w:rPr>
        <w:t>Income</w:t>
      </w:r>
      <w:r>
        <w:rPr>
          <w:i/>
          <w:spacing w:val="-1"/>
          <w:sz w:val="18"/>
        </w:rPr>
        <w:t> </w:t>
      </w:r>
      <w:r>
        <w:rPr>
          <w:i/>
          <w:spacing w:val="-2"/>
          <w:sz w:val="18"/>
        </w:rPr>
        <w:t>Taxes</w:t>
      </w:r>
    </w:p>
    <w:p>
      <w:pPr>
        <w:pStyle w:val="BodyText"/>
        <w:spacing w:line="249" w:lineRule="auto" w:before="103"/>
        <w:ind w:right="20" w:firstLine="445"/>
      </w:pPr>
      <w:r>
        <w:rPr/>
        <w:t>We are subject to income taxes in the U.S. (federal and state) and numerous foreign jurisdictions. Tax laws, regulations, administrative practices, principles, and interpretations in various jurisdictions may be subject to significant change, with or without notice, due to economic, political, and other conditions,</w:t>
      </w:r>
      <w:r>
        <w:rPr>
          <w:spacing w:val="-2"/>
        </w:rPr>
        <w:t> </w:t>
      </w:r>
      <w:r>
        <w:rPr/>
        <w:t>and</w:t>
      </w:r>
      <w:r>
        <w:rPr>
          <w:spacing w:val="-2"/>
        </w:rPr>
        <w:t> </w:t>
      </w:r>
      <w:r>
        <w:rPr/>
        <w:t>significant</w:t>
      </w:r>
      <w:r>
        <w:rPr>
          <w:spacing w:val="-2"/>
        </w:rPr>
        <w:t> </w:t>
      </w:r>
      <w:r>
        <w:rPr/>
        <w:t>judgment</w:t>
      </w:r>
      <w:r>
        <w:rPr>
          <w:spacing w:val="-2"/>
        </w:rPr>
        <w:t> </w:t>
      </w:r>
      <w:r>
        <w:rPr/>
        <w:t>is</w:t>
      </w:r>
      <w:r>
        <w:rPr>
          <w:spacing w:val="-2"/>
        </w:rPr>
        <w:t> </w:t>
      </w:r>
      <w:r>
        <w:rPr/>
        <w:t>required</w:t>
      </w:r>
      <w:r>
        <w:rPr>
          <w:spacing w:val="-2"/>
        </w:rPr>
        <w:t> </w:t>
      </w:r>
      <w:r>
        <w:rPr/>
        <w:t>in</w:t>
      </w:r>
      <w:r>
        <w:rPr>
          <w:spacing w:val="-2"/>
        </w:rPr>
        <w:t> </w:t>
      </w:r>
      <w:r>
        <w:rPr/>
        <w:t>evaluating</w:t>
      </w:r>
      <w:r>
        <w:rPr>
          <w:spacing w:val="-2"/>
        </w:rPr>
        <w:t> </w:t>
      </w:r>
      <w:r>
        <w:rPr/>
        <w:t>and</w:t>
      </w:r>
      <w:r>
        <w:rPr>
          <w:spacing w:val="-2"/>
        </w:rPr>
        <w:t> </w:t>
      </w:r>
      <w:r>
        <w:rPr/>
        <w:t>estimating</w:t>
      </w:r>
      <w:r>
        <w:rPr>
          <w:spacing w:val="-2"/>
        </w:rPr>
        <w:t> </w:t>
      </w:r>
      <w:r>
        <w:rPr/>
        <w:t>our</w:t>
      </w:r>
      <w:r>
        <w:rPr>
          <w:spacing w:val="-2"/>
        </w:rPr>
        <w:t> </w:t>
      </w:r>
      <w:r>
        <w:rPr/>
        <w:t>provision</w:t>
      </w:r>
      <w:r>
        <w:rPr>
          <w:spacing w:val="-2"/>
        </w:rPr>
        <w:t> </w:t>
      </w:r>
      <w:r>
        <w:rPr/>
        <w:t>and</w:t>
      </w:r>
      <w:r>
        <w:rPr>
          <w:spacing w:val="-2"/>
        </w:rPr>
        <w:t> </w:t>
      </w:r>
      <w:r>
        <w:rPr/>
        <w:t>accruals</w:t>
      </w:r>
      <w:r>
        <w:rPr>
          <w:spacing w:val="-2"/>
        </w:rPr>
        <w:t> </w:t>
      </w:r>
      <w:r>
        <w:rPr/>
        <w:t>for</w:t>
      </w:r>
      <w:r>
        <w:rPr>
          <w:spacing w:val="-2"/>
        </w:rPr>
        <w:t> </w:t>
      </w:r>
      <w:r>
        <w:rPr/>
        <w:t>these</w:t>
      </w:r>
      <w:r>
        <w:rPr>
          <w:spacing w:val="-2"/>
        </w:rPr>
        <w:t> </w:t>
      </w:r>
      <w:r>
        <w:rPr/>
        <w:t>taxes.</w:t>
      </w:r>
      <w:r>
        <w:rPr>
          <w:spacing w:val="-5"/>
        </w:rPr>
        <w:t> </w:t>
      </w:r>
      <w:r>
        <w:rPr/>
        <w:t>There</w:t>
      </w:r>
      <w:r>
        <w:rPr>
          <w:spacing w:val="-2"/>
        </w:rPr>
        <w:t> </w:t>
      </w:r>
      <w:r>
        <w:rPr/>
        <w:t>are</w:t>
      </w:r>
      <w:r>
        <w:rPr>
          <w:spacing w:val="-2"/>
        </w:rPr>
        <w:t> </w:t>
      </w:r>
      <w:r>
        <w:rPr/>
        <w:t>many</w:t>
      </w:r>
      <w:r>
        <w:rPr>
          <w:spacing w:val="-2"/>
        </w:rPr>
        <w:t> </w:t>
      </w:r>
      <w:r>
        <w:rPr/>
        <w:t>transactions</w:t>
      </w:r>
      <w:r>
        <w:rPr>
          <w:spacing w:val="-2"/>
        </w:rPr>
        <w:t> </w:t>
      </w:r>
      <w:r>
        <w:rPr/>
        <w:t>that</w:t>
      </w:r>
      <w:r>
        <w:rPr>
          <w:spacing w:val="-2"/>
        </w:rPr>
        <w:t> </w:t>
      </w:r>
      <w:r>
        <w:rPr/>
        <w:t>occur during the ordinary course of business for which the ultimate tax determination is uncertain. In addition, our actual and forecasted earnings are subject to change due to economic, political, and other conditions and significant judgment is required in determining our ability to use our deferred tax assets.</w:t>
      </w:r>
    </w:p>
    <w:p>
      <w:pPr>
        <w:pStyle w:val="BodyText"/>
        <w:spacing w:line="249" w:lineRule="auto" w:before="85"/>
        <w:ind w:firstLine="445"/>
      </w:pPr>
      <w:r>
        <w:rPr/>
        <w:t>Our effective tax rates could be affected by numerous factors, such as changes in our business operations, acquisitions, investments, entry into new businesses and geographies, intercompany transactions, the relative amount of our foreign earnings, including earnings being lower than anticipated in jurisdictions where we have lower statutory rates and higher than anticipated in jurisdictions where we have higher statutory rates, losses incurred in jurisdictions</w:t>
      </w:r>
      <w:r>
        <w:rPr>
          <w:spacing w:val="-2"/>
        </w:rPr>
        <w:t> </w:t>
      </w:r>
      <w:r>
        <w:rPr/>
        <w:t>for</w:t>
      </w:r>
      <w:r>
        <w:rPr>
          <w:spacing w:val="-2"/>
        </w:rPr>
        <w:t> </w:t>
      </w:r>
      <w:r>
        <w:rPr/>
        <w:t>which</w:t>
      </w:r>
      <w:r>
        <w:rPr>
          <w:spacing w:val="-2"/>
        </w:rPr>
        <w:t> </w:t>
      </w:r>
      <w:r>
        <w:rPr/>
        <w:t>we</w:t>
      </w:r>
      <w:r>
        <w:rPr>
          <w:spacing w:val="-2"/>
        </w:rPr>
        <w:t> </w:t>
      </w:r>
      <w:r>
        <w:rPr/>
        <w:t>are</w:t>
      </w:r>
      <w:r>
        <w:rPr>
          <w:spacing w:val="-2"/>
        </w:rPr>
        <w:t> </w:t>
      </w:r>
      <w:r>
        <w:rPr/>
        <w:t>not</w:t>
      </w:r>
      <w:r>
        <w:rPr>
          <w:spacing w:val="-2"/>
        </w:rPr>
        <w:t> </w:t>
      </w:r>
      <w:r>
        <w:rPr/>
        <w:t>able</w:t>
      </w:r>
      <w:r>
        <w:rPr>
          <w:spacing w:val="-2"/>
        </w:rPr>
        <w:t> </w:t>
      </w:r>
      <w:r>
        <w:rPr/>
        <w:t>to</w:t>
      </w:r>
      <w:r>
        <w:rPr>
          <w:spacing w:val="-2"/>
        </w:rPr>
        <w:t> </w:t>
      </w:r>
      <w:r>
        <w:rPr/>
        <w:t>realize</w:t>
      </w:r>
      <w:r>
        <w:rPr>
          <w:spacing w:val="-2"/>
        </w:rPr>
        <w:t> </w:t>
      </w:r>
      <w:r>
        <w:rPr/>
        <w:t>related</w:t>
      </w:r>
      <w:r>
        <w:rPr>
          <w:spacing w:val="-2"/>
        </w:rPr>
        <w:t> </w:t>
      </w:r>
      <w:r>
        <w:rPr/>
        <w:t>tax</w:t>
      </w:r>
      <w:r>
        <w:rPr>
          <w:spacing w:val="-2"/>
        </w:rPr>
        <w:t> </w:t>
      </w:r>
      <w:r>
        <w:rPr/>
        <w:t>benefits,</w:t>
      </w:r>
      <w:r>
        <w:rPr>
          <w:spacing w:val="-2"/>
        </w:rPr>
        <w:t> </w:t>
      </w:r>
      <w:r>
        <w:rPr/>
        <w:t>the</w:t>
      </w:r>
      <w:r>
        <w:rPr>
          <w:spacing w:val="-2"/>
        </w:rPr>
        <w:t> </w:t>
      </w:r>
      <w:r>
        <w:rPr/>
        <w:t>applicability</w:t>
      </w:r>
      <w:r>
        <w:rPr>
          <w:spacing w:val="-2"/>
        </w:rPr>
        <w:t> </w:t>
      </w:r>
      <w:r>
        <w:rPr/>
        <w:t>of</w:t>
      </w:r>
      <w:r>
        <w:rPr>
          <w:spacing w:val="-2"/>
        </w:rPr>
        <w:t> </w:t>
      </w:r>
      <w:r>
        <w:rPr/>
        <w:t>special</w:t>
      </w:r>
      <w:r>
        <w:rPr>
          <w:spacing w:val="-2"/>
        </w:rPr>
        <w:t> </w:t>
      </w:r>
      <w:r>
        <w:rPr/>
        <w:t>tax</w:t>
      </w:r>
      <w:r>
        <w:rPr>
          <w:spacing w:val="-2"/>
        </w:rPr>
        <w:t> </w:t>
      </w:r>
      <w:r>
        <w:rPr/>
        <w:t>regimes,</w:t>
      </w:r>
      <w:r>
        <w:rPr>
          <w:spacing w:val="-2"/>
        </w:rPr>
        <w:t> </w:t>
      </w:r>
      <w:r>
        <w:rPr/>
        <w:t>changes</w:t>
      </w:r>
      <w:r>
        <w:rPr>
          <w:spacing w:val="-2"/>
        </w:rPr>
        <w:t> </w:t>
      </w:r>
      <w:r>
        <w:rPr/>
        <w:t>in</w:t>
      </w:r>
      <w:r>
        <w:rPr>
          <w:spacing w:val="-2"/>
        </w:rPr>
        <w:t> </w:t>
      </w:r>
      <w:r>
        <w:rPr/>
        <w:t>foreign</w:t>
      </w:r>
      <w:r>
        <w:rPr>
          <w:spacing w:val="-2"/>
        </w:rPr>
        <w:t> </w:t>
      </w:r>
      <w:r>
        <w:rPr/>
        <w:t>exchange</w:t>
      </w:r>
      <w:r>
        <w:rPr>
          <w:spacing w:val="-2"/>
        </w:rPr>
        <w:t> </w:t>
      </w:r>
      <w:r>
        <w:rPr/>
        <w:t>rates,</w:t>
      </w:r>
      <w:r>
        <w:rPr>
          <w:spacing w:val="-2"/>
        </w:rPr>
        <w:t> </w:t>
      </w:r>
      <w:r>
        <w:rPr/>
        <w:t>changes</w:t>
      </w:r>
      <w:r>
        <w:rPr>
          <w:spacing w:val="-2"/>
        </w:rPr>
        <w:t> </w:t>
      </w:r>
      <w:r>
        <w:rPr/>
        <w:t>in</w:t>
      </w:r>
      <w:r>
        <w:rPr>
          <w:spacing w:val="-2"/>
        </w:rPr>
        <w:t> </w:t>
      </w:r>
      <w:r>
        <w:rPr/>
        <w:t>our stock price, changes to our forecasts of income and loss and the mix of jurisdictions to which they relate, changes in our deferred tax assets and liabilities and their valuation, changes in the laws, regulations, administrative practices, principles, and interpretations related to tax, including changes to the global tax framework, competition, and other laws and accounting rules in various jurisdictions. In addition, a number of countries have enacted or are actively pursuing changes to their tax laws applicable to corporate multinationals.</w:t>
      </w:r>
    </w:p>
    <w:p>
      <w:pPr>
        <w:pStyle w:val="BodyText"/>
        <w:spacing w:line="249" w:lineRule="auto" w:before="100"/>
        <w:ind w:right="20" w:firstLine="445"/>
      </w:pPr>
      <w:r>
        <w:rPr/>
        <w:t>We are also currently subject to tax controversies in various jurisdictions, and these jurisdictions may assess additional income tax liabilities against us. Developments</w:t>
      </w:r>
      <w:r>
        <w:rPr>
          <w:spacing w:val="-2"/>
        </w:rPr>
        <w:t> </w:t>
      </w:r>
      <w:r>
        <w:rPr/>
        <w:t>in</w:t>
      </w:r>
      <w:r>
        <w:rPr>
          <w:spacing w:val="-2"/>
        </w:rPr>
        <w:t> </w:t>
      </w:r>
      <w:r>
        <w:rPr/>
        <w:t>an</w:t>
      </w:r>
      <w:r>
        <w:rPr>
          <w:spacing w:val="-2"/>
        </w:rPr>
        <w:t> </w:t>
      </w:r>
      <w:r>
        <w:rPr/>
        <w:t>audit,</w:t>
      </w:r>
      <w:r>
        <w:rPr>
          <w:spacing w:val="-2"/>
        </w:rPr>
        <w:t> </w:t>
      </w:r>
      <w:r>
        <w:rPr/>
        <w:t>investigation,</w:t>
      </w:r>
      <w:r>
        <w:rPr>
          <w:spacing w:val="-2"/>
        </w:rPr>
        <w:t> </w:t>
      </w:r>
      <w:r>
        <w:rPr/>
        <w:t>or</w:t>
      </w:r>
      <w:r>
        <w:rPr>
          <w:spacing w:val="-2"/>
        </w:rPr>
        <w:t> </w:t>
      </w:r>
      <w:r>
        <w:rPr/>
        <w:t>other</w:t>
      </w:r>
      <w:r>
        <w:rPr>
          <w:spacing w:val="-2"/>
        </w:rPr>
        <w:t> </w:t>
      </w:r>
      <w:r>
        <w:rPr/>
        <w:t>tax</w:t>
      </w:r>
      <w:r>
        <w:rPr>
          <w:spacing w:val="-2"/>
        </w:rPr>
        <w:t> </w:t>
      </w:r>
      <w:r>
        <w:rPr/>
        <w:t>controversy</w:t>
      </w:r>
      <w:r>
        <w:rPr>
          <w:spacing w:val="-2"/>
        </w:rPr>
        <w:t> </w:t>
      </w:r>
      <w:r>
        <w:rPr/>
        <w:t>could</w:t>
      </w:r>
      <w:r>
        <w:rPr>
          <w:spacing w:val="-2"/>
        </w:rPr>
        <w:t> </w:t>
      </w:r>
      <w:r>
        <w:rPr/>
        <w:t>have</w:t>
      </w:r>
      <w:r>
        <w:rPr>
          <w:spacing w:val="-2"/>
        </w:rPr>
        <w:t> </w:t>
      </w:r>
      <w:r>
        <w:rPr/>
        <w:t>a</w:t>
      </w:r>
      <w:r>
        <w:rPr>
          <w:spacing w:val="-2"/>
        </w:rPr>
        <w:t> </w:t>
      </w:r>
      <w:r>
        <w:rPr/>
        <w:t>material</w:t>
      </w:r>
      <w:r>
        <w:rPr>
          <w:spacing w:val="-2"/>
        </w:rPr>
        <w:t> </w:t>
      </w:r>
      <w:r>
        <w:rPr/>
        <w:t>effect</w:t>
      </w:r>
      <w:r>
        <w:rPr>
          <w:spacing w:val="-2"/>
        </w:rPr>
        <w:t> </w:t>
      </w:r>
      <w:r>
        <w:rPr/>
        <w:t>on</w:t>
      </w:r>
      <w:r>
        <w:rPr>
          <w:spacing w:val="-2"/>
        </w:rPr>
        <w:t> </w:t>
      </w:r>
      <w:r>
        <w:rPr/>
        <w:t>our</w:t>
      </w:r>
      <w:r>
        <w:rPr>
          <w:spacing w:val="-2"/>
        </w:rPr>
        <w:t> </w:t>
      </w:r>
      <w:r>
        <w:rPr/>
        <w:t>operating</w:t>
      </w:r>
      <w:r>
        <w:rPr>
          <w:spacing w:val="-2"/>
        </w:rPr>
        <w:t> </w:t>
      </w:r>
      <w:r>
        <w:rPr/>
        <w:t>results</w:t>
      </w:r>
      <w:r>
        <w:rPr>
          <w:spacing w:val="-2"/>
        </w:rPr>
        <w:t> </w:t>
      </w:r>
      <w:r>
        <w:rPr/>
        <w:t>or</w:t>
      </w:r>
      <w:r>
        <w:rPr>
          <w:spacing w:val="-2"/>
        </w:rPr>
        <w:t> </w:t>
      </w:r>
      <w:r>
        <w:rPr/>
        <w:t>cash</w:t>
      </w:r>
      <w:r>
        <w:rPr>
          <w:spacing w:val="-2"/>
        </w:rPr>
        <w:t> </w:t>
      </w:r>
      <w:r>
        <w:rPr/>
        <w:t>flows</w:t>
      </w:r>
      <w:r>
        <w:rPr>
          <w:spacing w:val="-2"/>
        </w:rPr>
        <w:t> </w:t>
      </w:r>
      <w:r>
        <w:rPr/>
        <w:t>in</w:t>
      </w:r>
      <w:r>
        <w:rPr>
          <w:spacing w:val="-2"/>
        </w:rPr>
        <w:t> </w:t>
      </w:r>
      <w:r>
        <w:rPr/>
        <w:t>the</w:t>
      </w:r>
      <w:r>
        <w:rPr>
          <w:spacing w:val="-2"/>
        </w:rPr>
        <w:t> </w:t>
      </w:r>
      <w:r>
        <w:rPr/>
        <w:t>period</w:t>
      </w:r>
      <w:r>
        <w:rPr>
          <w:spacing w:val="-2"/>
        </w:rPr>
        <w:t> </w:t>
      </w:r>
      <w:r>
        <w:rPr/>
        <w:t>or</w:t>
      </w:r>
      <w:r>
        <w:rPr>
          <w:spacing w:val="-2"/>
        </w:rPr>
        <w:t> </w:t>
      </w:r>
      <w:r>
        <w:rPr/>
        <w:t>periods</w:t>
      </w:r>
      <w:r>
        <w:rPr>
          <w:spacing w:val="-2"/>
        </w:rPr>
        <w:t> </w:t>
      </w:r>
      <w:r>
        <w:rPr/>
        <w:t>for which that development occurs, as well as for prior and subsequent periods. We regularly assess the likelihood of an adverse outcome resulting from these proceedings to determine the adequacy of our tax accruals.</w:t>
      </w:r>
      <w:r>
        <w:rPr>
          <w:spacing w:val="-5"/>
        </w:rPr>
        <w:t> </w:t>
      </w:r>
      <w:r>
        <w:rPr/>
        <w:t>Although we believe our tax estimates are reasonable, the final outcome of audits, investigations, and any other tax controversies could be materially different from our historical income tax provisions and accruals.</w:t>
      </w:r>
    </w:p>
    <w:p>
      <w:pPr>
        <w:pStyle w:val="BodyText"/>
        <w:spacing w:before="7"/>
        <w:ind w:left="0"/>
        <w:rPr>
          <w:sz w:val="14"/>
        </w:rPr>
      </w:pPr>
    </w:p>
    <w:p>
      <w:pPr>
        <w:pStyle w:val="BodyText"/>
        <w:spacing w:after="0"/>
        <w:rPr>
          <w:sz w:val="14"/>
        </w:rPr>
        <w:sectPr>
          <w:pgSz w:w="12240" w:h="15840"/>
          <w:pgMar w:header="460" w:footer="0" w:top="1180" w:bottom="280" w:left="360" w:right="360"/>
        </w:sectPr>
      </w:pPr>
    </w:p>
    <w:p>
      <w:pPr>
        <w:pStyle w:val="Heading1"/>
        <w:spacing w:before="93"/>
      </w:pPr>
      <w:r>
        <w:rPr/>
        <w:t>Liquidity</w:t>
      </w:r>
      <w:r>
        <w:rPr>
          <w:spacing w:val="-1"/>
        </w:rPr>
        <w:t> </w:t>
      </w:r>
      <w:r>
        <w:rPr/>
        <w:t>and</w:t>
      </w:r>
      <w:r>
        <w:rPr>
          <w:spacing w:val="-1"/>
        </w:rPr>
        <w:t> </w:t>
      </w:r>
      <w:r>
        <w:rPr/>
        <w:t>Capital</w:t>
      </w:r>
      <w:r>
        <w:rPr>
          <w:spacing w:val="-1"/>
        </w:rPr>
        <w:t> </w:t>
      </w:r>
      <w:r>
        <w:rPr>
          <w:spacing w:val="-2"/>
        </w:rPr>
        <w:t>Resources</w:t>
      </w:r>
    </w:p>
    <w:p>
      <w:pPr>
        <w:pStyle w:val="BodyText"/>
        <w:spacing w:before="90"/>
        <w:ind w:left="449"/>
      </w:pPr>
      <w:r>
        <w:rPr/>
        <mc:AlternateContent>
          <mc:Choice Requires="wps">
            <w:drawing>
              <wp:anchor distT="0" distB="0" distL="0" distR="0" allowOverlap="1" layoutInCell="1" locked="0" behindDoc="0" simplePos="0" relativeHeight="15730176">
                <wp:simplePos x="0" y="0"/>
                <wp:positionH relativeFrom="page">
                  <wp:posOffset>5726417</wp:posOffset>
                </wp:positionH>
                <wp:positionV relativeFrom="paragraph">
                  <wp:posOffset>360950</wp:posOffset>
                </wp:positionV>
                <wp:extent cx="1800225" cy="1714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800225" cy="17145"/>
                        </a:xfrm>
                        <a:custGeom>
                          <a:avLst/>
                          <a:gdLst/>
                          <a:ahLst/>
                          <a:cxnLst/>
                          <a:rect l="l" t="t" r="r" b="b"/>
                          <a:pathLst>
                            <a:path w="1800225" h="17145">
                              <a:moveTo>
                                <a:pt x="1800225" y="0"/>
                              </a:moveTo>
                              <a:lnTo>
                                <a:pt x="1800225" y="0"/>
                              </a:lnTo>
                              <a:lnTo>
                                <a:pt x="0" y="0"/>
                              </a:lnTo>
                              <a:lnTo>
                                <a:pt x="0" y="17145"/>
                              </a:lnTo>
                              <a:lnTo>
                                <a:pt x="1800225" y="17145"/>
                              </a:lnTo>
                              <a:lnTo>
                                <a:pt x="1800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0.899017pt;margin-top:28.421316pt;width:141.750007pt;height:1.35pt;mso-position-horizontal-relative:page;mso-position-vertical-relative:paragraph;z-index:15730176" id="docshape10" filled="true" fillcolor="#000000" stroked="false">
                <v:fill type="solid"/>
                <w10:wrap type="none"/>
              </v:rect>
            </w:pict>
          </mc:Fallback>
        </mc:AlternateContent>
      </w:r>
      <w:r>
        <w:rPr/>
        <w:t>Cash</w:t>
      </w:r>
      <w:r>
        <w:rPr>
          <w:spacing w:val="-1"/>
        </w:rPr>
        <w:t> </w:t>
      </w:r>
      <w:r>
        <w:rPr/>
        <w:t>flow</w:t>
      </w:r>
      <w:r>
        <w:rPr>
          <w:spacing w:val="-1"/>
        </w:rPr>
        <w:t> </w:t>
      </w:r>
      <w:r>
        <w:rPr/>
        <w:t>information</w:t>
      </w:r>
      <w:r>
        <w:rPr>
          <w:spacing w:val="-1"/>
        </w:rPr>
        <w:t> </w:t>
      </w:r>
      <w:r>
        <w:rPr/>
        <w:t>is</w:t>
      </w:r>
      <w:r>
        <w:rPr>
          <w:spacing w:val="-1"/>
        </w:rPr>
        <w:t> </w:t>
      </w:r>
      <w:r>
        <w:rPr/>
        <w:t>as</w:t>
      </w:r>
      <w:r>
        <w:rPr>
          <w:spacing w:val="-1"/>
        </w:rPr>
        <w:t> </w:t>
      </w:r>
      <w:r>
        <w:rPr/>
        <w:t>follows</w:t>
      </w:r>
      <w:r>
        <w:rPr>
          <w:spacing w:val="-1"/>
        </w:rPr>
        <w:t> </w:t>
      </w:r>
      <w:r>
        <w:rPr/>
        <w:t>(in</w:t>
      </w:r>
      <w:r>
        <w:rPr>
          <w:spacing w:val="-1"/>
        </w:rPr>
        <w:t> </w:t>
      </w:r>
      <w:r>
        <w:rPr>
          <w:spacing w:val="-2"/>
        </w:rPr>
        <w:t>millions):</w:t>
      </w:r>
    </w:p>
    <w:p>
      <w:pPr>
        <w:tabs>
          <w:tab w:pos="1763" w:val="right" w:leader="none"/>
        </w:tabs>
        <w:spacing w:line="362" w:lineRule="auto" w:before="670"/>
        <w:ind w:left="4" w:right="566" w:firstLine="83"/>
        <w:jc w:val="left"/>
        <w:rPr>
          <w:b/>
          <w:sz w:val="14"/>
        </w:rPr>
      </w:pPr>
      <w:r>
        <w:rPr/>
        <w:br w:type="column"/>
      </w:r>
      <w:r>
        <w:rPr>
          <w:b/>
          <w:sz w:val="14"/>
        </w:rPr>
        <w:t>Year Ended December 31,</w:t>
      </w:r>
      <w:r>
        <w:rPr>
          <w:b/>
          <w:spacing w:val="40"/>
          <w:sz w:val="14"/>
        </w:rPr>
        <w:t> </w:t>
      </w:r>
      <w:r>
        <w:rPr>
          <w:b/>
          <w:spacing w:val="-4"/>
          <w:sz w:val="14"/>
        </w:rPr>
        <w:t>2023</w:t>
      </w:r>
      <w:r>
        <w:rPr>
          <w:sz w:val="14"/>
        </w:rPr>
        <w:tab/>
      </w:r>
      <w:r>
        <w:rPr>
          <w:b/>
          <w:spacing w:val="-4"/>
          <w:sz w:val="14"/>
        </w:rPr>
        <w:t>2024</w:t>
      </w:r>
    </w:p>
    <w:p>
      <w:pPr>
        <w:spacing w:after="0" w:line="362" w:lineRule="auto"/>
        <w:jc w:val="left"/>
        <w:rPr>
          <w:b/>
          <w:sz w:val="14"/>
        </w:rPr>
        <w:sectPr>
          <w:type w:val="continuous"/>
          <w:pgSz w:w="12240" w:h="15840"/>
          <w:pgMar w:header="460" w:footer="0" w:top="1180" w:bottom="280" w:left="360" w:right="360"/>
          <w:cols w:num="2" w:equalWidth="0">
            <w:col w:w="4014" w:space="5173"/>
            <w:col w:w="2333"/>
          </w:cols>
        </w:sectPr>
      </w:pP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5"/>
        <w:gridCol w:w="4788"/>
        <w:gridCol w:w="1426"/>
      </w:tblGrid>
      <w:tr>
        <w:trPr>
          <w:trHeight w:val="269" w:hRule="atLeast"/>
        </w:trPr>
        <w:tc>
          <w:tcPr>
            <w:tcW w:w="11489" w:type="dxa"/>
            <w:gridSpan w:val="3"/>
            <w:shd w:val="clear" w:color="auto" w:fill="CCEDFF"/>
          </w:tcPr>
          <w:p>
            <w:pPr>
              <w:pStyle w:val="TableParagraph"/>
              <w:spacing w:line="197" w:lineRule="exact"/>
              <w:ind w:left="17"/>
              <w:jc w:val="left"/>
              <w:rPr>
                <w:sz w:val="18"/>
              </w:rPr>
            </w:pP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pacing w:val="-4"/>
                <w:sz w:val="18"/>
              </w:rPr>
              <w:t>in):</w:t>
            </w:r>
          </w:p>
        </w:tc>
      </w:tr>
      <w:tr>
        <w:trPr>
          <w:trHeight w:val="269" w:hRule="atLeast"/>
        </w:trPr>
        <w:tc>
          <w:tcPr>
            <w:tcW w:w="5275" w:type="dxa"/>
          </w:tcPr>
          <w:p>
            <w:pPr>
              <w:pStyle w:val="TableParagraph"/>
              <w:spacing w:line="197" w:lineRule="exact"/>
              <w:ind w:left="463"/>
              <w:jc w:val="left"/>
              <w:rPr>
                <w:sz w:val="18"/>
              </w:rPr>
            </w:pPr>
            <w:r>
              <w:rPr>
                <w:sz w:val="18"/>
              </w:rPr>
              <w:t>Operating</w:t>
            </w:r>
            <w:r>
              <w:rPr>
                <w:spacing w:val="-1"/>
                <w:sz w:val="18"/>
              </w:rPr>
              <w:t> </w:t>
            </w:r>
            <w:r>
              <w:rPr>
                <w:spacing w:val="-2"/>
                <w:sz w:val="18"/>
              </w:rPr>
              <w:t>activities</w:t>
            </w:r>
          </w:p>
        </w:tc>
        <w:tc>
          <w:tcPr>
            <w:tcW w:w="4788" w:type="dxa"/>
          </w:tcPr>
          <w:p>
            <w:pPr>
              <w:pStyle w:val="TableParagraph"/>
              <w:tabs>
                <w:tab w:pos="770" w:val="left" w:leader="none"/>
              </w:tabs>
              <w:spacing w:line="197" w:lineRule="exact"/>
              <w:ind w:right="123"/>
              <w:rPr>
                <w:sz w:val="18"/>
              </w:rPr>
            </w:pPr>
            <w:r>
              <w:rPr>
                <w:spacing w:val="-10"/>
                <w:sz w:val="18"/>
              </w:rPr>
              <w:t>$</w:t>
            </w:r>
            <w:r>
              <w:rPr>
                <w:sz w:val="18"/>
              </w:rPr>
              <w:tab/>
            </w:r>
            <w:r>
              <w:rPr>
                <w:spacing w:val="-2"/>
                <w:sz w:val="18"/>
              </w:rPr>
              <w:t>84,946</w:t>
            </w:r>
          </w:p>
        </w:tc>
        <w:tc>
          <w:tcPr>
            <w:tcW w:w="1426" w:type="dxa"/>
          </w:tcPr>
          <w:p>
            <w:pPr>
              <w:pStyle w:val="TableParagraph"/>
              <w:tabs>
                <w:tab w:pos="688" w:val="left" w:leader="none"/>
              </w:tabs>
              <w:spacing w:line="197" w:lineRule="exact"/>
              <w:ind w:right="78"/>
              <w:rPr>
                <w:sz w:val="18"/>
              </w:rPr>
            </w:pPr>
            <w:r>
              <w:rPr>
                <w:spacing w:val="-10"/>
                <w:sz w:val="18"/>
              </w:rPr>
              <w:t>$</w:t>
            </w:r>
            <w:r>
              <w:rPr>
                <w:sz w:val="18"/>
              </w:rPr>
              <w:tab/>
            </w:r>
            <w:r>
              <w:rPr>
                <w:spacing w:val="-2"/>
                <w:sz w:val="18"/>
              </w:rPr>
              <w:t>115,877</w:t>
            </w:r>
          </w:p>
        </w:tc>
      </w:tr>
      <w:tr>
        <w:trPr>
          <w:trHeight w:val="269" w:hRule="atLeast"/>
        </w:trPr>
        <w:tc>
          <w:tcPr>
            <w:tcW w:w="5275" w:type="dxa"/>
            <w:shd w:val="clear" w:color="auto" w:fill="CCEDFF"/>
          </w:tcPr>
          <w:p>
            <w:pPr>
              <w:pStyle w:val="TableParagraph"/>
              <w:spacing w:line="197" w:lineRule="exact"/>
              <w:ind w:left="463"/>
              <w:jc w:val="left"/>
              <w:rPr>
                <w:sz w:val="18"/>
              </w:rPr>
            </w:pPr>
            <w:r>
              <w:rPr>
                <w:sz w:val="18"/>
              </w:rPr>
              <w:t>Investing</w:t>
            </w:r>
            <w:r>
              <w:rPr>
                <w:spacing w:val="-1"/>
                <w:sz w:val="18"/>
              </w:rPr>
              <w:t> </w:t>
            </w:r>
            <w:r>
              <w:rPr>
                <w:spacing w:val="-2"/>
                <w:sz w:val="18"/>
              </w:rPr>
              <w:t>activities</w:t>
            </w:r>
          </w:p>
        </w:tc>
        <w:tc>
          <w:tcPr>
            <w:tcW w:w="4788" w:type="dxa"/>
            <w:shd w:val="clear" w:color="auto" w:fill="CCEDFF"/>
          </w:tcPr>
          <w:p>
            <w:pPr>
              <w:pStyle w:val="TableParagraph"/>
              <w:spacing w:line="197" w:lineRule="exact"/>
              <w:ind w:right="78"/>
              <w:rPr>
                <w:sz w:val="18"/>
              </w:rPr>
            </w:pPr>
            <w:r>
              <w:rPr>
                <w:spacing w:val="-2"/>
                <w:sz w:val="18"/>
              </w:rPr>
              <w:t>(49,833)</w:t>
            </w:r>
          </w:p>
        </w:tc>
        <w:tc>
          <w:tcPr>
            <w:tcW w:w="1426" w:type="dxa"/>
            <w:shd w:val="clear" w:color="auto" w:fill="CCEDFF"/>
          </w:tcPr>
          <w:p>
            <w:pPr>
              <w:pStyle w:val="TableParagraph"/>
              <w:spacing w:line="197" w:lineRule="exact"/>
              <w:ind w:right="33"/>
              <w:rPr>
                <w:sz w:val="18"/>
              </w:rPr>
            </w:pPr>
            <w:r>
              <w:rPr>
                <w:spacing w:val="-2"/>
                <w:sz w:val="18"/>
              </w:rPr>
              <w:t>(94,342)</w:t>
            </w:r>
          </w:p>
        </w:tc>
      </w:tr>
      <w:tr>
        <w:trPr>
          <w:trHeight w:val="227" w:hRule="atLeast"/>
        </w:trPr>
        <w:tc>
          <w:tcPr>
            <w:tcW w:w="5275" w:type="dxa"/>
          </w:tcPr>
          <w:p>
            <w:pPr>
              <w:pStyle w:val="TableParagraph"/>
              <w:spacing w:line="197" w:lineRule="exact"/>
              <w:ind w:left="463"/>
              <w:jc w:val="left"/>
              <w:rPr>
                <w:sz w:val="18"/>
              </w:rPr>
            </w:pPr>
            <w:r>
              <w:rPr>
                <w:sz w:val="18"/>
              </w:rPr>
              <w:t>Financing</w:t>
            </w:r>
            <w:r>
              <w:rPr>
                <w:spacing w:val="-1"/>
                <w:sz w:val="18"/>
              </w:rPr>
              <w:t> </w:t>
            </w:r>
            <w:r>
              <w:rPr>
                <w:spacing w:val="-2"/>
                <w:sz w:val="18"/>
              </w:rPr>
              <w:t>activities</w:t>
            </w:r>
          </w:p>
        </w:tc>
        <w:tc>
          <w:tcPr>
            <w:tcW w:w="4788" w:type="dxa"/>
          </w:tcPr>
          <w:p>
            <w:pPr>
              <w:pStyle w:val="TableParagraph"/>
              <w:spacing w:line="197" w:lineRule="exact"/>
              <w:ind w:right="78"/>
              <w:rPr>
                <w:sz w:val="18"/>
              </w:rPr>
            </w:pPr>
            <w:r>
              <w:rPr>
                <w:spacing w:val="-2"/>
                <w:sz w:val="18"/>
              </w:rPr>
              <w:t>(15,879)</w:t>
            </w:r>
          </w:p>
        </w:tc>
        <w:tc>
          <w:tcPr>
            <w:tcW w:w="1426" w:type="dxa"/>
          </w:tcPr>
          <w:p>
            <w:pPr>
              <w:pStyle w:val="TableParagraph"/>
              <w:spacing w:line="197" w:lineRule="exact"/>
              <w:ind w:right="33"/>
              <w:rPr>
                <w:sz w:val="18"/>
              </w:rPr>
            </w:pPr>
            <w:r>
              <w:rPr>
                <w:spacing w:val="-2"/>
                <w:sz w:val="18"/>
              </w:rPr>
              <w:t>(11,812)</w:t>
            </w:r>
          </w:p>
        </w:tc>
      </w:tr>
    </w:tbl>
    <w:p>
      <w:pPr>
        <w:pStyle w:val="BodyText"/>
        <w:spacing w:line="249" w:lineRule="auto" w:before="184"/>
        <w:ind w:right="53" w:firstLine="445"/>
        <w:jc w:val="both"/>
      </w:pPr>
      <w:r>
        <w:rPr/>
        <w:t>Our principal sources of liquidity are cash flows generated from operations and our cash, cash equivalents, and marketable securities balances, which, at fair</w:t>
      </w:r>
      <w:r>
        <w:rPr>
          <w:spacing w:val="-2"/>
        </w:rPr>
        <w:t> </w:t>
      </w:r>
      <w:r>
        <w:rPr/>
        <w:t>value,</w:t>
      </w:r>
      <w:r>
        <w:rPr>
          <w:spacing w:val="-2"/>
        </w:rPr>
        <w:t> </w:t>
      </w:r>
      <w:r>
        <w:rPr/>
        <w:t>were</w:t>
      </w:r>
      <w:r>
        <w:rPr>
          <w:spacing w:val="-2"/>
        </w:rPr>
        <w:t> </w:t>
      </w:r>
      <w:r>
        <w:rPr/>
        <w:t>$86.8</w:t>
      </w:r>
      <w:r>
        <w:rPr>
          <w:spacing w:val="-2"/>
        </w:rPr>
        <w:t> </w:t>
      </w:r>
      <w:r>
        <w:rPr/>
        <w:t>billion</w:t>
      </w:r>
      <w:r>
        <w:rPr>
          <w:spacing w:val="-2"/>
        </w:rPr>
        <w:t> </w:t>
      </w:r>
      <w:r>
        <w:rPr/>
        <w:t>and</w:t>
      </w:r>
      <w:r>
        <w:rPr>
          <w:spacing w:val="-2"/>
        </w:rPr>
        <w:t> </w:t>
      </w:r>
      <w:r>
        <w:rPr/>
        <w:t>$101.2</w:t>
      </w:r>
      <w:r>
        <w:rPr>
          <w:spacing w:val="-2"/>
        </w:rPr>
        <w:t> </w:t>
      </w:r>
      <w:r>
        <w:rPr/>
        <w:t>billion</w:t>
      </w:r>
      <w:r>
        <w:rPr>
          <w:spacing w:val="-2"/>
        </w:rPr>
        <w:t> </w:t>
      </w:r>
      <w:r>
        <w:rPr/>
        <w:t>as</w:t>
      </w:r>
      <w:r>
        <w:rPr>
          <w:spacing w:val="-2"/>
        </w:rPr>
        <w:t> </w:t>
      </w:r>
      <w:r>
        <w:rPr/>
        <w:t>of</w:t>
      </w:r>
      <w:r>
        <w:rPr>
          <w:spacing w:val="-2"/>
        </w:rPr>
        <w:t> </w:t>
      </w:r>
      <w:r>
        <w:rPr/>
        <w:t>December</w:t>
      </w:r>
      <w:r>
        <w:rPr>
          <w:spacing w:val="-2"/>
        </w:rPr>
        <w:t> </w:t>
      </w:r>
      <w:r>
        <w:rPr/>
        <w:t>31,</w:t>
      </w:r>
      <w:r>
        <w:rPr>
          <w:spacing w:val="-2"/>
        </w:rPr>
        <w:t> </w:t>
      </w:r>
      <w:r>
        <w:rPr/>
        <w:t>2023</w:t>
      </w:r>
      <w:r>
        <w:rPr>
          <w:spacing w:val="-2"/>
        </w:rPr>
        <w:t> </w:t>
      </w:r>
      <w:r>
        <w:rPr/>
        <w:t>and</w:t>
      </w:r>
      <w:r>
        <w:rPr>
          <w:spacing w:val="-2"/>
        </w:rPr>
        <w:t> </w:t>
      </w:r>
      <w:r>
        <w:rPr/>
        <w:t>2024.</w:t>
      </w:r>
      <w:r>
        <w:rPr>
          <w:spacing w:val="-11"/>
        </w:rPr>
        <w:t> </w:t>
      </w:r>
      <w:r>
        <w:rPr/>
        <w:t>Amounts</w:t>
      </w:r>
      <w:r>
        <w:rPr>
          <w:spacing w:val="-2"/>
        </w:rPr>
        <w:t> </w:t>
      </w:r>
      <w:r>
        <w:rPr/>
        <w:t>held</w:t>
      </w:r>
      <w:r>
        <w:rPr>
          <w:spacing w:val="-2"/>
        </w:rPr>
        <w:t> </w:t>
      </w:r>
      <w:r>
        <w:rPr/>
        <w:t>in</w:t>
      </w:r>
      <w:r>
        <w:rPr>
          <w:spacing w:val="-2"/>
        </w:rPr>
        <w:t> </w:t>
      </w:r>
      <w:r>
        <w:rPr/>
        <w:t>foreign</w:t>
      </w:r>
      <w:r>
        <w:rPr>
          <w:spacing w:val="-2"/>
        </w:rPr>
        <w:t> </w:t>
      </w:r>
      <w:r>
        <w:rPr/>
        <w:t>currencies</w:t>
      </w:r>
      <w:r>
        <w:rPr>
          <w:spacing w:val="-2"/>
        </w:rPr>
        <w:t> </w:t>
      </w:r>
      <w:r>
        <w:rPr/>
        <w:t>were</w:t>
      </w:r>
      <w:r>
        <w:rPr>
          <w:spacing w:val="-2"/>
        </w:rPr>
        <w:t> </w:t>
      </w:r>
      <w:r>
        <w:rPr/>
        <w:t>$23.5</w:t>
      </w:r>
      <w:r>
        <w:rPr>
          <w:spacing w:val="-2"/>
        </w:rPr>
        <w:t> </w:t>
      </w:r>
      <w:r>
        <w:rPr/>
        <w:t>billion</w:t>
      </w:r>
      <w:r>
        <w:rPr>
          <w:spacing w:val="-2"/>
        </w:rPr>
        <w:t> </w:t>
      </w:r>
      <w:r>
        <w:rPr/>
        <w:t>and</w:t>
      </w:r>
      <w:r>
        <w:rPr>
          <w:spacing w:val="-2"/>
        </w:rPr>
        <w:t> </w:t>
      </w:r>
      <w:r>
        <w:rPr/>
        <w:t>$25.5</w:t>
      </w:r>
      <w:r>
        <w:rPr>
          <w:spacing w:val="-2"/>
        </w:rPr>
        <w:t> </w:t>
      </w:r>
      <w:r>
        <w:rPr/>
        <w:t>billion</w:t>
      </w:r>
      <w:r>
        <w:rPr>
          <w:spacing w:val="-2"/>
        </w:rPr>
        <w:t> </w:t>
      </w:r>
      <w:r>
        <w:rPr/>
        <w:t>as of December 31, 2023 and 2024. Our foreign currency balances include British Pounds, Canadian Dollars, Euros, Indian Rupees, and Japanese</w:t>
      </w:r>
      <w:r>
        <w:rPr>
          <w:spacing w:val="-1"/>
        </w:rPr>
        <w:t> </w:t>
      </w:r>
      <w:r>
        <w:rPr/>
        <w:t>Yen.</w:t>
      </w:r>
    </w:p>
    <w:p>
      <w:pPr>
        <w:pStyle w:val="BodyText"/>
        <w:spacing w:line="249" w:lineRule="auto" w:before="97"/>
        <w:ind w:right="122" w:firstLine="445"/>
      </w:pPr>
      <w:r>
        <w:rPr/>
        <w:t>Cash provided by (used in) operating activities was $84.9 billion and $115.9 billion in 2023 and 2024. Our operating cash flows result primarily from cash</w:t>
      </w:r>
      <w:r>
        <w:rPr>
          <w:spacing w:val="-4"/>
        </w:rPr>
        <w:t> </w:t>
      </w:r>
      <w:r>
        <w:rPr/>
        <w:t>received</w:t>
      </w:r>
      <w:r>
        <w:rPr>
          <w:spacing w:val="-4"/>
        </w:rPr>
        <w:t> </w:t>
      </w:r>
      <w:r>
        <w:rPr/>
        <w:t>from</w:t>
      </w:r>
      <w:r>
        <w:rPr>
          <w:spacing w:val="-4"/>
        </w:rPr>
        <w:t> </w:t>
      </w:r>
      <w:r>
        <w:rPr/>
        <w:t>our</w:t>
      </w:r>
      <w:r>
        <w:rPr>
          <w:spacing w:val="-4"/>
        </w:rPr>
        <w:t> </w:t>
      </w:r>
      <w:r>
        <w:rPr/>
        <w:t>consumer,</w:t>
      </w:r>
      <w:r>
        <w:rPr>
          <w:spacing w:val="-4"/>
        </w:rPr>
        <w:t> </w:t>
      </w:r>
      <w:r>
        <w:rPr/>
        <w:t>seller,</w:t>
      </w:r>
      <w:r>
        <w:rPr>
          <w:spacing w:val="-4"/>
        </w:rPr>
        <w:t> </w:t>
      </w:r>
      <w:r>
        <w:rPr/>
        <w:t>developer,</w:t>
      </w:r>
      <w:r>
        <w:rPr>
          <w:spacing w:val="-4"/>
        </w:rPr>
        <w:t> </w:t>
      </w:r>
      <w:r>
        <w:rPr/>
        <w:t>enterprise,</w:t>
      </w:r>
      <w:r>
        <w:rPr>
          <w:spacing w:val="-4"/>
        </w:rPr>
        <w:t> </w:t>
      </w:r>
      <w:r>
        <w:rPr/>
        <w:t>and</w:t>
      </w:r>
      <w:r>
        <w:rPr>
          <w:spacing w:val="-4"/>
        </w:rPr>
        <w:t> </w:t>
      </w:r>
      <w:r>
        <w:rPr/>
        <w:t>content</w:t>
      </w:r>
      <w:r>
        <w:rPr>
          <w:spacing w:val="-4"/>
        </w:rPr>
        <w:t> </w:t>
      </w:r>
      <w:r>
        <w:rPr/>
        <w:t>creator</w:t>
      </w:r>
      <w:r>
        <w:rPr>
          <w:spacing w:val="-4"/>
        </w:rPr>
        <w:t> </w:t>
      </w:r>
      <w:r>
        <w:rPr/>
        <w:t>customers,</w:t>
      </w:r>
      <w:r>
        <w:rPr>
          <w:spacing w:val="-4"/>
        </w:rPr>
        <w:t> </w:t>
      </w:r>
      <w:r>
        <w:rPr/>
        <w:t>and</w:t>
      </w:r>
      <w:r>
        <w:rPr>
          <w:spacing w:val="-4"/>
        </w:rPr>
        <w:t> </w:t>
      </w:r>
      <w:r>
        <w:rPr/>
        <w:t>advertisers,</w:t>
      </w:r>
      <w:r>
        <w:rPr>
          <w:spacing w:val="-4"/>
        </w:rPr>
        <w:t> </w:t>
      </w:r>
      <w:r>
        <w:rPr/>
        <w:t>offset</w:t>
      </w:r>
      <w:r>
        <w:rPr>
          <w:spacing w:val="-4"/>
        </w:rPr>
        <w:t> </w:t>
      </w:r>
      <w:r>
        <w:rPr/>
        <w:t>by</w:t>
      </w:r>
      <w:r>
        <w:rPr>
          <w:spacing w:val="-4"/>
        </w:rPr>
        <w:t> </w:t>
      </w:r>
      <w:r>
        <w:rPr/>
        <w:t>cash</w:t>
      </w:r>
      <w:r>
        <w:rPr>
          <w:spacing w:val="-4"/>
        </w:rPr>
        <w:t> </w:t>
      </w:r>
      <w:r>
        <w:rPr/>
        <w:t>payments</w:t>
      </w:r>
      <w:r>
        <w:rPr>
          <w:spacing w:val="-4"/>
        </w:rPr>
        <w:t> </w:t>
      </w:r>
      <w:r>
        <w:rPr/>
        <w:t>we</w:t>
      </w:r>
      <w:r>
        <w:rPr>
          <w:spacing w:val="-4"/>
        </w:rPr>
        <w:t> </w:t>
      </w:r>
      <w:r>
        <w:rPr/>
        <w:t>make</w:t>
      </w:r>
      <w:r>
        <w:rPr>
          <w:spacing w:val="-4"/>
        </w:rPr>
        <w:t> </w:t>
      </w:r>
      <w:r>
        <w:rPr/>
        <w:t>for</w:t>
      </w:r>
      <w:r>
        <w:rPr>
          <w:spacing w:val="-4"/>
        </w:rPr>
        <w:t> </w:t>
      </w:r>
      <w:r>
        <w:rPr/>
        <w:t>products and services, employee compensation, payment processing and related transaction costs, operating leases, and interest payments. Cash received from our customers and other activities generally corresponds to our net sales.</w:t>
      </w:r>
      <w:r>
        <w:rPr>
          <w:spacing w:val="-2"/>
        </w:rPr>
        <w:t> </w:t>
      </w:r>
      <w:r>
        <w:rPr/>
        <w:t>The increase in operating cash flow in 2024, compared to the prior year, was due to an increase in net income (loss), excluding non-cash expenses, and changes in working capital.</w:t>
      </w:r>
      <w:r>
        <w:rPr>
          <w:spacing w:val="-2"/>
        </w:rPr>
        <w:t> </w:t>
      </w:r>
      <w:r>
        <w:rPr/>
        <w:t>Working capital at any specific point in time is subject to many variables, including variability in demand, inventory management and category expansion, the timing of cash receipts and payments, customer and vendor payment terms, and fluctuations in foreign exchange rates.</w:t>
      </w:r>
    </w:p>
    <w:p>
      <w:pPr>
        <w:pStyle w:val="BodyText"/>
        <w:spacing w:line="249" w:lineRule="auto" w:before="99"/>
        <w:ind w:firstLine="445"/>
      </w:pPr>
      <w:r>
        <w:rPr/>
        <w:t>Cash</w:t>
      </w:r>
      <w:r>
        <w:rPr>
          <w:spacing w:val="-3"/>
        </w:rPr>
        <w:t> </w:t>
      </w:r>
      <w:r>
        <w:rPr/>
        <w:t>provided</w:t>
      </w:r>
      <w:r>
        <w:rPr>
          <w:spacing w:val="-3"/>
        </w:rPr>
        <w:t> </w:t>
      </w:r>
      <w:r>
        <w:rPr/>
        <w:t>by</w:t>
      </w:r>
      <w:r>
        <w:rPr>
          <w:spacing w:val="-3"/>
        </w:rPr>
        <w:t> </w:t>
      </w:r>
      <w:r>
        <w:rPr/>
        <w:t>(used</w:t>
      </w:r>
      <w:r>
        <w:rPr>
          <w:spacing w:val="-3"/>
        </w:rPr>
        <w:t> </w:t>
      </w:r>
      <w:r>
        <w:rPr/>
        <w:t>in)</w:t>
      </w:r>
      <w:r>
        <w:rPr>
          <w:spacing w:val="-3"/>
        </w:rPr>
        <w:t> </w:t>
      </w:r>
      <w:r>
        <w:rPr/>
        <w:t>investing</w:t>
      </w:r>
      <w:r>
        <w:rPr>
          <w:spacing w:val="-3"/>
        </w:rPr>
        <w:t> </w:t>
      </w:r>
      <w:r>
        <w:rPr/>
        <w:t>activities</w:t>
      </w:r>
      <w:r>
        <w:rPr>
          <w:spacing w:val="-3"/>
        </w:rPr>
        <w:t> </w:t>
      </w:r>
      <w:r>
        <w:rPr/>
        <w:t>corresponds</w:t>
      </w:r>
      <w:r>
        <w:rPr>
          <w:spacing w:val="-3"/>
        </w:rPr>
        <w:t> </w:t>
      </w:r>
      <w:r>
        <w:rPr/>
        <w:t>with</w:t>
      </w:r>
      <w:r>
        <w:rPr>
          <w:spacing w:val="-3"/>
        </w:rPr>
        <w:t> </w:t>
      </w:r>
      <w:r>
        <w:rPr/>
        <w:t>cash</w:t>
      </w:r>
      <w:r>
        <w:rPr>
          <w:spacing w:val="-3"/>
        </w:rPr>
        <w:t> </w:t>
      </w:r>
      <w:r>
        <w:rPr/>
        <w:t>capital</w:t>
      </w:r>
      <w:r>
        <w:rPr>
          <w:spacing w:val="-3"/>
        </w:rPr>
        <w:t> </w:t>
      </w:r>
      <w:r>
        <w:rPr/>
        <w:t>expenditures,</w:t>
      </w:r>
      <w:r>
        <w:rPr>
          <w:spacing w:val="-3"/>
        </w:rPr>
        <w:t> </w:t>
      </w:r>
      <w:r>
        <w:rPr/>
        <w:t>including</w:t>
      </w:r>
      <w:r>
        <w:rPr>
          <w:spacing w:val="-3"/>
        </w:rPr>
        <w:t> </w:t>
      </w:r>
      <w:r>
        <w:rPr/>
        <w:t>leasehold</w:t>
      </w:r>
      <w:r>
        <w:rPr>
          <w:spacing w:val="-3"/>
        </w:rPr>
        <w:t> </w:t>
      </w:r>
      <w:r>
        <w:rPr/>
        <w:t>improvements,</w:t>
      </w:r>
      <w:r>
        <w:rPr>
          <w:spacing w:val="-3"/>
        </w:rPr>
        <w:t> </w:t>
      </w:r>
      <w:r>
        <w:rPr/>
        <w:t>incentives</w:t>
      </w:r>
      <w:r>
        <w:rPr>
          <w:spacing w:val="-3"/>
        </w:rPr>
        <w:t> </w:t>
      </w:r>
      <w:r>
        <w:rPr/>
        <w:t>received</w:t>
      </w:r>
      <w:r>
        <w:rPr>
          <w:spacing w:val="-3"/>
        </w:rPr>
        <w:t> </w:t>
      </w:r>
      <w:r>
        <w:rPr/>
        <w:t>from property and equipment vendors, proceeds from asset sales, cash outlays for</w:t>
      </w:r>
    </w:p>
    <w:p>
      <w:pPr>
        <w:pStyle w:val="BodyText"/>
        <w:ind w:left="0"/>
      </w:pPr>
    </w:p>
    <w:p>
      <w:pPr>
        <w:pStyle w:val="BodyText"/>
        <w:spacing w:before="141"/>
        <w:ind w:left="0"/>
      </w:pPr>
    </w:p>
    <w:p>
      <w:pPr>
        <w:pStyle w:val="BodyText"/>
        <w:jc w:val="center"/>
      </w:pPr>
      <w:r>
        <w:rPr/>
        <mc:AlternateContent>
          <mc:Choice Requires="wps">
            <w:drawing>
              <wp:anchor distT="0" distB="0" distL="0" distR="0" allowOverlap="1" layoutInCell="1" locked="0" behindDoc="0" simplePos="0" relativeHeight="15729664">
                <wp:simplePos x="0" y="0"/>
                <wp:positionH relativeFrom="page">
                  <wp:posOffset>231457</wp:posOffset>
                </wp:positionH>
                <wp:positionV relativeFrom="paragraph">
                  <wp:posOffset>192796</wp:posOffset>
                </wp:positionV>
                <wp:extent cx="7312659" cy="1714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312659" cy="17145"/>
                          <a:chExt cx="7312659" cy="17145"/>
                        </a:xfrm>
                      </wpg:grpSpPr>
                      <wps:wsp>
                        <wps:cNvPr id="12" name="Graphic 1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 name="Graphic 13"/>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 name="Graphic 1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80793pt;width:575.8pt;height:1.35pt;mso-position-horizontal-relative:page;mso-position-vertical-relative:paragraph;z-index:15729664" id="docshapegroup11" coordorigin="364,304" coordsize="11516,27">
                <v:rect style="position:absolute;left:364;top:303;width:11516;height:14" id="docshape12" filled="true" fillcolor="#999999" stroked="false">
                  <v:fill type="solid"/>
                </v:rect>
                <v:shape style="position:absolute;left:364;top:303;width:11516;height:27" id="docshape13" coordorigin="364,304" coordsize="11516,27" path="m11880,304l11866,317,364,317,364,331,11866,331,11880,331,11880,317,11880,304xe" filled="true" fillcolor="#ededed" stroked="false">
                  <v:path arrowok="t"/>
                  <v:fill type="solid"/>
                </v:shape>
                <v:shape style="position:absolute;left:364;top:303;width:14;height:27" id="docshape14" coordorigin="364,304" coordsize="14,27" path="m364,331l364,304,378,304,378,317,364,331xe" filled="true" fillcolor="#999999" stroked="false">
                  <v:path arrowok="t"/>
                  <v:fill type="solid"/>
                </v:shape>
                <w10:wrap type="none"/>
              </v:group>
            </w:pict>
          </mc:Fallback>
        </mc:AlternateContent>
      </w:r>
      <w:r>
        <w:rPr>
          <w:spacing w:val="-5"/>
        </w:rPr>
        <w:t>22</w:t>
      </w:r>
    </w:p>
    <w:p>
      <w:pPr>
        <w:pStyle w:val="BodyText"/>
        <w:spacing w:after="0"/>
        <w:jc w:val="center"/>
        <w:sectPr>
          <w:type w:val="continuous"/>
          <w:pgSz w:w="12240" w:h="15840"/>
          <w:pgMar w:header="460" w:footer="0" w:top="1180" w:bottom="280" w:left="360" w:right="360"/>
        </w:sectPr>
      </w:pPr>
    </w:p>
    <w:p>
      <w:pPr>
        <w:pStyle w:val="BodyText"/>
        <w:spacing w:line="249" w:lineRule="auto" w:before="123"/>
        <w:ind w:right="30"/>
      </w:pPr>
      <w:r>
        <w:rPr/>
        <w:t>acquisitions, investments in other companies and intellectual property rights, and purchases, sales, and maturities of marketable securities. Cash provided by (used in) investing activities was $(49.8) billion and $(94.3) billion in 2023 and 2024, with the variability caused primarily by purchases, sales, and maturities of marketable securities and cash capital expenditures. Cash capital expenditures were $48.1 billion, and $77.7 billion in 2023 and 2024, which primarily reflect</w:t>
      </w:r>
      <w:r>
        <w:rPr>
          <w:spacing w:val="-2"/>
        </w:rPr>
        <w:t> </w:t>
      </w:r>
      <w:r>
        <w:rPr/>
        <w:t>investments</w:t>
      </w:r>
      <w:r>
        <w:rPr>
          <w:spacing w:val="-2"/>
        </w:rPr>
        <w:t> </w:t>
      </w:r>
      <w:r>
        <w:rPr/>
        <w:t>in</w:t>
      </w:r>
      <w:r>
        <w:rPr>
          <w:spacing w:val="-2"/>
        </w:rPr>
        <w:t> </w:t>
      </w:r>
      <w:r>
        <w:rPr/>
        <w:t>technology</w:t>
      </w:r>
      <w:r>
        <w:rPr>
          <w:spacing w:val="-2"/>
        </w:rPr>
        <w:t> </w:t>
      </w:r>
      <w:r>
        <w:rPr/>
        <w:t>infrastructure</w:t>
      </w:r>
      <w:r>
        <w:rPr>
          <w:spacing w:val="-2"/>
        </w:rPr>
        <w:t> </w:t>
      </w:r>
      <w:r>
        <w:rPr/>
        <w:t>(the</w:t>
      </w:r>
      <w:r>
        <w:rPr>
          <w:spacing w:val="-2"/>
        </w:rPr>
        <w:t> </w:t>
      </w:r>
      <w:r>
        <w:rPr/>
        <w:t>majority</w:t>
      </w:r>
      <w:r>
        <w:rPr>
          <w:spacing w:val="-2"/>
        </w:rPr>
        <w:t> </w:t>
      </w:r>
      <w:r>
        <w:rPr/>
        <w:t>of</w:t>
      </w:r>
      <w:r>
        <w:rPr>
          <w:spacing w:val="-2"/>
        </w:rPr>
        <w:t> </w:t>
      </w:r>
      <w:r>
        <w:rPr/>
        <w:t>which</w:t>
      </w:r>
      <w:r>
        <w:rPr>
          <w:spacing w:val="-2"/>
        </w:rPr>
        <w:t> </w:t>
      </w:r>
      <w:r>
        <w:rPr/>
        <w:t>is</w:t>
      </w:r>
      <w:r>
        <w:rPr>
          <w:spacing w:val="-2"/>
        </w:rPr>
        <w:t> </w:t>
      </w:r>
      <w:r>
        <w:rPr/>
        <w:t>to</w:t>
      </w:r>
      <w:r>
        <w:rPr>
          <w:spacing w:val="-2"/>
        </w:rPr>
        <w:t> </w:t>
      </w:r>
      <w:r>
        <w:rPr/>
        <w:t>support</w:t>
      </w:r>
      <w:r>
        <w:rPr>
          <w:spacing w:val="-11"/>
        </w:rPr>
        <w:t> </w:t>
      </w:r>
      <w:r>
        <w:rPr/>
        <w:t>AWS</w:t>
      </w:r>
      <w:r>
        <w:rPr>
          <w:spacing w:val="-2"/>
        </w:rPr>
        <w:t> </w:t>
      </w:r>
      <w:r>
        <w:rPr/>
        <w:t>business</w:t>
      </w:r>
      <w:r>
        <w:rPr>
          <w:spacing w:val="-2"/>
        </w:rPr>
        <w:t> </w:t>
      </w:r>
      <w:r>
        <w:rPr/>
        <w:t>growth)</w:t>
      </w:r>
      <w:r>
        <w:rPr>
          <w:spacing w:val="-2"/>
        </w:rPr>
        <w:t> </w:t>
      </w:r>
      <w:r>
        <w:rPr/>
        <w:t>and</w:t>
      </w:r>
      <w:r>
        <w:rPr>
          <w:spacing w:val="-2"/>
        </w:rPr>
        <w:t> </w:t>
      </w:r>
      <w:r>
        <w:rPr/>
        <w:t>in</w:t>
      </w:r>
      <w:r>
        <w:rPr>
          <w:spacing w:val="-2"/>
        </w:rPr>
        <w:t> </w:t>
      </w:r>
      <w:r>
        <w:rPr/>
        <w:t>additional</w:t>
      </w:r>
      <w:r>
        <w:rPr>
          <w:spacing w:val="-2"/>
        </w:rPr>
        <w:t> </w:t>
      </w:r>
      <w:r>
        <w:rPr/>
        <w:t>capacity</w:t>
      </w:r>
      <w:r>
        <w:rPr>
          <w:spacing w:val="-2"/>
        </w:rPr>
        <w:t> </w:t>
      </w:r>
      <w:r>
        <w:rPr/>
        <w:t>to</w:t>
      </w:r>
      <w:r>
        <w:rPr>
          <w:spacing w:val="-2"/>
        </w:rPr>
        <w:t> </w:t>
      </w:r>
      <w:r>
        <w:rPr/>
        <w:t>support</w:t>
      </w:r>
      <w:r>
        <w:rPr>
          <w:spacing w:val="-2"/>
        </w:rPr>
        <w:t> </w:t>
      </w:r>
      <w:r>
        <w:rPr/>
        <w:t>our</w:t>
      </w:r>
      <w:r>
        <w:rPr>
          <w:spacing w:val="-2"/>
        </w:rPr>
        <w:t> </w:t>
      </w:r>
      <w:r>
        <w:rPr/>
        <w:t>fulfillment network.</w:t>
      </w:r>
      <w:r>
        <w:rPr>
          <w:spacing w:val="-7"/>
        </w:rPr>
        <w:t> </w:t>
      </w:r>
      <w:r>
        <w:rPr/>
        <w:t>We</w:t>
      </w:r>
      <w:r>
        <w:rPr>
          <w:spacing w:val="-4"/>
        </w:rPr>
        <w:t> </w:t>
      </w:r>
      <w:r>
        <w:rPr/>
        <w:t>expect</w:t>
      </w:r>
      <w:r>
        <w:rPr>
          <w:spacing w:val="-4"/>
        </w:rPr>
        <w:t> </w:t>
      </w:r>
      <w:r>
        <w:rPr/>
        <w:t>cash</w:t>
      </w:r>
      <w:r>
        <w:rPr>
          <w:spacing w:val="-4"/>
        </w:rPr>
        <w:t> </w:t>
      </w:r>
      <w:r>
        <w:rPr/>
        <w:t>capital</w:t>
      </w:r>
      <w:r>
        <w:rPr>
          <w:spacing w:val="-4"/>
        </w:rPr>
        <w:t> </w:t>
      </w:r>
      <w:r>
        <w:rPr/>
        <w:t>expenditures</w:t>
      </w:r>
      <w:r>
        <w:rPr>
          <w:spacing w:val="-4"/>
        </w:rPr>
        <w:t> </w:t>
      </w:r>
      <w:r>
        <w:rPr/>
        <w:t>to</w:t>
      </w:r>
      <w:r>
        <w:rPr>
          <w:spacing w:val="-4"/>
        </w:rPr>
        <w:t> </w:t>
      </w:r>
      <w:r>
        <w:rPr/>
        <w:t>increase</w:t>
      </w:r>
      <w:r>
        <w:rPr>
          <w:spacing w:val="-4"/>
        </w:rPr>
        <w:t> </w:t>
      </w:r>
      <w:r>
        <w:rPr/>
        <w:t>in</w:t>
      </w:r>
      <w:r>
        <w:rPr>
          <w:spacing w:val="-4"/>
        </w:rPr>
        <w:t> </w:t>
      </w:r>
      <w:r>
        <w:rPr/>
        <w:t>2025,</w:t>
      </w:r>
      <w:r>
        <w:rPr>
          <w:spacing w:val="-4"/>
        </w:rPr>
        <w:t> </w:t>
      </w:r>
      <w:r>
        <w:rPr/>
        <w:t>primarily</w:t>
      </w:r>
      <w:r>
        <w:rPr>
          <w:spacing w:val="-4"/>
        </w:rPr>
        <w:t> </w:t>
      </w:r>
      <w:r>
        <w:rPr/>
        <w:t>driven</w:t>
      </w:r>
      <w:r>
        <w:rPr>
          <w:spacing w:val="-4"/>
        </w:rPr>
        <w:t> </w:t>
      </w:r>
      <w:r>
        <w:rPr/>
        <w:t>by</w:t>
      </w:r>
      <w:r>
        <w:rPr>
          <w:spacing w:val="-4"/>
        </w:rPr>
        <w:t> </w:t>
      </w:r>
      <w:r>
        <w:rPr/>
        <w:t>investments</w:t>
      </w:r>
      <w:r>
        <w:rPr>
          <w:spacing w:val="-4"/>
        </w:rPr>
        <w:t> </w:t>
      </w:r>
      <w:r>
        <w:rPr/>
        <w:t>in</w:t>
      </w:r>
      <w:r>
        <w:rPr>
          <w:spacing w:val="-4"/>
        </w:rPr>
        <w:t> </w:t>
      </w:r>
      <w:r>
        <w:rPr/>
        <w:t>technology</w:t>
      </w:r>
      <w:r>
        <w:rPr>
          <w:spacing w:val="-4"/>
        </w:rPr>
        <w:t> </w:t>
      </w:r>
      <w:r>
        <w:rPr/>
        <w:t>infrastructure.</w:t>
      </w:r>
      <w:r>
        <w:rPr>
          <w:spacing w:val="-7"/>
        </w:rPr>
        <w:t> </w:t>
      </w:r>
      <w:r>
        <w:rPr/>
        <w:t>We</w:t>
      </w:r>
      <w:r>
        <w:rPr>
          <w:spacing w:val="-4"/>
        </w:rPr>
        <w:t> </w:t>
      </w:r>
      <w:r>
        <w:rPr/>
        <w:t>made</w:t>
      </w:r>
      <w:r>
        <w:rPr>
          <w:spacing w:val="-4"/>
        </w:rPr>
        <w:t> </w:t>
      </w:r>
      <w:r>
        <w:rPr/>
        <w:t>cash</w:t>
      </w:r>
      <w:r>
        <w:rPr>
          <w:spacing w:val="-4"/>
        </w:rPr>
        <w:t> </w:t>
      </w:r>
      <w:r>
        <w:rPr/>
        <w:t>payments,</w:t>
      </w:r>
      <w:r>
        <w:rPr>
          <w:spacing w:val="-4"/>
        </w:rPr>
        <w:t> </w:t>
      </w:r>
      <w:r>
        <w:rPr/>
        <w:t>net</w:t>
      </w:r>
      <w:r>
        <w:rPr>
          <w:spacing w:val="-4"/>
        </w:rPr>
        <w:t> </w:t>
      </w:r>
      <w:r>
        <w:rPr/>
        <w:t>of acquired cash, related to acquisition and other investment activity of $5.8 billion and $7.1 billion in 2023 and 2024. We funded the acquisition of 1Life Healthcare, Inc. (One Medical) in 2023 with cash on hand. In Q3 2023, we invested $1.25 billion in a convertible note from</w:t>
      </w:r>
      <w:r>
        <w:rPr>
          <w:spacing w:val="-6"/>
        </w:rPr>
        <w:t> </w:t>
      </w:r>
      <w:r>
        <w:rPr/>
        <w:t>Anthropic, PBC. In Q1 2024, we invested $2.75 billion in a second convertible note. In Q4 2024, we entered into an agreement and invested $1.3 billion in a third convertible note, and will invest an additional $2.7 billion by Q4 2025.</w:t>
      </w:r>
    </w:p>
    <w:p>
      <w:pPr>
        <w:pStyle w:val="BodyText"/>
        <w:spacing w:line="249" w:lineRule="auto" w:before="87"/>
        <w:ind w:firstLine="445"/>
      </w:pPr>
      <w:r>
        <w:rPr/>
        <w:t>Cash</w:t>
      </w:r>
      <w:r>
        <w:rPr>
          <w:spacing w:val="-3"/>
        </w:rPr>
        <w:t> </w:t>
      </w:r>
      <w:r>
        <w:rPr/>
        <w:t>provided</w:t>
      </w:r>
      <w:r>
        <w:rPr>
          <w:spacing w:val="-3"/>
        </w:rPr>
        <w:t> </w:t>
      </w:r>
      <w:r>
        <w:rPr/>
        <w:t>by</w:t>
      </w:r>
      <w:r>
        <w:rPr>
          <w:spacing w:val="-3"/>
        </w:rPr>
        <w:t> </w:t>
      </w:r>
      <w:r>
        <w:rPr/>
        <w:t>(used</w:t>
      </w:r>
      <w:r>
        <w:rPr>
          <w:spacing w:val="-3"/>
        </w:rPr>
        <w:t> </w:t>
      </w:r>
      <w:r>
        <w:rPr/>
        <w:t>in)</w:t>
      </w:r>
      <w:r>
        <w:rPr>
          <w:spacing w:val="-3"/>
        </w:rPr>
        <w:t> </w:t>
      </w:r>
      <w:r>
        <w:rPr/>
        <w:t>financing</w:t>
      </w:r>
      <w:r>
        <w:rPr>
          <w:spacing w:val="-3"/>
        </w:rPr>
        <w:t> </w:t>
      </w:r>
      <w:r>
        <w:rPr/>
        <w:t>activities</w:t>
      </w:r>
      <w:r>
        <w:rPr>
          <w:spacing w:val="-3"/>
        </w:rPr>
        <w:t> </w:t>
      </w:r>
      <w:r>
        <w:rPr/>
        <w:t>was</w:t>
      </w:r>
      <w:r>
        <w:rPr>
          <w:spacing w:val="-3"/>
        </w:rPr>
        <w:t> </w:t>
      </w:r>
      <w:r>
        <w:rPr/>
        <w:t>$(15.9)</w:t>
      </w:r>
      <w:r>
        <w:rPr>
          <w:spacing w:val="-3"/>
        </w:rPr>
        <w:t> </w:t>
      </w:r>
      <w:r>
        <w:rPr/>
        <w:t>billion</w:t>
      </w:r>
      <w:r>
        <w:rPr>
          <w:spacing w:val="-3"/>
        </w:rPr>
        <w:t> </w:t>
      </w:r>
      <w:r>
        <w:rPr/>
        <w:t>and</w:t>
      </w:r>
      <w:r>
        <w:rPr>
          <w:spacing w:val="-3"/>
        </w:rPr>
        <w:t> </w:t>
      </w:r>
      <w:r>
        <w:rPr/>
        <w:t>$(11.8)</w:t>
      </w:r>
      <w:r>
        <w:rPr>
          <w:spacing w:val="-3"/>
        </w:rPr>
        <w:t> </w:t>
      </w:r>
      <w:r>
        <w:rPr/>
        <w:t>billion</w:t>
      </w:r>
      <w:r>
        <w:rPr>
          <w:spacing w:val="-3"/>
        </w:rPr>
        <w:t> </w:t>
      </w:r>
      <w:r>
        <w:rPr/>
        <w:t>in</w:t>
      </w:r>
      <w:r>
        <w:rPr>
          <w:spacing w:val="-3"/>
        </w:rPr>
        <w:t> </w:t>
      </w:r>
      <w:r>
        <w:rPr/>
        <w:t>2023</w:t>
      </w:r>
      <w:r>
        <w:rPr>
          <w:spacing w:val="-3"/>
        </w:rPr>
        <w:t> </w:t>
      </w:r>
      <w:r>
        <w:rPr/>
        <w:t>and</w:t>
      </w:r>
      <w:r>
        <w:rPr>
          <w:spacing w:val="-3"/>
        </w:rPr>
        <w:t> </w:t>
      </w:r>
      <w:r>
        <w:rPr/>
        <w:t>2024.</w:t>
      </w:r>
      <w:r>
        <w:rPr>
          <w:spacing w:val="-3"/>
        </w:rPr>
        <w:t> </w:t>
      </w:r>
      <w:r>
        <w:rPr/>
        <w:t>Cash</w:t>
      </w:r>
      <w:r>
        <w:rPr>
          <w:spacing w:val="-3"/>
        </w:rPr>
        <w:t> </w:t>
      </w:r>
      <w:r>
        <w:rPr/>
        <w:t>inflows</w:t>
      </w:r>
      <w:r>
        <w:rPr>
          <w:spacing w:val="-3"/>
        </w:rPr>
        <w:t> </w:t>
      </w:r>
      <w:r>
        <w:rPr/>
        <w:t>from</w:t>
      </w:r>
      <w:r>
        <w:rPr>
          <w:spacing w:val="-3"/>
        </w:rPr>
        <w:t> </w:t>
      </w:r>
      <w:r>
        <w:rPr/>
        <w:t>financing</w:t>
      </w:r>
      <w:r>
        <w:rPr>
          <w:spacing w:val="-3"/>
        </w:rPr>
        <w:t> </w:t>
      </w:r>
      <w:r>
        <w:rPr/>
        <w:t>activities</w:t>
      </w:r>
      <w:r>
        <w:rPr>
          <w:spacing w:val="-3"/>
        </w:rPr>
        <w:t> </w:t>
      </w:r>
      <w:r>
        <w:rPr/>
        <w:t>resulted from</w:t>
      </w:r>
      <w:r>
        <w:rPr>
          <w:spacing w:val="-1"/>
        </w:rPr>
        <w:t> </w:t>
      </w:r>
      <w:r>
        <w:rPr/>
        <w:t>proceeds</w:t>
      </w:r>
      <w:r>
        <w:rPr>
          <w:spacing w:val="-1"/>
        </w:rPr>
        <w:t> </w:t>
      </w:r>
      <w:r>
        <w:rPr/>
        <w:t>from</w:t>
      </w:r>
      <w:r>
        <w:rPr>
          <w:spacing w:val="-1"/>
        </w:rPr>
        <w:t> </w:t>
      </w:r>
      <w:r>
        <w:rPr/>
        <w:t>short-term</w:t>
      </w:r>
      <w:r>
        <w:rPr>
          <w:spacing w:val="-1"/>
        </w:rPr>
        <w:t> </w:t>
      </w:r>
      <w:r>
        <w:rPr/>
        <w:t>debt,</w:t>
      </w:r>
      <w:r>
        <w:rPr>
          <w:spacing w:val="-1"/>
        </w:rPr>
        <w:t> </w:t>
      </w:r>
      <w:r>
        <w:rPr/>
        <w:t>and</w:t>
      </w:r>
      <w:r>
        <w:rPr>
          <w:spacing w:val="-1"/>
        </w:rPr>
        <w:t> </w:t>
      </w:r>
      <w:r>
        <w:rPr/>
        <w:t>other</w:t>
      </w:r>
      <w:r>
        <w:rPr>
          <w:spacing w:val="-1"/>
        </w:rPr>
        <w:t> </w:t>
      </w:r>
      <w:r>
        <w:rPr/>
        <w:t>and</w:t>
      </w:r>
      <w:r>
        <w:rPr>
          <w:spacing w:val="-1"/>
        </w:rPr>
        <w:t> </w:t>
      </w:r>
      <w:r>
        <w:rPr/>
        <w:t>long-term-debt</w:t>
      </w:r>
      <w:r>
        <w:rPr>
          <w:spacing w:val="-1"/>
        </w:rPr>
        <w:t> </w:t>
      </w:r>
      <w:r>
        <w:rPr/>
        <w:t>of</w:t>
      </w:r>
      <w:r>
        <w:rPr>
          <w:spacing w:val="-1"/>
        </w:rPr>
        <w:t> </w:t>
      </w:r>
      <w:r>
        <w:rPr/>
        <w:t>$18.1</w:t>
      </w:r>
      <w:r>
        <w:rPr>
          <w:spacing w:val="-1"/>
        </w:rPr>
        <w:t> </w:t>
      </w:r>
      <w:r>
        <w:rPr/>
        <w:t>billion</w:t>
      </w:r>
      <w:r>
        <w:rPr>
          <w:spacing w:val="-1"/>
        </w:rPr>
        <w:t> </w:t>
      </w:r>
      <w:r>
        <w:rPr/>
        <w:t>and</w:t>
      </w:r>
      <w:r>
        <w:rPr>
          <w:spacing w:val="-1"/>
        </w:rPr>
        <w:t> </w:t>
      </w:r>
      <w:r>
        <w:rPr/>
        <w:t>$5.1</w:t>
      </w:r>
      <w:r>
        <w:rPr>
          <w:spacing w:val="-1"/>
        </w:rPr>
        <w:t> </w:t>
      </w:r>
      <w:r>
        <w:rPr/>
        <w:t>billion</w:t>
      </w:r>
      <w:r>
        <w:rPr>
          <w:spacing w:val="-1"/>
        </w:rPr>
        <w:t> </w:t>
      </w:r>
      <w:r>
        <w:rPr/>
        <w:t>in</w:t>
      </w:r>
      <w:r>
        <w:rPr>
          <w:spacing w:val="-1"/>
        </w:rPr>
        <w:t> </w:t>
      </w:r>
      <w:r>
        <w:rPr/>
        <w:t>2023</w:t>
      </w:r>
      <w:r>
        <w:rPr>
          <w:spacing w:val="-1"/>
        </w:rPr>
        <w:t> </w:t>
      </w:r>
      <w:r>
        <w:rPr/>
        <w:t>and</w:t>
      </w:r>
      <w:r>
        <w:rPr>
          <w:spacing w:val="-1"/>
        </w:rPr>
        <w:t> </w:t>
      </w:r>
      <w:r>
        <w:rPr/>
        <w:t>2024.</w:t>
      </w:r>
      <w:r>
        <w:rPr>
          <w:spacing w:val="-1"/>
        </w:rPr>
        <w:t> </w:t>
      </w:r>
      <w:r>
        <w:rPr/>
        <w:t>Cash</w:t>
      </w:r>
      <w:r>
        <w:rPr>
          <w:spacing w:val="-1"/>
        </w:rPr>
        <w:t> </w:t>
      </w:r>
      <w:r>
        <w:rPr/>
        <w:t>outflows</w:t>
      </w:r>
      <w:r>
        <w:rPr>
          <w:spacing w:val="-1"/>
        </w:rPr>
        <w:t> </w:t>
      </w:r>
      <w:r>
        <w:rPr/>
        <w:t>from</w:t>
      </w:r>
      <w:r>
        <w:rPr>
          <w:spacing w:val="-1"/>
        </w:rPr>
        <w:t> </w:t>
      </w:r>
      <w:r>
        <w:rPr/>
        <w:t>financing</w:t>
      </w:r>
      <w:r>
        <w:rPr>
          <w:spacing w:val="-1"/>
        </w:rPr>
        <w:t> </w:t>
      </w:r>
      <w:r>
        <w:rPr/>
        <w:t>activities resulted from payments of short-term debt, and other, long-term debt, finance leases, and financing obligations of $34.0 billion and $17.0 billion in 2023 and 2024. Property and equipment acquired under finance leases was $642 million and $854 million in 2023 and 2024.</w:t>
      </w:r>
    </w:p>
    <w:p>
      <w:pPr>
        <w:pStyle w:val="BodyText"/>
        <w:spacing w:line="249" w:lineRule="auto" w:before="98"/>
        <w:ind w:firstLine="445"/>
      </w:pPr>
      <w:r>
        <w:rPr/>
        <w:t>We</w:t>
      </w:r>
      <w:r>
        <w:rPr>
          <w:spacing w:val="-3"/>
        </w:rPr>
        <w:t> </w:t>
      </w:r>
      <w:r>
        <w:rPr/>
        <w:t>had</w:t>
      </w:r>
      <w:r>
        <w:rPr>
          <w:spacing w:val="-3"/>
        </w:rPr>
        <w:t> </w:t>
      </w:r>
      <w:r>
        <w:rPr/>
        <w:t>no</w:t>
      </w:r>
      <w:r>
        <w:rPr>
          <w:spacing w:val="-3"/>
        </w:rPr>
        <w:t> </w:t>
      </w:r>
      <w:r>
        <w:rPr/>
        <w:t>borrowings</w:t>
      </w:r>
      <w:r>
        <w:rPr>
          <w:spacing w:val="-3"/>
        </w:rPr>
        <w:t> </w:t>
      </w:r>
      <w:r>
        <w:rPr/>
        <w:t>outstanding</w:t>
      </w:r>
      <w:r>
        <w:rPr>
          <w:spacing w:val="-3"/>
        </w:rPr>
        <w:t> </w:t>
      </w:r>
      <w:r>
        <w:rPr/>
        <w:t>under</w:t>
      </w:r>
      <w:r>
        <w:rPr>
          <w:spacing w:val="-3"/>
        </w:rPr>
        <w:t> </w:t>
      </w:r>
      <w:r>
        <w:rPr/>
        <w:t>the</w:t>
      </w:r>
      <w:r>
        <w:rPr>
          <w:spacing w:val="-3"/>
        </w:rPr>
        <w:t> </w:t>
      </w:r>
      <w:r>
        <w:rPr/>
        <w:t>two</w:t>
      </w:r>
      <w:r>
        <w:rPr>
          <w:spacing w:val="-3"/>
        </w:rPr>
        <w:t> </w:t>
      </w:r>
      <w:r>
        <w:rPr/>
        <w:t>unsecured</w:t>
      </w:r>
      <w:r>
        <w:rPr>
          <w:spacing w:val="-3"/>
        </w:rPr>
        <w:t> </w:t>
      </w:r>
      <w:r>
        <w:rPr/>
        <w:t>revolving</w:t>
      </w:r>
      <w:r>
        <w:rPr>
          <w:spacing w:val="-3"/>
        </w:rPr>
        <w:t> </w:t>
      </w:r>
      <w:r>
        <w:rPr/>
        <w:t>credit</w:t>
      </w:r>
      <w:r>
        <w:rPr>
          <w:spacing w:val="-3"/>
        </w:rPr>
        <w:t> </w:t>
      </w:r>
      <w:r>
        <w:rPr/>
        <w:t>facilities</w:t>
      </w:r>
      <w:r>
        <w:rPr>
          <w:spacing w:val="-3"/>
        </w:rPr>
        <w:t> </w:t>
      </w:r>
      <w:r>
        <w:rPr/>
        <w:t>or</w:t>
      </w:r>
      <w:r>
        <w:rPr>
          <w:spacing w:val="-3"/>
        </w:rPr>
        <w:t> </w:t>
      </w:r>
      <w:r>
        <w:rPr/>
        <w:t>the</w:t>
      </w:r>
      <w:r>
        <w:rPr>
          <w:spacing w:val="-3"/>
        </w:rPr>
        <w:t> </w:t>
      </w:r>
      <w:r>
        <w:rPr/>
        <w:t>commercial</w:t>
      </w:r>
      <w:r>
        <w:rPr>
          <w:spacing w:val="-3"/>
        </w:rPr>
        <w:t> </w:t>
      </w:r>
      <w:r>
        <w:rPr/>
        <w:t>paper</w:t>
      </w:r>
      <w:r>
        <w:rPr>
          <w:spacing w:val="-3"/>
        </w:rPr>
        <w:t> </w:t>
      </w:r>
      <w:r>
        <w:rPr/>
        <w:t>programs</w:t>
      </w:r>
      <w:r>
        <w:rPr>
          <w:spacing w:val="-3"/>
        </w:rPr>
        <w:t> </w:t>
      </w:r>
      <w:r>
        <w:rPr/>
        <w:t>as</w:t>
      </w:r>
      <w:r>
        <w:rPr>
          <w:spacing w:val="-3"/>
        </w:rPr>
        <w:t> </w:t>
      </w:r>
      <w:r>
        <w:rPr/>
        <w:t>of</w:t>
      </w:r>
      <w:r>
        <w:rPr>
          <w:spacing w:val="-3"/>
        </w:rPr>
        <w:t> </w:t>
      </w:r>
      <w:r>
        <w:rPr/>
        <w:t>December</w:t>
      </w:r>
      <w:r>
        <w:rPr>
          <w:spacing w:val="-3"/>
        </w:rPr>
        <w:t> </w:t>
      </w:r>
      <w:r>
        <w:rPr/>
        <w:t>31,</w:t>
      </w:r>
      <w:r>
        <w:rPr>
          <w:spacing w:val="-3"/>
        </w:rPr>
        <w:t> </w:t>
      </w:r>
      <w:r>
        <w:rPr/>
        <w:t>2024.</w:t>
      </w:r>
      <w:r>
        <w:rPr>
          <w:spacing w:val="-3"/>
        </w:rPr>
        <w:t> </w:t>
      </w:r>
      <w:r>
        <w:rPr/>
        <w:t>See Item 8 of Part II, “Financial Statements and Supplementary Data — Note 6 — Debt” for additional information.</w:t>
      </w:r>
    </w:p>
    <w:p>
      <w:pPr>
        <w:pStyle w:val="BodyText"/>
        <w:spacing w:line="249" w:lineRule="auto" w:before="96"/>
        <w:ind w:firstLine="445"/>
      </w:pPr>
      <w:r>
        <w:rPr/>
        <w:t>As of December 31, 2024, cash, cash equivalents, and marketable securities held by foreign subsidiaries were $6.3 billion. We intend to invest substantially</w:t>
      </w:r>
      <w:r>
        <w:rPr>
          <w:spacing w:val="-2"/>
        </w:rPr>
        <w:t> </w:t>
      </w:r>
      <w:r>
        <w:rPr/>
        <w:t>all</w:t>
      </w:r>
      <w:r>
        <w:rPr>
          <w:spacing w:val="-2"/>
        </w:rPr>
        <w:t> </w:t>
      </w:r>
      <w:r>
        <w:rPr/>
        <w:t>of</w:t>
      </w:r>
      <w:r>
        <w:rPr>
          <w:spacing w:val="-2"/>
        </w:rPr>
        <w:t> </w:t>
      </w:r>
      <w:r>
        <w:rPr/>
        <w:t>our</w:t>
      </w:r>
      <w:r>
        <w:rPr>
          <w:spacing w:val="-2"/>
        </w:rPr>
        <w:t> </w:t>
      </w:r>
      <w:r>
        <w:rPr/>
        <w:t>foreign</w:t>
      </w:r>
      <w:r>
        <w:rPr>
          <w:spacing w:val="-2"/>
        </w:rPr>
        <w:t> </w:t>
      </w:r>
      <w:r>
        <w:rPr/>
        <w:t>subsidiary</w:t>
      </w:r>
      <w:r>
        <w:rPr>
          <w:spacing w:val="-2"/>
        </w:rPr>
        <w:t> </w:t>
      </w:r>
      <w:r>
        <w:rPr/>
        <w:t>earnings,</w:t>
      </w:r>
      <w:r>
        <w:rPr>
          <w:spacing w:val="-2"/>
        </w:rPr>
        <w:t> </w:t>
      </w:r>
      <w:r>
        <w:rPr/>
        <w:t>as</w:t>
      </w:r>
      <w:r>
        <w:rPr>
          <w:spacing w:val="-2"/>
        </w:rPr>
        <w:t> </w:t>
      </w:r>
      <w:r>
        <w:rPr/>
        <w:t>well</w:t>
      </w:r>
      <w:r>
        <w:rPr>
          <w:spacing w:val="-2"/>
        </w:rPr>
        <w:t> </w:t>
      </w:r>
      <w:r>
        <w:rPr/>
        <w:t>as</w:t>
      </w:r>
      <w:r>
        <w:rPr>
          <w:spacing w:val="-2"/>
        </w:rPr>
        <w:t> </w:t>
      </w:r>
      <w:r>
        <w:rPr/>
        <w:t>our</w:t>
      </w:r>
      <w:r>
        <w:rPr>
          <w:spacing w:val="-2"/>
        </w:rPr>
        <w:t> </w:t>
      </w:r>
      <w:r>
        <w:rPr/>
        <w:t>capital</w:t>
      </w:r>
      <w:r>
        <w:rPr>
          <w:spacing w:val="-2"/>
        </w:rPr>
        <w:t> </w:t>
      </w:r>
      <w:r>
        <w:rPr/>
        <w:t>in</w:t>
      </w:r>
      <w:r>
        <w:rPr>
          <w:spacing w:val="-2"/>
        </w:rPr>
        <w:t> </w:t>
      </w:r>
      <w:r>
        <w:rPr/>
        <w:t>our</w:t>
      </w:r>
      <w:r>
        <w:rPr>
          <w:spacing w:val="-2"/>
        </w:rPr>
        <w:t> </w:t>
      </w:r>
      <w:r>
        <w:rPr/>
        <w:t>foreign</w:t>
      </w:r>
      <w:r>
        <w:rPr>
          <w:spacing w:val="-2"/>
        </w:rPr>
        <w:t> </w:t>
      </w:r>
      <w:r>
        <w:rPr/>
        <w:t>subsidiaries,</w:t>
      </w:r>
      <w:r>
        <w:rPr>
          <w:spacing w:val="-2"/>
        </w:rPr>
        <w:t> </w:t>
      </w:r>
      <w:r>
        <w:rPr/>
        <w:t>indefinitely</w:t>
      </w:r>
      <w:r>
        <w:rPr>
          <w:spacing w:val="-2"/>
        </w:rPr>
        <w:t> </w:t>
      </w:r>
      <w:r>
        <w:rPr/>
        <w:t>outside</w:t>
      </w:r>
      <w:r>
        <w:rPr>
          <w:spacing w:val="-2"/>
        </w:rPr>
        <w:t> </w:t>
      </w:r>
      <w:r>
        <w:rPr/>
        <w:t>of</w:t>
      </w:r>
      <w:r>
        <w:rPr>
          <w:spacing w:val="-2"/>
        </w:rPr>
        <w:t> </w:t>
      </w:r>
      <w:r>
        <w:rPr/>
        <w:t>the</w:t>
      </w:r>
      <w:r>
        <w:rPr>
          <w:spacing w:val="-2"/>
        </w:rPr>
        <w:t> </w:t>
      </w:r>
      <w:r>
        <w:rPr/>
        <w:t>U.S.</w:t>
      </w:r>
      <w:r>
        <w:rPr>
          <w:spacing w:val="-2"/>
        </w:rPr>
        <w:t> </w:t>
      </w:r>
      <w:r>
        <w:rPr/>
        <w:t>in</w:t>
      </w:r>
      <w:r>
        <w:rPr>
          <w:spacing w:val="-2"/>
        </w:rPr>
        <w:t> </w:t>
      </w:r>
      <w:r>
        <w:rPr/>
        <w:t>those</w:t>
      </w:r>
      <w:r>
        <w:rPr>
          <w:spacing w:val="-2"/>
        </w:rPr>
        <w:t> </w:t>
      </w:r>
      <w:r>
        <w:rPr/>
        <w:t>jurisdictions</w:t>
      </w:r>
      <w:r>
        <w:rPr>
          <w:spacing w:val="-2"/>
        </w:rPr>
        <w:t> </w:t>
      </w:r>
      <w:r>
        <w:rPr/>
        <w:t>in which we would incur significant, additional costs upon repatriation of such amounts.</w:t>
      </w:r>
    </w:p>
    <w:p>
      <w:pPr>
        <w:pStyle w:val="BodyText"/>
        <w:spacing w:line="249" w:lineRule="auto" w:before="83"/>
        <w:ind w:right="20" w:firstLine="445"/>
      </w:pPr>
      <w:r>
        <w:rPr/>
        <w:t>Our U.S. taxable income is reduced by accelerated depreciation deductions and increased by the impact of capitalized research and development expenses. U.S. tax rules provide for enhanced accelerated depreciation deductions by allowing us to expense a portion of qualified property, primarily equipment. These enhanced deductions are scheduled to phase out annually from 2023 through 2026. Our federal tax provision included accelerated depreciation</w:t>
      </w:r>
      <w:r>
        <w:rPr>
          <w:spacing w:val="-1"/>
        </w:rPr>
        <w:t> </w:t>
      </w:r>
      <w:r>
        <w:rPr/>
        <w:t>deductions</w:t>
      </w:r>
      <w:r>
        <w:rPr>
          <w:spacing w:val="-1"/>
        </w:rPr>
        <w:t> </w:t>
      </w:r>
      <w:r>
        <w:rPr/>
        <w:t>for</w:t>
      </w:r>
      <w:r>
        <w:rPr>
          <w:spacing w:val="-1"/>
        </w:rPr>
        <w:t> </w:t>
      </w:r>
      <w:r>
        <w:rPr/>
        <w:t>2022,</w:t>
      </w:r>
      <w:r>
        <w:rPr>
          <w:spacing w:val="-1"/>
        </w:rPr>
        <w:t> </w:t>
      </w:r>
      <w:r>
        <w:rPr/>
        <w:t>2023,</w:t>
      </w:r>
      <w:r>
        <w:rPr>
          <w:spacing w:val="-1"/>
        </w:rPr>
        <w:t> </w:t>
      </w:r>
      <w:r>
        <w:rPr/>
        <w:t>and</w:t>
      </w:r>
      <w:r>
        <w:rPr>
          <w:spacing w:val="-1"/>
        </w:rPr>
        <w:t> </w:t>
      </w:r>
      <w:r>
        <w:rPr/>
        <w:t>2024.</w:t>
      </w:r>
      <w:r>
        <w:rPr>
          <w:spacing w:val="-10"/>
        </w:rPr>
        <w:t> </w:t>
      </w:r>
      <w:r>
        <w:rPr/>
        <w:t>Additionally,</w:t>
      </w:r>
      <w:r>
        <w:rPr>
          <w:spacing w:val="-1"/>
        </w:rPr>
        <w:t> </w:t>
      </w:r>
      <w:r>
        <w:rPr/>
        <w:t>effective</w:t>
      </w:r>
      <w:r>
        <w:rPr>
          <w:spacing w:val="-1"/>
        </w:rPr>
        <w:t> </w:t>
      </w:r>
      <w:r>
        <w:rPr/>
        <w:t>January</w:t>
      </w:r>
      <w:r>
        <w:rPr>
          <w:spacing w:val="-1"/>
        </w:rPr>
        <w:t> </w:t>
      </w:r>
      <w:r>
        <w:rPr/>
        <w:t>1,</w:t>
      </w:r>
      <w:r>
        <w:rPr>
          <w:spacing w:val="-1"/>
        </w:rPr>
        <w:t> </w:t>
      </w:r>
      <w:r>
        <w:rPr/>
        <w:t>2022,</w:t>
      </w:r>
      <w:r>
        <w:rPr>
          <w:spacing w:val="-1"/>
        </w:rPr>
        <w:t> </w:t>
      </w:r>
      <w:r>
        <w:rPr/>
        <w:t>research</w:t>
      </w:r>
      <w:r>
        <w:rPr>
          <w:spacing w:val="-1"/>
        </w:rPr>
        <w:t> </w:t>
      </w:r>
      <w:r>
        <w:rPr/>
        <w:t>and</w:t>
      </w:r>
      <w:r>
        <w:rPr>
          <w:spacing w:val="-1"/>
        </w:rPr>
        <w:t> </w:t>
      </w:r>
      <w:r>
        <w:rPr/>
        <w:t>development</w:t>
      </w:r>
      <w:r>
        <w:rPr>
          <w:spacing w:val="-1"/>
        </w:rPr>
        <w:t> </w:t>
      </w:r>
      <w:r>
        <w:rPr/>
        <w:t>expenses</w:t>
      </w:r>
      <w:r>
        <w:rPr>
          <w:spacing w:val="-1"/>
        </w:rPr>
        <w:t> </w:t>
      </w:r>
      <w:r>
        <w:rPr/>
        <w:t>are</w:t>
      </w:r>
      <w:r>
        <w:rPr>
          <w:spacing w:val="-1"/>
        </w:rPr>
        <w:t> </w:t>
      </w:r>
      <w:r>
        <w:rPr/>
        <w:t>required</w:t>
      </w:r>
      <w:r>
        <w:rPr>
          <w:spacing w:val="-1"/>
        </w:rPr>
        <w:t> </w:t>
      </w:r>
      <w:r>
        <w:rPr/>
        <w:t>to</w:t>
      </w:r>
      <w:r>
        <w:rPr>
          <w:spacing w:val="-1"/>
        </w:rPr>
        <w:t> </w:t>
      </w:r>
      <w:r>
        <w:rPr/>
        <w:t>be</w:t>
      </w:r>
      <w:r>
        <w:rPr>
          <w:spacing w:val="-1"/>
        </w:rPr>
        <w:t> </w:t>
      </w:r>
      <w:r>
        <w:rPr/>
        <w:t>capitalized and</w:t>
      </w:r>
      <w:r>
        <w:rPr>
          <w:spacing w:val="-2"/>
        </w:rPr>
        <w:t> </w:t>
      </w:r>
      <w:r>
        <w:rPr/>
        <w:t>amortized</w:t>
      </w:r>
      <w:r>
        <w:rPr>
          <w:spacing w:val="-2"/>
        </w:rPr>
        <w:t> </w:t>
      </w:r>
      <w:r>
        <w:rPr/>
        <w:t>for</w:t>
      </w:r>
      <w:r>
        <w:rPr>
          <w:spacing w:val="-2"/>
        </w:rPr>
        <w:t> </w:t>
      </w:r>
      <w:r>
        <w:rPr/>
        <w:t>U.S.</w:t>
      </w:r>
      <w:r>
        <w:rPr>
          <w:spacing w:val="-2"/>
        </w:rPr>
        <w:t> </w:t>
      </w:r>
      <w:r>
        <w:rPr/>
        <w:t>tax</w:t>
      </w:r>
      <w:r>
        <w:rPr>
          <w:spacing w:val="-2"/>
        </w:rPr>
        <w:t> </w:t>
      </w:r>
      <w:r>
        <w:rPr/>
        <w:t>purposes,</w:t>
      </w:r>
      <w:r>
        <w:rPr>
          <w:spacing w:val="-2"/>
        </w:rPr>
        <w:t> </w:t>
      </w:r>
      <w:r>
        <w:rPr/>
        <w:t>which</w:t>
      </w:r>
      <w:r>
        <w:rPr>
          <w:spacing w:val="-2"/>
        </w:rPr>
        <w:t> </w:t>
      </w:r>
      <w:r>
        <w:rPr/>
        <w:t>delays</w:t>
      </w:r>
      <w:r>
        <w:rPr>
          <w:spacing w:val="-2"/>
        </w:rPr>
        <w:t> </w:t>
      </w:r>
      <w:r>
        <w:rPr/>
        <w:t>the</w:t>
      </w:r>
      <w:r>
        <w:rPr>
          <w:spacing w:val="-2"/>
        </w:rPr>
        <w:t> </w:t>
      </w:r>
      <w:r>
        <w:rPr/>
        <w:t>deductibility</w:t>
      </w:r>
      <w:r>
        <w:rPr>
          <w:spacing w:val="-2"/>
        </w:rPr>
        <w:t> </w:t>
      </w:r>
      <w:r>
        <w:rPr/>
        <w:t>of</w:t>
      </w:r>
      <w:r>
        <w:rPr>
          <w:spacing w:val="-2"/>
        </w:rPr>
        <w:t> </w:t>
      </w:r>
      <w:r>
        <w:rPr/>
        <w:t>these</w:t>
      </w:r>
      <w:r>
        <w:rPr>
          <w:spacing w:val="-2"/>
        </w:rPr>
        <w:t> </w:t>
      </w:r>
      <w:r>
        <w:rPr/>
        <w:t>expenses.</w:t>
      </w:r>
      <w:r>
        <w:rPr>
          <w:spacing w:val="-2"/>
        </w:rPr>
        <w:t> </w:t>
      </w:r>
      <w:r>
        <w:rPr/>
        <w:t>Cash</w:t>
      </w:r>
      <w:r>
        <w:rPr>
          <w:spacing w:val="-2"/>
        </w:rPr>
        <w:t> </w:t>
      </w:r>
      <w:r>
        <w:rPr/>
        <w:t>paid</w:t>
      </w:r>
      <w:r>
        <w:rPr>
          <w:spacing w:val="-2"/>
        </w:rPr>
        <w:t> </w:t>
      </w:r>
      <w:r>
        <w:rPr/>
        <w:t>for</w:t>
      </w:r>
      <w:r>
        <w:rPr>
          <w:spacing w:val="-2"/>
        </w:rPr>
        <w:t> </w:t>
      </w:r>
      <w:r>
        <w:rPr/>
        <w:t>U.S.</w:t>
      </w:r>
      <w:r>
        <w:rPr>
          <w:spacing w:val="-2"/>
        </w:rPr>
        <w:t> </w:t>
      </w:r>
      <w:r>
        <w:rPr/>
        <w:t>(federal</w:t>
      </w:r>
      <w:r>
        <w:rPr>
          <w:spacing w:val="-2"/>
        </w:rPr>
        <w:t> </w:t>
      </w:r>
      <w:r>
        <w:rPr/>
        <w:t>and</w:t>
      </w:r>
      <w:r>
        <w:rPr>
          <w:spacing w:val="-2"/>
        </w:rPr>
        <w:t> </w:t>
      </w:r>
      <w:r>
        <w:rPr/>
        <w:t>state)</w:t>
      </w:r>
      <w:r>
        <w:rPr>
          <w:spacing w:val="-2"/>
        </w:rPr>
        <w:t> </w:t>
      </w:r>
      <w:r>
        <w:rPr/>
        <w:t>and</w:t>
      </w:r>
      <w:r>
        <w:rPr>
          <w:spacing w:val="-2"/>
        </w:rPr>
        <w:t> </w:t>
      </w:r>
      <w:r>
        <w:rPr/>
        <w:t>foreign</w:t>
      </w:r>
      <w:r>
        <w:rPr>
          <w:spacing w:val="-2"/>
        </w:rPr>
        <w:t> </w:t>
      </w:r>
      <w:r>
        <w:rPr/>
        <w:t>income</w:t>
      </w:r>
      <w:r>
        <w:rPr>
          <w:spacing w:val="-2"/>
        </w:rPr>
        <w:t> </w:t>
      </w:r>
      <w:r>
        <w:rPr/>
        <w:t>taxes</w:t>
      </w:r>
      <w:r>
        <w:rPr>
          <w:spacing w:val="-2"/>
        </w:rPr>
        <w:t> </w:t>
      </w:r>
      <w:r>
        <w:rPr/>
        <w:t>(net</w:t>
      </w:r>
      <w:r>
        <w:rPr>
          <w:spacing w:val="-2"/>
        </w:rPr>
        <w:t> </w:t>
      </w:r>
      <w:r>
        <w:rPr/>
        <w:t>of refunds) totaled $11.2 billion and $12.3 billion for 2023 and 2024.</w:t>
      </w:r>
    </w:p>
    <w:p>
      <w:pPr>
        <w:pStyle w:val="BodyText"/>
        <w:spacing w:line="249" w:lineRule="auto" w:before="99"/>
        <w:ind w:firstLine="445"/>
      </w:pPr>
      <w:r>
        <w:rPr/>
        <w:t>As</w:t>
      </w:r>
      <w:r>
        <w:rPr>
          <w:spacing w:val="-2"/>
        </w:rPr>
        <w:t> </w:t>
      </w:r>
      <w:r>
        <w:rPr/>
        <w:t>of</w:t>
      </w:r>
      <w:r>
        <w:rPr>
          <w:spacing w:val="-2"/>
        </w:rPr>
        <w:t> </w:t>
      </w:r>
      <w:r>
        <w:rPr/>
        <w:t>December</w:t>
      </w:r>
      <w:r>
        <w:rPr>
          <w:spacing w:val="-2"/>
        </w:rPr>
        <w:t> </w:t>
      </w:r>
      <w:r>
        <w:rPr/>
        <w:t>31,</w:t>
      </w:r>
      <w:r>
        <w:rPr>
          <w:spacing w:val="-2"/>
        </w:rPr>
        <w:t> </w:t>
      </w:r>
      <w:r>
        <w:rPr/>
        <w:t>2023</w:t>
      </w:r>
      <w:r>
        <w:rPr>
          <w:spacing w:val="-2"/>
        </w:rPr>
        <w:t> </w:t>
      </w:r>
      <w:r>
        <w:rPr/>
        <w:t>and</w:t>
      </w:r>
      <w:r>
        <w:rPr>
          <w:spacing w:val="-2"/>
        </w:rPr>
        <w:t> </w:t>
      </w:r>
      <w:r>
        <w:rPr/>
        <w:t>2024,</w:t>
      </w:r>
      <w:r>
        <w:rPr>
          <w:spacing w:val="-2"/>
        </w:rPr>
        <w:t> </w:t>
      </w:r>
      <w:r>
        <w:rPr/>
        <w:t>restricted</w:t>
      </w:r>
      <w:r>
        <w:rPr>
          <w:spacing w:val="-2"/>
        </w:rPr>
        <w:t> </w:t>
      </w:r>
      <w:r>
        <w:rPr/>
        <w:t>cash,</w:t>
      </w:r>
      <w:r>
        <w:rPr>
          <w:spacing w:val="-2"/>
        </w:rPr>
        <w:t> </w:t>
      </w:r>
      <w:r>
        <w:rPr/>
        <w:t>cash</w:t>
      </w:r>
      <w:r>
        <w:rPr>
          <w:spacing w:val="-2"/>
        </w:rPr>
        <w:t> </w:t>
      </w:r>
      <w:r>
        <w:rPr/>
        <w:t>equivalents,</w:t>
      </w:r>
      <w:r>
        <w:rPr>
          <w:spacing w:val="-2"/>
        </w:rPr>
        <w:t> </w:t>
      </w:r>
      <w:r>
        <w:rPr/>
        <w:t>and</w:t>
      </w:r>
      <w:r>
        <w:rPr>
          <w:spacing w:val="-2"/>
        </w:rPr>
        <w:t> </w:t>
      </w:r>
      <w:r>
        <w:rPr/>
        <w:t>marketable</w:t>
      </w:r>
      <w:r>
        <w:rPr>
          <w:spacing w:val="-2"/>
        </w:rPr>
        <w:t> </w:t>
      </w:r>
      <w:r>
        <w:rPr/>
        <w:t>securities</w:t>
      </w:r>
      <w:r>
        <w:rPr>
          <w:spacing w:val="-2"/>
        </w:rPr>
        <w:t> </w:t>
      </w:r>
      <w:r>
        <w:rPr/>
        <w:t>were</w:t>
      </w:r>
      <w:r>
        <w:rPr>
          <w:spacing w:val="-2"/>
        </w:rPr>
        <w:t> </w:t>
      </w:r>
      <w:r>
        <w:rPr/>
        <w:t>$503</w:t>
      </w:r>
      <w:r>
        <w:rPr>
          <w:spacing w:val="-2"/>
        </w:rPr>
        <w:t> </w:t>
      </w:r>
      <w:r>
        <w:rPr/>
        <w:t>million</w:t>
      </w:r>
      <w:r>
        <w:rPr>
          <w:spacing w:val="-2"/>
        </w:rPr>
        <w:t> </w:t>
      </w:r>
      <w:r>
        <w:rPr/>
        <w:t>and</w:t>
      </w:r>
      <w:r>
        <w:rPr>
          <w:spacing w:val="-2"/>
        </w:rPr>
        <w:t> </w:t>
      </w:r>
      <w:r>
        <w:rPr/>
        <w:t>$3.5</w:t>
      </w:r>
      <w:r>
        <w:rPr>
          <w:spacing w:val="-2"/>
        </w:rPr>
        <w:t> </w:t>
      </w:r>
      <w:r>
        <w:rPr/>
        <w:t>billion.</w:t>
      </w:r>
      <w:r>
        <w:rPr>
          <w:spacing w:val="-2"/>
        </w:rPr>
        <w:t> </w:t>
      </w:r>
      <w:r>
        <w:rPr/>
        <w:t>See</w:t>
      </w:r>
      <w:r>
        <w:rPr>
          <w:spacing w:val="-2"/>
        </w:rPr>
        <w:t> </w:t>
      </w:r>
      <w:r>
        <w:rPr/>
        <w:t>Item</w:t>
      </w:r>
      <w:r>
        <w:rPr>
          <w:spacing w:val="-2"/>
        </w:rPr>
        <w:t> </w:t>
      </w:r>
      <w:r>
        <w:rPr/>
        <w:t>8</w:t>
      </w:r>
      <w:r>
        <w:rPr>
          <w:spacing w:val="-2"/>
        </w:rPr>
        <w:t> </w:t>
      </w:r>
      <w:r>
        <w:rPr/>
        <w:t>of</w:t>
      </w:r>
      <w:r>
        <w:rPr>
          <w:spacing w:val="-2"/>
        </w:rPr>
        <w:t> </w:t>
      </w:r>
      <w:r>
        <w:rPr/>
        <w:t>Part</w:t>
      </w:r>
      <w:r>
        <w:rPr>
          <w:spacing w:val="-2"/>
        </w:rPr>
        <w:t> </w:t>
      </w:r>
      <w:r>
        <w:rPr/>
        <w:t>II, “Financial Statements and Supplementary Data — Note 6 — Debt” and “Financial Statements and Supplementary Data — Note 7 — Commitments and Contingencies” for additional discussion of our principal contractual commitments, as well as our pledged assets.</w:t>
      </w:r>
      <w:r>
        <w:rPr>
          <w:spacing w:val="-5"/>
        </w:rPr>
        <w:t> </w:t>
      </w:r>
      <w:r>
        <w:rPr/>
        <w:t>Additionally, we have purchase obligations and open purchase orders, including for inventory and capital expenditures, that support normal operations and are primarily due in the next twelve months.</w:t>
      </w:r>
    </w:p>
    <w:p>
      <w:pPr>
        <w:pStyle w:val="BodyText"/>
        <w:spacing w:before="3"/>
      </w:pPr>
      <w:r>
        <w:rPr/>
        <w:t>These</w:t>
      </w:r>
      <w:r>
        <w:rPr>
          <w:spacing w:val="-1"/>
        </w:rPr>
        <w:t> </w:t>
      </w:r>
      <w:r>
        <w:rPr/>
        <w:t>purchase</w:t>
      </w:r>
      <w:r>
        <w:rPr>
          <w:spacing w:val="-1"/>
        </w:rPr>
        <w:t> </w:t>
      </w:r>
      <w:r>
        <w:rPr/>
        <w:t>obligations</w:t>
      </w:r>
      <w:r>
        <w:rPr>
          <w:spacing w:val="-1"/>
        </w:rPr>
        <w:t> </w:t>
      </w:r>
      <w:r>
        <w:rPr/>
        <w:t>and</w:t>
      </w:r>
      <w:r>
        <w:rPr>
          <w:spacing w:val="-1"/>
        </w:rPr>
        <w:t> </w:t>
      </w:r>
      <w:r>
        <w:rPr/>
        <w:t>open</w:t>
      </w:r>
      <w:r>
        <w:rPr>
          <w:spacing w:val="-1"/>
        </w:rPr>
        <w:t> </w:t>
      </w:r>
      <w:r>
        <w:rPr/>
        <w:t>purchase</w:t>
      </w:r>
      <w:r>
        <w:rPr>
          <w:spacing w:val="-1"/>
        </w:rPr>
        <w:t> </w:t>
      </w:r>
      <w:r>
        <w:rPr/>
        <w:t>orders</w:t>
      </w:r>
      <w:r>
        <w:rPr>
          <w:spacing w:val="-1"/>
        </w:rPr>
        <w:t> </w:t>
      </w:r>
      <w:r>
        <w:rPr/>
        <w:t>are</w:t>
      </w:r>
      <w:r>
        <w:rPr>
          <w:spacing w:val="-1"/>
        </w:rPr>
        <w:t> </w:t>
      </w:r>
      <w:r>
        <w:rPr/>
        <w:t>generally</w:t>
      </w:r>
      <w:r>
        <w:rPr>
          <w:spacing w:val="-1"/>
        </w:rPr>
        <w:t> </w:t>
      </w:r>
      <w:r>
        <w:rPr/>
        <w:t>cancellable</w:t>
      </w:r>
      <w:r>
        <w:rPr>
          <w:spacing w:val="-1"/>
        </w:rPr>
        <w:t> </w:t>
      </w:r>
      <w:r>
        <w:rPr/>
        <w:t>in</w:t>
      </w:r>
      <w:r>
        <w:rPr>
          <w:spacing w:val="-1"/>
        </w:rPr>
        <w:t> </w:t>
      </w:r>
      <w:r>
        <w:rPr/>
        <w:t>full</w:t>
      </w:r>
      <w:r>
        <w:rPr>
          <w:spacing w:val="-1"/>
        </w:rPr>
        <w:t> </w:t>
      </w:r>
      <w:r>
        <w:rPr/>
        <w:t>or</w:t>
      </w:r>
      <w:r>
        <w:rPr>
          <w:spacing w:val="-1"/>
        </w:rPr>
        <w:t> </w:t>
      </w:r>
      <w:r>
        <w:rPr/>
        <w:t>in</w:t>
      </w:r>
      <w:r>
        <w:rPr>
          <w:spacing w:val="-1"/>
        </w:rPr>
        <w:t> </w:t>
      </w:r>
      <w:r>
        <w:rPr/>
        <w:t>part</w:t>
      </w:r>
      <w:r>
        <w:rPr>
          <w:spacing w:val="-1"/>
        </w:rPr>
        <w:t> </w:t>
      </w:r>
      <w:r>
        <w:rPr/>
        <w:t>through</w:t>
      </w:r>
      <w:r>
        <w:rPr>
          <w:spacing w:val="-1"/>
        </w:rPr>
        <w:t> </w:t>
      </w:r>
      <w:r>
        <w:rPr/>
        <w:t>the</w:t>
      </w:r>
      <w:r>
        <w:rPr>
          <w:spacing w:val="-1"/>
        </w:rPr>
        <w:t> </w:t>
      </w:r>
      <w:r>
        <w:rPr/>
        <w:t>contractual</w:t>
      </w:r>
      <w:r>
        <w:rPr>
          <w:spacing w:val="-1"/>
        </w:rPr>
        <w:t> </w:t>
      </w:r>
      <w:r>
        <w:rPr>
          <w:spacing w:val="-2"/>
        </w:rPr>
        <w:t>provisions.</w:t>
      </w:r>
    </w:p>
    <w:p>
      <w:pPr>
        <w:pStyle w:val="BodyText"/>
        <w:spacing w:line="249" w:lineRule="auto" w:before="103"/>
        <w:ind w:firstLine="445"/>
      </w:pPr>
      <w:r>
        <w:rPr/>
        <w:t>We believe that cash flows generated from operations and our cash, cash equivalents, and marketable securities balances, as well as our borrowing arrangements,</w:t>
      </w:r>
      <w:r>
        <w:rPr>
          <w:spacing w:val="-3"/>
        </w:rPr>
        <w:t> </w:t>
      </w:r>
      <w:r>
        <w:rPr/>
        <w:t>will</w:t>
      </w:r>
      <w:r>
        <w:rPr>
          <w:spacing w:val="-3"/>
        </w:rPr>
        <w:t> </w:t>
      </w:r>
      <w:r>
        <w:rPr/>
        <w:t>be</w:t>
      </w:r>
      <w:r>
        <w:rPr>
          <w:spacing w:val="-3"/>
        </w:rPr>
        <w:t> </w:t>
      </w:r>
      <w:r>
        <w:rPr/>
        <w:t>sufficient</w:t>
      </w:r>
      <w:r>
        <w:rPr>
          <w:spacing w:val="-3"/>
        </w:rPr>
        <w:t> </w:t>
      </w:r>
      <w:r>
        <w:rPr/>
        <w:t>to</w:t>
      </w:r>
      <w:r>
        <w:rPr>
          <w:spacing w:val="-3"/>
        </w:rPr>
        <w:t> </w:t>
      </w:r>
      <w:r>
        <w:rPr/>
        <w:t>meet</w:t>
      </w:r>
      <w:r>
        <w:rPr>
          <w:spacing w:val="-3"/>
        </w:rPr>
        <w:t> </w:t>
      </w:r>
      <w:r>
        <w:rPr/>
        <w:t>our</w:t>
      </w:r>
      <w:r>
        <w:rPr>
          <w:spacing w:val="-3"/>
        </w:rPr>
        <w:t> </w:t>
      </w:r>
      <w:r>
        <w:rPr/>
        <w:t>anticipated</w:t>
      </w:r>
      <w:r>
        <w:rPr>
          <w:spacing w:val="-3"/>
        </w:rPr>
        <w:t> </w:t>
      </w:r>
      <w:r>
        <w:rPr/>
        <w:t>operating</w:t>
      </w:r>
      <w:r>
        <w:rPr>
          <w:spacing w:val="-3"/>
        </w:rPr>
        <w:t> </w:t>
      </w:r>
      <w:r>
        <w:rPr/>
        <w:t>cash</w:t>
      </w:r>
      <w:r>
        <w:rPr>
          <w:spacing w:val="-3"/>
        </w:rPr>
        <w:t> </w:t>
      </w:r>
      <w:r>
        <w:rPr/>
        <w:t>needs</w:t>
      </w:r>
      <w:r>
        <w:rPr>
          <w:spacing w:val="-3"/>
        </w:rPr>
        <w:t> </w:t>
      </w:r>
      <w:r>
        <w:rPr/>
        <w:t>for</w:t>
      </w:r>
      <w:r>
        <w:rPr>
          <w:spacing w:val="-3"/>
        </w:rPr>
        <w:t> </w:t>
      </w:r>
      <w:r>
        <w:rPr/>
        <w:t>at</w:t>
      </w:r>
      <w:r>
        <w:rPr>
          <w:spacing w:val="-3"/>
        </w:rPr>
        <w:t> </w:t>
      </w:r>
      <w:r>
        <w:rPr/>
        <w:t>least</w:t>
      </w:r>
      <w:r>
        <w:rPr>
          <w:spacing w:val="-3"/>
        </w:rPr>
        <w:t> </w:t>
      </w:r>
      <w:r>
        <w:rPr/>
        <w:t>the</w:t>
      </w:r>
      <w:r>
        <w:rPr>
          <w:spacing w:val="-3"/>
        </w:rPr>
        <w:t> </w:t>
      </w:r>
      <w:r>
        <w:rPr/>
        <w:t>next</w:t>
      </w:r>
      <w:r>
        <w:rPr>
          <w:spacing w:val="-3"/>
        </w:rPr>
        <w:t> </w:t>
      </w:r>
      <w:r>
        <w:rPr/>
        <w:t>twelve</w:t>
      </w:r>
      <w:r>
        <w:rPr>
          <w:spacing w:val="-3"/>
        </w:rPr>
        <w:t> </w:t>
      </w:r>
      <w:r>
        <w:rPr/>
        <w:t>months.</w:t>
      </w:r>
      <w:r>
        <w:rPr>
          <w:spacing w:val="-3"/>
        </w:rPr>
        <w:t> </w:t>
      </w:r>
      <w:r>
        <w:rPr/>
        <w:t>However,</w:t>
      </w:r>
      <w:r>
        <w:rPr>
          <w:spacing w:val="-3"/>
        </w:rPr>
        <w:t> </w:t>
      </w:r>
      <w:r>
        <w:rPr/>
        <w:t>any</w:t>
      </w:r>
      <w:r>
        <w:rPr>
          <w:spacing w:val="-3"/>
        </w:rPr>
        <w:t> </w:t>
      </w:r>
      <w:r>
        <w:rPr/>
        <w:t>projections</w:t>
      </w:r>
      <w:r>
        <w:rPr>
          <w:spacing w:val="-3"/>
        </w:rPr>
        <w:t> </w:t>
      </w:r>
      <w:r>
        <w:rPr/>
        <w:t>of</w:t>
      </w:r>
      <w:r>
        <w:rPr>
          <w:spacing w:val="-3"/>
        </w:rPr>
        <w:t> </w:t>
      </w:r>
      <w:r>
        <w:rPr/>
        <w:t>future</w:t>
      </w:r>
      <w:r>
        <w:rPr>
          <w:spacing w:val="-3"/>
        </w:rPr>
        <w:t> </w:t>
      </w:r>
      <w:r>
        <w:rPr/>
        <w:t>cash</w:t>
      </w:r>
      <w:r>
        <w:rPr>
          <w:spacing w:val="-3"/>
        </w:rPr>
        <w:t> </w:t>
      </w:r>
      <w:r>
        <w:rPr/>
        <w:t>needs and cash flows are subject to substantial uncertainty. See Item 1A</w:t>
      </w:r>
      <w:r>
        <w:rPr>
          <w:spacing w:val="-6"/>
        </w:rPr>
        <w:t> </w:t>
      </w:r>
      <w:r>
        <w:rPr/>
        <w:t>of Part I, “Risk Factors.” We continually evaluate opportunities to sell additional equity or debt securities, obtain credit facilities, obtain finance and operating lease arrangements, enter into financing obligations, repurchase common stock, pay dividends, or repurchase, refinance, or otherwise restructure our debt for strategic reasons or to further strengthen our financial position.</w:t>
      </w:r>
    </w:p>
    <w:p>
      <w:pPr>
        <w:pStyle w:val="BodyText"/>
        <w:spacing w:line="249" w:lineRule="auto" w:before="85"/>
        <w:ind w:firstLine="445"/>
      </w:pPr>
      <w:r>
        <w:rPr/>
        <w:t>The sale of additional equity or convertible debt securities would be dilutive to our shareholders. In addition, we will, from time to time, consider the acquisition of, or investment in, complementary businesses, products, services, capital infrastructure, and technologies, which might affect our liquidity requirements or cause us to secure additional financing, or issue additional equity or debt securities. There can be no assurance that additional credit lines or financing</w:t>
      </w:r>
      <w:r>
        <w:rPr>
          <w:spacing w:val="-2"/>
        </w:rPr>
        <w:t> </w:t>
      </w:r>
      <w:r>
        <w:rPr/>
        <w:t>instruments</w:t>
      </w:r>
      <w:r>
        <w:rPr>
          <w:spacing w:val="-2"/>
        </w:rPr>
        <w:t> </w:t>
      </w:r>
      <w:r>
        <w:rPr/>
        <w:t>will</w:t>
      </w:r>
      <w:r>
        <w:rPr>
          <w:spacing w:val="-2"/>
        </w:rPr>
        <w:t> </w:t>
      </w:r>
      <w:r>
        <w:rPr/>
        <w:t>be</w:t>
      </w:r>
      <w:r>
        <w:rPr>
          <w:spacing w:val="-2"/>
        </w:rPr>
        <w:t> </w:t>
      </w:r>
      <w:r>
        <w:rPr/>
        <w:t>available</w:t>
      </w:r>
      <w:r>
        <w:rPr>
          <w:spacing w:val="-2"/>
        </w:rPr>
        <w:t> </w:t>
      </w:r>
      <w:r>
        <w:rPr/>
        <w:t>in</w:t>
      </w:r>
      <w:r>
        <w:rPr>
          <w:spacing w:val="-2"/>
        </w:rPr>
        <w:t> </w:t>
      </w:r>
      <w:r>
        <w:rPr/>
        <w:t>amounts</w:t>
      </w:r>
      <w:r>
        <w:rPr>
          <w:spacing w:val="-2"/>
        </w:rPr>
        <w:t> </w:t>
      </w:r>
      <w:r>
        <w:rPr/>
        <w:t>or</w:t>
      </w:r>
      <w:r>
        <w:rPr>
          <w:spacing w:val="-2"/>
        </w:rPr>
        <w:t> </w:t>
      </w:r>
      <w:r>
        <w:rPr/>
        <w:t>on</w:t>
      </w:r>
      <w:r>
        <w:rPr>
          <w:spacing w:val="-2"/>
        </w:rPr>
        <w:t> </w:t>
      </w:r>
      <w:r>
        <w:rPr/>
        <w:t>terms</w:t>
      </w:r>
      <w:r>
        <w:rPr>
          <w:spacing w:val="-2"/>
        </w:rPr>
        <w:t> </w:t>
      </w:r>
      <w:r>
        <w:rPr/>
        <w:t>acceptable</w:t>
      </w:r>
      <w:r>
        <w:rPr>
          <w:spacing w:val="-2"/>
        </w:rPr>
        <w:t> </w:t>
      </w:r>
      <w:r>
        <w:rPr/>
        <w:t>to</w:t>
      </w:r>
      <w:r>
        <w:rPr>
          <w:spacing w:val="-2"/>
        </w:rPr>
        <w:t> </w:t>
      </w:r>
      <w:r>
        <w:rPr/>
        <w:t>us,</w:t>
      </w:r>
      <w:r>
        <w:rPr>
          <w:spacing w:val="-2"/>
        </w:rPr>
        <w:t> </w:t>
      </w:r>
      <w:r>
        <w:rPr/>
        <w:t>if</w:t>
      </w:r>
      <w:r>
        <w:rPr>
          <w:spacing w:val="-2"/>
        </w:rPr>
        <w:t> </w:t>
      </w:r>
      <w:r>
        <w:rPr/>
        <w:t>at</w:t>
      </w:r>
      <w:r>
        <w:rPr>
          <w:spacing w:val="-2"/>
        </w:rPr>
        <w:t> </w:t>
      </w:r>
      <w:r>
        <w:rPr/>
        <w:t>all.</w:t>
      </w:r>
      <w:r>
        <w:rPr>
          <w:spacing w:val="-2"/>
        </w:rPr>
        <w:t> </w:t>
      </w:r>
      <w:r>
        <w:rPr/>
        <w:t>In</w:t>
      </w:r>
      <w:r>
        <w:rPr>
          <w:spacing w:val="-2"/>
        </w:rPr>
        <w:t> </w:t>
      </w:r>
      <w:r>
        <w:rPr/>
        <w:t>addition,</w:t>
      </w:r>
      <w:r>
        <w:rPr>
          <w:spacing w:val="-2"/>
        </w:rPr>
        <w:t> </w:t>
      </w:r>
      <w:r>
        <w:rPr/>
        <w:t>economic</w:t>
      </w:r>
      <w:r>
        <w:rPr>
          <w:spacing w:val="-2"/>
        </w:rPr>
        <w:t> </w:t>
      </w:r>
      <w:r>
        <w:rPr/>
        <w:t>conditions</w:t>
      </w:r>
      <w:r>
        <w:rPr>
          <w:spacing w:val="-2"/>
        </w:rPr>
        <w:t> </w:t>
      </w:r>
      <w:r>
        <w:rPr/>
        <w:t>and</w:t>
      </w:r>
      <w:r>
        <w:rPr>
          <w:spacing w:val="-2"/>
        </w:rPr>
        <w:t> </w:t>
      </w:r>
      <w:r>
        <w:rPr/>
        <w:t>actions</w:t>
      </w:r>
      <w:r>
        <w:rPr>
          <w:spacing w:val="-2"/>
        </w:rPr>
        <w:t> </w:t>
      </w:r>
      <w:r>
        <w:rPr/>
        <w:t>by</w:t>
      </w:r>
      <w:r>
        <w:rPr>
          <w:spacing w:val="-2"/>
        </w:rPr>
        <w:t> </w:t>
      </w:r>
      <w:r>
        <w:rPr/>
        <w:t>policymaking</w:t>
      </w:r>
      <w:r>
        <w:rPr>
          <w:spacing w:val="-2"/>
        </w:rPr>
        <w:t> </w:t>
      </w:r>
      <w:r>
        <w:rPr/>
        <w:t>bodies are</w:t>
      </w:r>
      <w:r>
        <w:rPr>
          <w:spacing w:val="-3"/>
        </w:rPr>
        <w:t> </w:t>
      </w:r>
      <w:r>
        <w:rPr/>
        <w:t>contributing</w:t>
      </w:r>
      <w:r>
        <w:rPr>
          <w:spacing w:val="-3"/>
        </w:rPr>
        <w:t> </w:t>
      </w:r>
      <w:r>
        <w:rPr/>
        <w:t>to</w:t>
      </w:r>
      <w:r>
        <w:rPr>
          <w:spacing w:val="-3"/>
        </w:rPr>
        <w:t> </w:t>
      </w:r>
      <w:r>
        <w:rPr/>
        <w:t>changing</w:t>
      </w:r>
      <w:r>
        <w:rPr>
          <w:spacing w:val="-3"/>
        </w:rPr>
        <w:t> </w:t>
      </w:r>
      <w:r>
        <w:rPr/>
        <w:t>interest</w:t>
      </w:r>
      <w:r>
        <w:rPr>
          <w:spacing w:val="-3"/>
        </w:rPr>
        <w:t> </w:t>
      </w:r>
      <w:r>
        <w:rPr/>
        <w:t>rates</w:t>
      </w:r>
      <w:r>
        <w:rPr>
          <w:spacing w:val="-3"/>
        </w:rPr>
        <w:t> </w:t>
      </w:r>
      <w:r>
        <w:rPr/>
        <w:t>and</w:t>
      </w:r>
      <w:r>
        <w:rPr>
          <w:spacing w:val="-3"/>
        </w:rPr>
        <w:t> </w:t>
      </w:r>
      <w:r>
        <w:rPr/>
        <w:t>significant</w:t>
      </w:r>
      <w:r>
        <w:rPr>
          <w:spacing w:val="-3"/>
        </w:rPr>
        <w:t> </w:t>
      </w:r>
      <w:r>
        <w:rPr/>
        <w:t>capital</w:t>
      </w:r>
      <w:r>
        <w:rPr>
          <w:spacing w:val="-3"/>
        </w:rPr>
        <w:t> </w:t>
      </w:r>
      <w:r>
        <w:rPr/>
        <w:t>market</w:t>
      </w:r>
      <w:r>
        <w:rPr>
          <w:spacing w:val="-3"/>
        </w:rPr>
        <w:t> </w:t>
      </w:r>
      <w:r>
        <w:rPr/>
        <w:t>volatility,</w:t>
      </w:r>
      <w:r>
        <w:rPr>
          <w:spacing w:val="-3"/>
        </w:rPr>
        <w:t> </w:t>
      </w:r>
      <w:r>
        <w:rPr/>
        <w:t>which,</w:t>
      </w:r>
      <w:r>
        <w:rPr>
          <w:spacing w:val="-3"/>
        </w:rPr>
        <w:t> </w:t>
      </w:r>
      <w:r>
        <w:rPr/>
        <w:t>along</w:t>
      </w:r>
      <w:r>
        <w:rPr>
          <w:spacing w:val="-3"/>
        </w:rPr>
        <w:t> </w:t>
      </w:r>
      <w:r>
        <w:rPr/>
        <w:t>with</w:t>
      </w:r>
      <w:r>
        <w:rPr>
          <w:spacing w:val="-3"/>
        </w:rPr>
        <w:t> </w:t>
      </w:r>
      <w:r>
        <w:rPr/>
        <w:t>any</w:t>
      </w:r>
      <w:r>
        <w:rPr>
          <w:spacing w:val="-3"/>
        </w:rPr>
        <w:t> </w:t>
      </w:r>
      <w:r>
        <w:rPr/>
        <w:t>increases</w:t>
      </w:r>
      <w:r>
        <w:rPr>
          <w:spacing w:val="-3"/>
        </w:rPr>
        <w:t> </w:t>
      </w:r>
      <w:r>
        <w:rPr/>
        <w:t>in</w:t>
      </w:r>
      <w:r>
        <w:rPr>
          <w:spacing w:val="-3"/>
        </w:rPr>
        <w:t> </w:t>
      </w:r>
      <w:r>
        <w:rPr/>
        <w:t>our</w:t>
      </w:r>
      <w:r>
        <w:rPr>
          <w:spacing w:val="-3"/>
        </w:rPr>
        <w:t> </w:t>
      </w:r>
      <w:r>
        <w:rPr/>
        <w:t>borrowing</w:t>
      </w:r>
      <w:r>
        <w:rPr>
          <w:spacing w:val="-3"/>
        </w:rPr>
        <w:t> </w:t>
      </w:r>
      <w:r>
        <w:rPr/>
        <w:t>levels,</w:t>
      </w:r>
      <w:r>
        <w:rPr>
          <w:spacing w:val="-3"/>
        </w:rPr>
        <w:t> </w:t>
      </w:r>
      <w:r>
        <w:rPr/>
        <w:t>could</w:t>
      </w:r>
      <w:r>
        <w:rPr>
          <w:spacing w:val="-3"/>
        </w:rPr>
        <w:t> </w:t>
      </w:r>
      <w:r>
        <w:rPr/>
        <w:t>increase</w:t>
      </w:r>
      <w:r>
        <w:rPr>
          <w:spacing w:val="-3"/>
        </w:rPr>
        <w:t> </w:t>
      </w:r>
      <w:r>
        <w:rPr/>
        <w:t>our future borrowing costs.</w:t>
      </w:r>
    </w:p>
    <w:p>
      <w:pPr>
        <w:pStyle w:val="BodyText"/>
        <w:ind w:left="0"/>
      </w:pPr>
    </w:p>
    <w:p>
      <w:pPr>
        <w:pStyle w:val="BodyText"/>
        <w:spacing w:before="144"/>
        <w:ind w:left="0"/>
      </w:pPr>
    </w:p>
    <w:p>
      <w:pPr>
        <w:pStyle w:val="BodyText"/>
        <w:jc w:val="center"/>
      </w:pPr>
      <w:r>
        <w:rPr/>
        <mc:AlternateContent>
          <mc:Choice Requires="wps">
            <w:drawing>
              <wp:anchor distT="0" distB="0" distL="0" distR="0" allowOverlap="1" layoutInCell="1" locked="0" behindDoc="0" simplePos="0" relativeHeight="15730688">
                <wp:simplePos x="0" y="0"/>
                <wp:positionH relativeFrom="page">
                  <wp:posOffset>231457</wp:posOffset>
                </wp:positionH>
                <wp:positionV relativeFrom="paragraph">
                  <wp:posOffset>201113</wp:posOffset>
                </wp:positionV>
                <wp:extent cx="7312659" cy="1714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312659" cy="17145"/>
                          <a:chExt cx="7312659" cy="17145"/>
                        </a:xfrm>
                      </wpg:grpSpPr>
                      <wps:wsp>
                        <wps:cNvPr id="16" name="Graphic 1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3569pt;width:575.8pt;height:1.35pt;mso-position-horizontal-relative:page;mso-position-vertical-relative:paragraph;z-index:15730688" id="docshapegroup15" coordorigin="364,317" coordsize="11516,27">
                <v:rect style="position:absolute;left:364;top:316;width:11516;height:14" id="docshape16" filled="true" fillcolor="#999999" stroked="false">
                  <v:fill type="solid"/>
                </v:rect>
                <v:shape style="position:absolute;left:364;top:316;width:11516;height:27" id="docshape17" coordorigin="364,317" coordsize="11516,27" path="m11880,317l11866,330,364,330,364,344,11866,344,11880,344,11880,330,11880,317xe" filled="true" fillcolor="#ededed" stroked="false">
                  <v:path arrowok="t"/>
                  <v:fill type="solid"/>
                </v:shape>
                <v:shape style="position:absolute;left:364;top:316;width:14;height:27" id="docshape18" coordorigin="364,317" coordsize="14,27" path="m364,344l364,317,378,317,378,330,364,344xe" filled="true" fillcolor="#999999" stroked="false">
                  <v:path arrowok="t"/>
                  <v:fill type="solid"/>
                </v:shape>
                <w10:wrap type="none"/>
              </v:group>
            </w:pict>
          </mc:Fallback>
        </mc:AlternateContent>
      </w:r>
      <w:r>
        <w:rPr>
          <w:spacing w:val="-5"/>
        </w:rPr>
        <w:t>23</w:t>
      </w:r>
    </w:p>
    <w:p>
      <w:pPr>
        <w:pStyle w:val="BodyText"/>
        <w:spacing w:after="0"/>
        <w:jc w:val="center"/>
        <w:sectPr>
          <w:pgSz w:w="12240" w:h="15840"/>
          <w:pgMar w:header="460" w:footer="0" w:top="1180" w:bottom="280" w:left="360" w:right="360"/>
        </w:sectPr>
      </w:pPr>
    </w:p>
    <w:p>
      <w:pPr>
        <w:pStyle w:val="BodyText"/>
        <w:spacing w:before="64"/>
        <w:ind w:left="0"/>
      </w:pPr>
    </w:p>
    <w:p>
      <w:pPr>
        <w:pStyle w:val="Heading1"/>
      </w:pPr>
      <w:r>
        <w:rPr/>
        <w:t>Results</w:t>
      </w:r>
      <w:r>
        <w:rPr>
          <w:spacing w:val="-1"/>
        </w:rPr>
        <w:t> </w:t>
      </w:r>
      <w:r>
        <w:rPr/>
        <w:t>of</w:t>
      </w:r>
      <w:r>
        <w:rPr>
          <w:spacing w:val="-1"/>
        </w:rPr>
        <w:t> </w:t>
      </w:r>
      <w:r>
        <w:rPr>
          <w:spacing w:val="-2"/>
        </w:rPr>
        <w:t>Operations</w:t>
      </w:r>
    </w:p>
    <w:p>
      <w:pPr>
        <w:pStyle w:val="BodyText"/>
        <w:spacing w:line="249" w:lineRule="auto" w:before="104"/>
        <w:ind w:right="122" w:firstLine="445"/>
      </w:pPr>
      <w:r>
        <w:rPr/>
        <w:t>We</w:t>
      </w:r>
      <w:r>
        <w:rPr>
          <w:spacing w:val="-6"/>
        </w:rPr>
        <w:t> </w:t>
      </w:r>
      <w:r>
        <w:rPr/>
        <w:t>have</w:t>
      </w:r>
      <w:r>
        <w:rPr>
          <w:spacing w:val="-4"/>
        </w:rPr>
        <w:t> </w:t>
      </w:r>
      <w:r>
        <w:rPr/>
        <w:t>organized</w:t>
      </w:r>
      <w:r>
        <w:rPr>
          <w:spacing w:val="-4"/>
        </w:rPr>
        <w:t> </w:t>
      </w:r>
      <w:r>
        <w:rPr/>
        <w:t>our</w:t>
      </w:r>
      <w:r>
        <w:rPr>
          <w:spacing w:val="-4"/>
        </w:rPr>
        <w:t> </w:t>
      </w:r>
      <w:r>
        <w:rPr/>
        <w:t>operations</w:t>
      </w:r>
      <w:r>
        <w:rPr>
          <w:spacing w:val="-4"/>
        </w:rPr>
        <w:t> </w:t>
      </w:r>
      <w:r>
        <w:rPr/>
        <w:t>into</w:t>
      </w:r>
      <w:r>
        <w:rPr>
          <w:spacing w:val="-4"/>
        </w:rPr>
        <w:t> </w:t>
      </w:r>
      <w:r>
        <w:rPr/>
        <w:t>three</w:t>
      </w:r>
      <w:r>
        <w:rPr>
          <w:spacing w:val="-4"/>
        </w:rPr>
        <w:t> </w:t>
      </w:r>
      <w:r>
        <w:rPr/>
        <w:t>segments:</w:t>
      </w:r>
      <w:r>
        <w:rPr>
          <w:spacing w:val="-4"/>
        </w:rPr>
        <w:t> </w:t>
      </w:r>
      <w:r>
        <w:rPr/>
        <w:t>North</w:t>
      </w:r>
      <w:r>
        <w:rPr>
          <w:spacing w:val="-12"/>
        </w:rPr>
        <w:t> </w:t>
      </w:r>
      <w:r>
        <w:rPr/>
        <w:t>America,</w:t>
      </w:r>
      <w:r>
        <w:rPr>
          <w:spacing w:val="-3"/>
        </w:rPr>
        <w:t> </w:t>
      </w:r>
      <w:r>
        <w:rPr/>
        <w:t>International,</w:t>
      </w:r>
      <w:r>
        <w:rPr>
          <w:spacing w:val="-4"/>
        </w:rPr>
        <w:t> </w:t>
      </w:r>
      <w:r>
        <w:rPr/>
        <w:t>and</w:t>
      </w:r>
      <w:r>
        <w:rPr>
          <w:spacing w:val="-12"/>
        </w:rPr>
        <w:t> </w:t>
      </w:r>
      <w:r>
        <w:rPr/>
        <w:t>AWS.</w:t>
      </w:r>
      <w:r>
        <w:rPr>
          <w:spacing w:val="-6"/>
        </w:rPr>
        <w:t> </w:t>
      </w:r>
      <w:r>
        <w:rPr/>
        <w:t>These</w:t>
      </w:r>
      <w:r>
        <w:rPr>
          <w:spacing w:val="-4"/>
        </w:rPr>
        <w:t> </w:t>
      </w:r>
      <w:r>
        <w:rPr/>
        <w:t>segments</w:t>
      </w:r>
      <w:r>
        <w:rPr>
          <w:spacing w:val="-4"/>
        </w:rPr>
        <w:t> </w:t>
      </w:r>
      <w:r>
        <w:rPr/>
        <w:t>reflect</w:t>
      </w:r>
      <w:r>
        <w:rPr>
          <w:spacing w:val="-4"/>
        </w:rPr>
        <w:t> </w:t>
      </w:r>
      <w:r>
        <w:rPr/>
        <w:t>the</w:t>
      </w:r>
      <w:r>
        <w:rPr>
          <w:spacing w:val="-4"/>
        </w:rPr>
        <w:t> </w:t>
      </w:r>
      <w:r>
        <w:rPr/>
        <w:t>way</w:t>
      </w:r>
      <w:r>
        <w:rPr>
          <w:spacing w:val="-4"/>
        </w:rPr>
        <w:t> </w:t>
      </w:r>
      <w:r>
        <w:rPr/>
        <w:t>the</w:t>
      </w:r>
      <w:r>
        <w:rPr>
          <w:spacing w:val="-4"/>
        </w:rPr>
        <w:t> </w:t>
      </w:r>
      <w:r>
        <w:rPr/>
        <w:t>Company</w:t>
      </w:r>
      <w:r>
        <w:rPr>
          <w:spacing w:val="-4"/>
        </w:rPr>
        <w:t> </w:t>
      </w:r>
      <w:r>
        <w:rPr/>
        <w:t>evaluates its business performance and manages its operations. See Item 8 of Part II, “Financial Statements and Supplementary Data — Note 10 — Segment </w:t>
      </w:r>
      <w:r>
        <w:rPr>
          <w:spacing w:val="-2"/>
        </w:rPr>
        <w:t>Information.”</w:t>
      </w:r>
    </w:p>
    <w:p>
      <w:pPr>
        <w:pStyle w:val="BodyText"/>
        <w:spacing w:before="51"/>
        <w:ind w:left="0"/>
      </w:pPr>
    </w:p>
    <w:p>
      <w:pPr>
        <w:spacing w:before="0"/>
        <w:ind w:left="206" w:right="0" w:firstLine="0"/>
        <w:jc w:val="left"/>
        <w:rPr>
          <w:i/>
          <w:sz w:val="18"/>
        </w:rPr>
      </w:pPr>
      <w:r>
        <w:rPr>
          <w:i/>
          <w:spacing w:val="-2"/>
          <w:sz w:val="18"/>
        </w:rPr>
        <w:t>Overview</w:t>
      </w:r>
    </w:p>
    <w:p>
      <w:pPr>
        <w:pStyle w:val="BodyText"/>
        <w:spacing w:line="249" w:lineRule="auto" w:before="90"/>
        <w:ind w:firstLine="445"/>
      </w:pPr>
      <w:r>
        <w:rPr/>
        <w:t>Macroeconomic factors, including changes in inflation and interest rates, global economic and geopolitical developments, and the development and adoption</w:t>
      </w:r>
      <w:r>
        <w:rPr>
          <w:spacing w:val="-2"/>
        </w:rPr>
        <w:t> </w:t>
      </w:r>
      <w:r>
        <w:rPr/>
        <w:t>of</w:t>
      </w:r>
      <w:r>
        <w:rPr>
          <w:spacing w:val="-2"/>
        </w:rPr>
        <w:t> </w:t>
      </w:r>
      <w:r>
        <w:rPr/>
        <w:t>technologies</w:t>
      </w:r>
      <w:r>
        <w:rPr>
          <w:spacing w:val="-2"/>
        </w:rPr>
        <w:t> </w:t>
      </w:r>
      <w:r>
        <w:rPr/>
        <w:t>and</w:t>
      </w:r>
      <w:r>
        <w:rPr>
          <w:spacing w:val="-2"/>
        </w:rPr>
        <w:t> </w:t>
      </w:r>
      <w:r>
        <w:rPr/>
        <w:t>services,</w:t>
      </w:r>
      <w:r>
        <w:rPr>
          <w:spacing w:val="-2"/>
        </w:rPr>
        <w:t> </w:t>
      </w:r>
      <w:r>
        <w:rPr/>
        <w:t>including</w:t>
      </w:r>
      <w:r>
        <w:rPr>
          <w:spacing w:val="-2"/>
        </w:rPr>
        <w:t> </w:t>
      </w:r>
      <w:r>
        <w:rPr/>
        <w:t>artificial</w:t>
      </w:r>
      <w:r>
        <w:rPr>
          <w:spacing w:val="-2"/>
        </w:rPr>
        <w:t> </w:t>
      </w:r>
      <w:r>
        <w:rPr/>
        <w:t>intelligence,</w:t>
      </w:r>
      <w:r>
        <w:rPr>
          <w:spacing w:val="-2"/>
        </w:rPr>
        <w:t> </w:t>
      </w:r>
      <w:r>
        <w:rPr/>
        <w:t>have</w:t>
      </w:r>
      <w:r>
        <w:rPr>
          <w:spacing w:val="-2"/>
        </w:rPr>
        <w:t> </w:t>
      </w:r>
      <w:r>
        <w:rPr/>
        <w:t>direct</w:t>
      </w:r>
      <w:r>
        <w:rPr>
          <w:spacing w:val="-2"/>
        </w:rPr>
        <w:t> </w:t>
      </w:r>
      <w:r>
        <w:rPr/>
        <w:t>and</w:t>
      </w:r>
      <w:r>
        <w:rPr>
          <w:spacing w:val="-2"/>
        </w:rPr>
        <w:t> </w:t>
      </w:r>
      <w:r>
        <w:rPr/>
        <w:t>indirect</w:t>
      </w:r>
      <w:r>
        <w:rPr>
          <w:spacing w:val="-2"/>
        </w:rPr>
        <w:t> </w:t>
      </w:r>
      <w:r>
        <w:rPr/>
        <w:t>impacts</w:t>
      </w:r>
      <w:r>
        <w:rPr>
          <w:spacing w:val="-2"/>
        </w:rPr>
        <w:t> </w:t>
      </w:r>
      <w:r>
        <w:rPr/>
        <w:t>on</w:t>
      </w:r>
      <w:r>
        <w:rPr>
          <w:spacing w:val="-2"/>
        </w:rPr>
        <w:t> </w:t>
      </w:r>
      <w:r>
        <w:rPr/>
        <w:t>our</w:t>
      </w:r>
      <w:r>
        <w:rPr>
          <w:spacing w:val="-2"/>
        </w:rPr>
        <w:t> </w:t>
      </w:r>
      <w:r>
        <w:rPr/>
        <w:t>results</w:t>
      </w:r>
      <w:r>
        <w:rPr>
          <w:spacing w:val="-2"/>
        </w:rPr>
        <w:t> </w:t>
      </w:r>
      <w:r>
        <w:rPr/>
        <w:t>of</w:t>
      </w:r>
      <w:r>
        <w:rPr>
          <w:spacing w:val="-2"/>
        </w:rPr>
        <w:t> </w:t>
      </w:r>
      <w:r>
        <w:rPr/>
        <w:t>operations</w:t>
      </w:r>
      <w:r>
        <w:rPr>
          <w:spacing w:val="-2"/>
        </w:rPr>
        <w:t> </w:t>
      </w:r>
      <w:r>
        <w:rPr/>
        <w:t>that</w:t>
      </w:r>
      <w:r>
        <w:rPr>
          <w:spacing w:val="-2"/>
        </w:rPr>
        <w:t> </w:t>
      </w:r>
      <w:r>
        <w:rPr/>
        <w:t>are</w:t>
      </w:r>
      <w:r>
        <w:rPr>
          <w:spacing w:val="-2"/>
        </w:rPr>
        <w:t> </w:t>
      </w:r>
      <w:r>
        <w:rPr/>
        <w:t>difficult</w:t>
      </w:r>
      <w:r>
        <w:rPr>
          <w:spacing w:val="-2"/>
        </w:rPr>
        <w:t> </w:t>
      </w:r>
      <w:r>
        <w:rPr/>
        <w:t>to</w:t>
      </w:r>
      <w:r>
        <w:rPr>
          <w:spacing w:val="-2"/>
        </w:rPr>
        <w:t> </w:t>
      </w:r>
      <w:r>
        <w:rPr/>
        <w:t>isolate and</w:t>
      </w:r>
      <w:r>
        <w:rPr>
          <w:spacing w:val="-2"/>
        </w:rPr>
        <w:t> </w:t>
      </w:r>
      <w:r>
        <w:rPr/>
        <w:t>quantify.</w:t>
      </w:r>
      <w:r>
        <w:rPr>
          <w:spacing w:val="-5"/>
        </w:rPr>
        <w:t> </w:t>
      </w:r>
      <w:r>
        <w:rPr/>
        <w:t>These</w:t>
      </w:r>
      <w:r>
        <w:rPr>
          <w:spacing w:val="-2"/>
        </w:rPr>
        <w:t> </w:t>
      </w:r>
      <w:r>
        <w:rPr/>
        <w:t>could</w:t>
      </w:r>
      <w:r>
        <w:rPr>
          <w:spacing w:val="-2"/>
        </w:rPr>
        <w:t> </w:t>
      </w:r>
      <w:r>
        <w:rPr/>
        <w:t>affect</w:t>
      </w:r>
      <w:r>
        <w:rPr>
          <w:spacing w:val="-2"/>
        </w:rPr>
        <w:t> </w:t>
      </w:r>
      <w:r>
        <w:rPr/>
        <w:t>customer</w:t>
      </w:r>
      <w:r>
        <w:rPr>
          <w:spacing w:val="-2"/>
        </w:rPr>
        <w:t> </w:t>
      </w:r>
      <w:r>
        <w:rPr/>
        <w:t>demand</w:t>
      </w:r>
      <w:r>
        <w:rPr>
          <w:spacing w:val="-2"/>
        </w:rPr>
        <w:t> </w:t>
      </w:r>
      <w:r>
        <w:rPr/>
        <w:t>for</w:t>
      </w:r>
      <w:r>
        <w:rPr>
          <w:spacing w:val="-2"/>
        </w:rPr>
        <w:t> </w:t>
      </w:r>
      <w:r>
        <w:rPr/>
        <w:t>our</w:t>
      </w:r>
      <w:r>
        <w:rPr>
          <w:spacing w:val="-2"/>
        </w:rPr>
        <w:t> </w:t>
      </w:r>
      <w:r>
        <w:rPr/>
        <w:t>products</w:t>
      </w:r>
      <w:r>
        <w:rPr>
          <w:spacing w:val="-2"/>
        </w:rPr>
        <w:t> </w:t>
      </w:r>
      <w:r>
        <w:rPr/>
        <w:t>and</w:t>
      </w:r>
      <w:r>
        <w:rPr>
          <w:spacing w:val="-2"/>
        </w:rPr>
        <w:t> </w:t>
      </w:r>
      <w:r>
        <w:rPr/>
        <w:t>services,</w:t>
      </w:r>
      <w:r>
        <w:rPr>
          <w:spacing w:val="-2"/>
        </w:rPr>
        <w:t> </w:t>
      </w:r>
      <w:r>
        <w:rPr/>
        <w:t>our</w:t>
      </w:r>
      <w:r>
        <w:rPr>
          <w:spacing w:val="-2"/>
        </w:rPr>
        <w:t> </w:t>
      </w:r>
      <w:r>
        <w:rPr/>
        <w:t>ability</w:t>
      </w:r>
      <w:r>
        <w:rPr>
          <w:spacing w:val="-2"/>
        </w:rPr>
        <w:t> </w:t>
      </w:r>
      <w:r>
        <w:rPr/>
        <w:t>to</w:t>
      </w:r>
      <w:r>
        <w:rPr>
          <w:spacing w:val="-2"/>
        </w:rPr>
        <w:t> </w:t>
      </w:r>
      <w:r>
        <w:rPr/>
        <w:t>predict</w:t>
      </w:r>
      <w:r>
        <w:rPr>
          <w:spacing w:val="-2"/>
        </w:rPr>
        <w:t> </w:t>
      </w:r>
      <w:r>
        <w:rPr/>
        <w:t>growth</w:t>
      </w:r>
      <w:r>
        <w:rPr>
          <w:spacing w:val="-2"/>
        </w:rPr>
        <w:t> </w:t>
      </w:r>
      <w:r>
        <w:rPr/>
        <w:t>needs,</w:t>
      </w:r>
      <w:r>
        <w:rPr>
          <w:spacing w:val="-2"/>
        </w:rPr>
        <w:t> </w:t>
      </w:r>
      <w:r>
        <w:rPr/>
        <w:t>expenses,</w:t>
      </w:r>
      <w:r>
        <w:rPr>
          <w:spacing w:val="-2"/>
        </w:rPr>
        <w:t> </w:t>
      </w:r>
      <w:r>
        <w:rPr/>
        <w:t>and</w:t>
      </w:r>
      <w:r>
        <w:rPr>
          <w:spacing w:val="-2"/>
        </w:rPr>
        <w:t> </w:t>
      </w:r>
      <w:r>
        <w:rPr/>
        <w:t>the</w:t>
      </w:r>
      <w:r>
        <w:rPr>
          <w:spacing w:val="-2"/>
        </w:rPr>
        <w:t> </w:t>
      </w:r>
      <w:r>
        <w:rPr/>
        <w:t>benefits</w:t>
      </w:r>
      <w:r>
        <w:rPr>
          <w:spacing w:val="-2"/>
        </w:rPr>
        <w:t> </w:t>
      </w:r>
      <w:r>
        <w:rPr/>
        <w:t>we</w:t>
      </w:r>
      <w:r>
        <w:rPr>
          <w:spacing w:val="-2"/>
        </w:rPr>
        <w:t> </w:t>
      </w:r>
      <w:r>
        <w:rPr/>
        <w:t>gain</w:t>
      </w:r>
      <w:r>
        <w:rPr>
          <w:spacing w:val="-2"/>
        </w:rPr>
        <w:t> </w:t>
      </w:r>
      <w:r>
        <w:rPr/>
        <w:t>from new technologies. We expect some or all of them to continue to impact our operations into Q1 2025.</w:t>
      </w:r>
    </w:p>
    <w:p>
      <w:pPr>
        <w:pStyle w:val="BodyText"/>
        <w:spacing w:before="53"/>
        <w:ind w:left="0"/>
      </w:pPr>
    </w:p>
    <w:p>
      <w:pPr>
        <w:spacing w:before="0"/>
        <w:ind w:left="206" w:right="0" w:firstLine="0"/>
        <w:jc w:val="left"/>
        <w:rPr>
          <w:i/>
          <w:sz w:val="18"/>
        </w:rPr>
      </w:pPr>
      <w:r>
        <w:rPr>
          <w:i/>
          <w:sz w:val="18"/>
        </w:rPr>
        <w:t>Net</w:t>
      </w:r>
      <w:r>
        <w:rPr>
          <w:i/>
          <w:spacing w:val="-1"/>
          <w:sz w:val="18"/>
        </w:rPr>
        <w:t> </w:t>
      </w:r>
      <w:r>
        <w:rPr>
          <w:i/>
          <w:spacing w:val="-2"/>
          <w:sz w:val="18"/>
        </w:rPr>
        <w:t>Sales</w:t>
      </w:r>
    </w:p>
    <w:p>
      <w:pPr>
        <w:pStyle w:val="BodyText"/>
        <w:spacing w:line="249" w:lineRule="auto" w:before="103"/>
        <w:ind w:firstLine="445"/>
      </w:pPr>
      <w:r>
        <w:rPr/>
        <w:t>Net</w:t>
      </w:r>
      <w:r>
        <w:rPr>
          <w:spacing w:val="-2"/>
        </w:rPr>
        <w:t> </w:t>
      </w:r>
      <w:r>
        <w:rPr/>
        <w:t>sales</w:t>
      </w:r>
      <w:r>
        <w:rPr>
          <w:spacing w:val="-2"/>
        </w:rPr>
        <w:t> </w:t>
      </w:r>
      <w:r>
        <w:rPr/>
        <w:t>include</w:t>
      </w:r>
      <w:r>
        <w:rPr>
          <w:spacing w:val="-2"/>
        </w:rPr>
        <w:t> </w:t>
      </w:r>
      <w:r>
        <w:rPr/>
        <w:t>product</w:t>
      </w:r>
      <w:r>
        <w:rPr>
          <w:spacing w:val="-2"/>
        </w:rPr>
        <w:t> </w:t>
      </w:r>
      <w:r>
        <w:rPr/>
        <w:t>and</w:t>
      </w:r>
      <w:r>
        <w:rPr>
          <w:spacing w:val="-2"/>
        </w:rPr>
        <w:t> </w:t>
      </w:r>
      <w:r>
        <w:rPr/>
        <w:t>service</w:t>
      </w:r>
      <w:r>
        <w:rPr>
          <w:spacing w:val="-2"/>
        </w:rPr>
        <w:t> </w:t>
      </w:r>
      <w:r>
        <w:rPr/>
        <w:t>sales.</w:t>
      </w:r>
      <w:r>
        <w:rPr>
          <w:spacing w:val="-2"/>
        </w:rPr>
        <w:t> </w:t>
      </w:r>
      <w:r>
        <w:rPr/>
        <w:t>Product</w:t>
      </w:r>
      <w:r>
        <w:rPr>
          <w:spacing w:val="-2"/>
        </w:rPr>
        <w:t> </w:t>
      </w:r>
      <w:r>
        <w:rPr/>
        <w:t>sales</w:t>
      </w:r>
      <w:r>
        <w:rPr>
          <w:spacing w:val="-2"/>
        </w:rPr>
        <w:t> </w:t>
      </w:r>
      <w:r>
        <w:rPr/>
        <w:t>represent</w:t>
      </w:r>
      <w:r>
        <w:rPr>
          <w:spacing w:val="-2"/>
        </w:rPr>
        <w:t> </w:t>
      </w:r>
      <w:r>
        <w:rPr/>
        <w:t>revenue</w:t>
      </w:r>
      <w:r>
        <w:rPr>
          <w:spacing w:val="-2"/>
        </w:rPr>
        <w:t> </w:t>
      </w:r>
      <w:r>
        <w:rPr/>
        <w:t>from</w:t>
      </w:r>
      <w:r>
        <w:rPr>
          <w:spacing w:val="-2"/>
        </w:rPr>
        <w:t> </w:t>
      </w:r>
      <w:r>
        <w:rPr/>
        <w:t>the</w:t>
      </w:r>
      <w:r>
        <w:rPr>
          <w:spacing w:val="-2"/>
        </w:rPr>
        <w:t> </w:t>
      </w:r>
      <w:r>
        <w:rPr/>
        <w:t>sale</w:t>
      </w:r>
      <w:r>
        <w:rPr>
          <w:spacing w:val="-2"/>
        </w:rPr>
        <w:t> </w:t>
      </w:r>
      <w:r>
        <w:rPr/>
        <w:t>of</w:t>
      </w:r>
      <w:r>
        <w:rPr>
          <w:spacing w:val="-2"/>
        </w:rPr>
        <w:t> </w:t>
      </w:r>
      <w:r>
        <w:rPr/>
        <w:t>products</w:t>
      </w:r>
      <w:r>
        <w:rPr>
          <w:spacing w:val="-2"/>
        </w:rPr>
        <w:t> </w:t>
      </w:r>
      <w:r>
        <w:rPr/>
        <w:t>and</w:t>
      </w:r>
      <w:r>
        <w:rPr>
          <w:spacing w:val="-2"/>
        </w:rPr>
        <w:t> </w:t>
      </w:r>
      <w:r>
        <w:rPr/>
        <w:t>related</w:t>
      </w:r>
      <w:r>
        <w:rPr>
          <w:spacing w:val="-2"/>
        </w:rPr>
        <w:t> </w:t>
      </w:r>
      <w:r>
        <w:rPr/>
        <w:t>shipping</w:t>
      </w:r>
      <w:r>
        <w:rPr>
          <w:spacing w:val="-2"/>
        </w:rPr>
        <w:t> </w:t>
      </w:r>
      <w:r>
        <w:rPr/>
        <w:t>fees</w:t>
      </w:r>
      <w:r>
        <w:rPr>
          <w:spacing w:val="-2"/>
        </w:rPr>
        <w:t> </w:t>
      </w:r>
      <w:r>
        <w:rPr/>
        <w:t>and</w:t>
      </w:r>
      <w:r>
        <w:rPr>
          <w:spacing w:val="-2"/>
        </w:rPr>
        <w:t> </w:t>
      </w:r>
      <w:r>
        <w:rPr/>
        <w:t>digital</w:t>
      </w:r>
      <w:r>
        <w:rPr>
          <w:spacing w:val="-2"/>
        </w:rPr>
        <w:t> </w:t>
      </w:r>
      <w:r>
        <w:rPr/>
        <w:t>media</w:t>
      </w:r>
      <w:r>
        <w:rPr>
          <w:spacing w:val="-2"/>
        </w:rPr>
        <w:t> </w:t>
      </w:r>
      <w:r>
        <w:rPr/>
        <w:t>content where we record revenue gross. Service sales primarily represent third-party seller fees, which includes commissions and any related fulfillment and shipping fees,</w:t>
      </w:r>
      <w:r>
        <w:rPr>
          <w:spacing w:val="-9"/>
        </w:rPr>
        <w:t> </w:t>
      </w:r>
      <w:r>
        <w:rPr/>
        <w:t>AWS sales, advertising services,</w:t>
      </w:r>
      <w:r>
        <w:rPr>
          <w:spacing w:val="-9"/>
        </w:rPr>
        <w:t> </w:t>
      </w:r>
      <w:r>
        <w:rPr/>
        <w:t>Amazon Prime membership fees, and certain digital media content subscriptions. Net sales information is as follows (in </w:t>
      </w:r>
      <w:r>
        <w:rPr>
          <w:spacing w:val="-2"/>
        </w:rPr>
        <w:t>millions):</w:t>
      </w:r>
    </w:p>
    <w:p>
      <w:pPr>
        <w:tabs>
          <w:tab w:pos="10603" w:val="left" w:leader="none"/>
        </w:tabs>
        <w:spacing w:line="362" w:lineRule="auto" w:before="54"/>
        <w:ind w:left="9012" w:right="626" w:firstLine="142"/>
        <w:jc w:val="left"/>
        <w:rPr>
          <w:b/>
          <w:sz w:val="14"/>
        </w:rPr>
      </w:pPr>
      <w:r>
        <w:rPr>
          <w:b/>
          <w:sz w:val="14"/>
        </w:rPr>
        <mc:AlternateContent>
          <mc:Choice Requires="wps">
            <w:drawing>
              <wp:anchor distT="0" distB="0" distL="0" distR="0" allowOverlap="1" layoutInCell="1" locked="0" behindDoc="0" simplePos="0" relativeHeight="15731712">
                <wp:simplePos x="0" y="0"/>
                <wp:positionH relativeFrom="page">
                  <wp:posOffset>5572112</wp:posOffset>
                </wp:positionH>
                <wp:positionV relativeFrom="paragraph">
                  <wp:posOffset>168977</wp:posOffset>
                </wp:positionV>
                <wp:extent cx="1954530" cy="889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954530" cy="8890"/>
                        </a:xfrm>
                        <a:custGeom>
                          <a:avLst/>
                          <a:gdLst/>
                          <a:ahLst/>
                          <a:cxnLst/>
                          <a:rect l="l" t="t" r="r" b="b"/>
                          <a:pathLst>
                            <a:path w="1954530" h="8890">
                              <a:moveTo>
                                <a:pt x="1954530" y="0"/>
                              </a:moveTo>
                              <a:lnTo>
                                <a:pt x="1954530" y="0"/>
                              </a:lnTo>
                              <a:lnTo>
                                <a:pt x="0" y="0"/>
                              </a:lnTo>
                              <a:lnTo>
                                <a:pt x="0" y="8572"/>
                              </a:lnTo>
                              <a:lnTo>
                                <a:pt x="1954530" y="8572"/>
                              </a:lnTo>
                              <a:lnTo>
                                <a:pt x="19545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749023pt;margin-top:13.305294pt;width:153.900007pt;height:.675pt;mso-position-horizontal-relative:page;mso-position-vertical-relative:paragraph;z-index:15731712" id="docshape19" filled="true" fillcolor="#000000" stroked="false">
                <v:fill type="solid"/>
                <w10:wrap type="none"/>
              </v:rect>
            </w:pict>
          </mc:Fallback>
        </mc:AlternateContent>
      </w:r>
      <w:r>
        <w:rPr>
          <w:b/>
          <w:sz w:val="14"/>
        </w:rPr>
        <w:t>Year Ended December 31,</w:t>
      </w:r>
      <w:r>
        <w:rPr>
          <w:b/>
          <w:spacing w:val="40"/>
          <w:sz w:val="14"/>
        </w:rPr>
        <w:t> </w:t>
      </w:r>
      <w:r>
        <w:rPr>
          <w:b/>
          <w:spacing w:val="-4"/>
          <w:sz w:val="14"/>
        </w:rPr>
        <w:t>2023</w:t>
      </w:r>
      <w:r>
        <w:rPr>
          <w:sz w:val="14"/>
        </w:rPr>
        <w:tab/>
      </w:r>
      <w:r>
        <w:rPr>
          <w:b/>
          <w:spacing w:val="-4"/>
          <w:sz w:val="14"/>
        </w:rPr>
        <w:t>2024</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3"/>
        <w:gridCol w:w="4923"/>
        <w:gridCol w:w="1568"/>
      </w:tblGrid>
      <w:tr>
        <w:trPr>
          <w:trHeight w:val="263" w:hRule="atLeast"/>
        </w:trPr>
        <w:tc>
          <w:tcPr>
            <w:tcW w:w="11514" w:type="dxa"/>
            <w:gridSpan w:val="3"/>
            <w:shd w:val="clear" w:color="auto" w:fill="CCEDFF"/>
          </w:tcPr>
          <w:p>
            <w:pPr>
              <w:pStyle w:val="TableParagraph"/>
              <w:spacing w:line="197" w:lineRule="exact"/>
              <w:ind w:left="17"/>
              <w:jc w:val="left"/>
              <w:rPr>
                <w:sz w:val="18"/>
              </w:rPr>
            </w:pPr>
            <w:r>
              <w:rPr>
                <w:sz w:val="18"/>
              </w:rPr>
              <w:t>Net</w:t>
            </w:r>
            <w:r>
              <w:rPr>
                <w:spacing w:val="-1"/>
                <w:sz w:val="18"/>
              </w:rPr>
              <w:t> </w:t>
            </w:r>
            <w:r>
              <w:rPr>
                <w:spacing w:val="-2"/>
                <w:sz w:val="18"/>
              </w:rPr>
              <w:t>Sales:</w:t>
            </w:r>
          </w:p>
        </w:tc>
      </w:tr>
      <w:tr>
        <w:trPr>
          <w:trHeight w:val="269" w:hRule="atLeast"/>
        </w:trPr>
        <w:tc>
          <w:tcPr>
            <w:tcW w:w="5023" w:type="dxa"/>
          </w:tcPr>
          <w:p>
            <w:pPr>
              <w:pStyle w:val="TableParagraph"/>
              <w:spacing w:line="204" w:lineRule="exact"/>
              <w:ind w:left="341"/>
              <w:jc w:val="left"/>
              <w:rPr>
                <w:sz w:val="18"/>
              </w:rPr>
            </w:pPr>
            <w:r>
              <w:rPr>
                <w:sz w:val="18"/>
              </w:rPr>
              <w:t>North</w:t>
            </w:r>
            <w:r>
              <w:rPr>
                <w:spacing w:val="-10"/>
                <w:sz w:val="18"/>
              </w:rPr>
              <w:t> </w:t>
            </w:r>
            <w:r>
              <w:rPr>
                <w:spacing w:val="-2"/>
                <w:sz w:val="18"/>
              </w:rPr>
              <w:t>America</w:t>
            </w:r>
          </w:p>
        </w:tc>
        <w:tc>
          <w:tcPr>
            <w:tcW w:w="4923" w:type="dxa"/>
          </w:tcPr>
          <w:p>
            <w:pPr>
              <w:pStyle w:val="TableParagraph"/>
              <w:tabs>
                <w:tab w:pos="4069" w:val="left" w:leader="none"/>
              </w:tabs>
              <w:spacing w:line="204" w:lineRule="exact"/>
              <w:ind w:left="3408"/>
              <w:jc w:val="left"/>
              <w:rPr>
                <w:sz w:val="18"/>
              </w:rPr>
            </w:pPr>
            <w:r>
              <w:rPr>
                <w:spacing w:val="-10"/>
                <w:sz w:val="18"/>
              </w:rPr>
              <w:t>$</w:t>
            </w:r>
            <w:r>
              <w:rPr>
                <w:sz w:val="18"/>
              </w:rPr>
              <w:tab/>
            </w:r>
            <w:r>
              <w:rPr>
                <w:spacing w:val="-2"/>
                <w:sz w:val="18"/>
              </w:rPr>
              <w:t>352,828</w:t>
            </w:r>
          </w:p>
        </w:tc>
        <w:tc>
          <w:tcPr>
            <w:tcW w:w="1568" w:type="dxa"/>
          </w:tcPr>
          <w:p>
            <w:pPr>
              <w:pStyle w:val="TableParagraph"/>
              <w:tabs>
                <w:tab w:pos="737" w:val="left" w:leader="none"/>
              </w:tabs>
              <w:spacing w:line="204" w:lineRule="exact"/>
              <w:ind w:left="75"/>
              <w:jc w:val="left"/>
              <w:rPr>
                <w:sz w:val="18"/>
              </w:rPr>
            </w:pPr>
            <w:r>
              <w:rPr>
                <w:spacing w:val="-10"/>
                <w:sz w:val="18"/>
              </w:rPr>
              <w:t>$</w:t>
            </w:r>
            <w:r>
              <w:rPr>
                <w:sz w:val="18"/>
              </w:rPr>
              <w:tab/>
            </w:r>
            <w:r>
              <w:rPr>
                <w:spacing w:val="-2"/>
                <w:sz w:val="18"/>
              </w:rPr>
              <w:t>387,497</w:t>
            </w:r>
          </w:p>
        </w:tc>
      </w:tr>
      <w:tr>
        <w:trPr>
          <w:trHeight w:val="269" w:hRule="atLeast"/>
        </w:trPr>
        <w:tc>
          <w:tcPr>
            <w:tcW w:w="5023" w:type="dxa"/>
            <w:shd w:val="clear" w:color="auto" w:fill="CCEDFF"/>
          </w:tcPr>
          <w:p>
            <w:pPr>
              <w:pStyle w:val="TableParagraph"/>
              <w:spacing w:line="204" w:lineRule="exact"/>
              <w:ind w:left="341"/>
              <w:jc w:val="left"/>
              <w:rPr>
                <w:sz w:val="18"/>
              </w:rPr>
            </w:pPr>
            <w:r>
              <w:rPr>
                <w:spacing w:val="-2"/>
                <w:sz w:val="18"/>
              </w:rPr>
              <w:t>International</w:t>
            </w:r>
          </w:p>
        </w:tc>
        <w:tc>
          <w:tcPr>
            <w:tcW w:w="4923" w:type="dxa"/>
            <w:shd w:val="clear" w:color="auto" w:fill="CCEDFF"/>
          </w:tcPr>
          <w:p>
            <w:pPr>
              <w:pStyle w:val="TableParagraph"/>
              <w:spacing w:line="204" w:lineRule="exact"/>
              <w:ind w:right="266"/>
              <w:rPr>
                <w:sz w:val="18"/>
              </w:rPr>
            </w:pPr>
            <w:r>
              <w:rPr>
                <w:spacing w:val="-2"/>
                <w:sz w:val="18"/>
              </w:rPr>
              <w:t>131,200</w:t>
            </w:r>
          </w:p>
        </w:tc>
        <w:tc>
          <w:tcPr>
            <w:tcW w:w="1568" w:type="dxa"/>
            <w:shd w:val="clear" w:color="auto" w:fill="CCEDFF"/>
          </w:tcPr>
          <w:p>
            <w:pPr>
              <w:pStyle w:val="TableParagraph"/>
              <w:spacing w:line="204" w:lineRule="exact"/>
              <w:ind w:left="737"/>
              <w:jc w:val="left"/>
              <w:rPr>
                <w:sz w:val="18"/>
              </w:rPr>
            </w:pPr>
            <w:r>
              <w:rPr>
                <w:spacing w:val="-2"/>
                <w:sz w:val="18"/>
              </w:rPr>
              <w:t>142,906</w:t>
            </w:r>
          </w:p>
        </w:tc>
      </w:tr>
      <w:tr>
        <w:trPr>
          <w:trHeight w:val="268" w:hRule="atLeast"/>
        </w:trPr>
        <w:tc>
          <w:tcPr>
            <w:tcW w:w="5023" w:type="dxa"/>
          </w:tcPr>
          <w:p>
            <w:pPr>
              <w:pStyle w:val="TableParagraph"/>
              <w:spacing w:line="204" w:lineRule="exact"/>
              <w:ind w:left="341"/>
              <w:jc w:val="left"/>
              <w:rPr>
                <w:sz w:val="18"/>
              </w:rPr>
            </w:pPr>
            <w:r>
              <w:rPr>
                <w:spacing w:val="-5"/>
                <w:sz w:val="18"/>
              </w:rPr>
              <w:t>AWS</w:t>
            </w:r>
          </w:p>
        </w:tc>
        <w:tc>
          <w:tcPr>
            <w:tcW w:w="4923" w:type="dxa"/>
            <w:tcBorders>
              <w:bottom w:val="single" w:sz="12" w:space="0" w:color="000000"/>
            </w:tcBorders>
          </w:tcPr>
          <w:p>
            <w:pPr>
              <w:pStyle w:val="TableParagraph"/>
              <w:spacing w:line="204" w:lineRule="exact"/>
              <w:ind w:right="266"/>
              <w:rPr>
                <w:sz w:val="18"/>
              </w:rPr>
            </w:pPr>
            <w:r>
              <w:rPr>
                <w:spacing w:val="-2"/>
                <w:sz w:val="18"/>
              </w:rPr>
              <w:t>90,757</w:t>
            </w:r>
          </w:p>
        </w:tc>
        <w:tc>
          <w:tcPr>
            <w:tcW w:w="1568" w:type="dxa"/>
            <w:tcBorders>
              <w:bottom w:val="single" w:sz="12" w:space="0" w:color="000000"/>
            </w:tcBorders>
          </w:tcPr>
          <w:p>
            <w:pPr>
              <w:pStyle w:val="TableParagraph"/>
              <w:spacing w:line="204" w:lineRule="exact"/>
              <w:ind w:left="737"/>
              <w:jc w:val="left"/>
              <w:rPr>
                <w:sz w:val="18"/>
              </w:rPr>
            </w:pPr>
            <w:r>
              <w:rPr>
                <w:spacing w:val="-2"/>
                <w:sz w:val="18"/>
              </w:rPr>
              <w:t>107,556</w:t>
            </w:r>
          </w:p>
        </w:tc>
      </w:tr>
      <w:tr>
        <w:trPr>
          <w:trHeight w:val="272" w:hRule="atLeast"/>
        </w:trPr>
        <w:tc>
          <w:tcPr>
            <w:tcW w:w="5023" w:type="dxa"/>
            <w:shd w:val="clear" w:color="auto" w:fill="CCEDFF"/>
          </w:tcPr>
          <w:p>
            <w:pPr>
              <w:pStyle w:val="TableParagraph"/>
              <w:spacing w:line="189" w:lineRule="exact"/>
              <w:ind w:left="665"/>
              <w:jc w:val="left"/>
              <w:rPr>
                <w:sz w:val="18"/>
              </w:rPr>
            </w:pPr>
            <w:r>
              <w:rPr>
                <w:spacing w:val="-2"/>
                <w:sz w:val="18"/>
              </w:rPr>
              <w:t>Consolidated</w:t>
            </w:r>
          </w:p>
        </w:tc>
        <w:tc>
          <w:tcPr>
            <w:tcW w:w="4923" w:type="dxa"/>
            <w:tcBorders>
              <w:top w:val="single" w:sz="12" w:space="0" w:color="000000"/>
            </w:tcBorders>
            <w:shd w:val="clear" w:color="auto" w:fill="CCEDFF"/>
          </w:tcPr>
          <w:p>
            <w:pPr>
              <w:pStyle w:val="TableParagraph"/>
              <w:tabs>
                <w:tab w:pos="4069" w:val="left" w:leader="none"/>
              </w:tabs>
              <w:spacing w:line="202" w:lineRule="exact"/>
              <w:ind w:left="3408"/>
              <w:jc w:val="left"/>
              <w:rPr>
                <w:sz w:val="18"/>
              </w:rPr>
            </w:pPr>
            <w:r>
              <w:rPr>
                <w:sz w:val="18"/>
              </w:rPr>
              <mc:AlternateContent>
                <mc:Choice Requires="wps">
                  <w:drawing>
                    <wp:anchor distT="0" distB="0" distL="0" distR="0" allowOverlap="1" layoutInCell="1" locked="0" behindDoc="1" simplePos="0" relativeHeight="487026176">
                      <wp:simplePos x="0" y="0"/>
                      <wp:positionH relativeFrom="column">
                        <wp:posOffset>2150746</wp:posOffset>
                      </wp:positionH>
                      <wp:positionV relativeFrom="paragraph">
                        <wp:posOffset>180764</wp:posOffset>
                      </wp:positionV>
                      <wp:extent cx="831850" cy="889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831850" cy="8890"/>
                                <a:chExt cx="831850" cy="8890"/>
                              </a:xfrm>
                            </wpg:grpSpPr>
                            <wps:wsp>
                              <wps:cNvPr id="21" name="Graphic 21"/>
                              <wps:cNvSpPr/>
                              <wps:spPr>
                                <a:xfrm>
                                  <a:off x="-12" y="5"/>
                                  <a:ext cx="831850" cy="8890"/>
                                </a:xfrm>
                                <a:custGeom>
                                  <a:avLst/>
                                  <a:gdLst/>
                                  <a:ahLst/>
                                  <a:cxnLst/>
                                  <a:rect l="l" t="t" r="r" b="b"/>
                                  <a:pathLst>
                                    <a:path w="831850" h="8890">
                                      <a:moveTo>
                                        <a:pt x="831532" y="0"/>
                                      </a:moveTo>
                                      <a:lnTo>
                                        <a:pt x="77152" y="0"/>
                                      </a:lnTo>
                                      <a:lnTo>
                                        <a:pt x="0" y="0"/>
                                      </a:lnTo>
                                      <a:lnTo>
                                        <a:pt x="0" y="8572"/>
                                      </a:lnTo>
                                      <a:lnTo>
                                        <a:pt x="77152" y="8572"/>
                                      </a:lnTo>
                                      <a:lnTo>
                                        <a:pt x="831532" y="8572"/>
                                      </a:lnTo>
                                      <a:lnTo>
                                        <a:pt x="8315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9.350098pt;margin-top:14.23342pt;width:65.5pt;height:.7pt;mso-position-horizontal-relative:column;mso-position-vertical-relative:paragraph;z-index:-16290304" id="docshapegroup20" coordorigin="3387,285" coordsize="1310,14">
                      <v:shape style="position:absolute;left:3386;top:284;width:1310;height:14" id="docshape21" coordorigin="3387,285" coordsize="1310,14" path="m4696,285l3508,285,3387,285,3387,298,3508,298,4696,298,4696,285xe" filled="true" fillcolor="#000000" stroked="false">
                        <v:path arrowok="t"/>
                        <v:fill type="solid"/>
                      </v:shape>
                      <w10:wrap type="none"/>
                    </v:group>
                  </w:pict>
                </mc:Fallback>
              </mc:AlternateContent>
            </w:r>
            <w:r>
              <w:rPr>
                <w:sz w:val="18"/>
              </w:rPr>
              <mc:AlternateContent>
                <mc:Choice Requires="wps">
                  <w:drawing>
                    <wp:anchor distT="0" distB="0" distL="0" distR="0" allowOverlap="1" layoutInCell="1" locked="0" behindDoc="0" simplePos="0" relativeHeight="15733760">
                      <wp:simplePos x="0" y="0"/>
                      <wp:positionH relativeFrom="column">
                        <wp:posOffset>2150746</wp:posOffset>
                      </wp:positionH>
                      <wp:positionV relativeFrom="paragraph">
                        <wp:posOffset>155046</wp:posOffset>
                      </wp:positionV>
                      <wp:extent cx="831850" cy="889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831850" cy="8890"/>
                                <a:chExt cx="831850" cy="8890"/>
                              </a:xfrm>
                            </wpg:grpSpPr>
                            <wps:wsp>
                              <wps:cNvPr id="23" name="Graphic 23"/>
                              <wps:cNvSpPr/>
                              <wps:spPr>
                                <a:xfrm>
                                  <a:off x="-12" y="5"/>
                                  <a:ext cx="831850" cy="8890"/>
                                </a:xfrm>
                                <a:custGeom>
                                  <a:avLst/>
                                  <a:gdLst/>
                                  <a:ahLst/>
                                  <a:cxnLst/>
                                  <a:rect l="l" t="t" r="r" b="b"/>
                                  <a:pathLst>
                                    <a:path w="831850" h="8890">
                                      <a:moveTo>
                                        <a:pt x="831532" y="0"/>
                                      </a:moveTo>
                                      <a:lnTo>
                                        <a:pt x="77152" y="0"/>
                                      </a:lnTo>
                                      <a:lnTo>
                                        <a:pt x="0" y="0"/>
                                      </a:lnTo>
                                      <a:lnTo>
                                        <a:pt x="0" y="8572"/>
                                      </a:lnTo>
                                      <a:lnTo>
                                        <a:pt x="77152" y="8572"/>
                                      </a:lnTo>
                                      <a:lnTo>
                                        <a:pt x="831532" y="8572"/>
                                      </a:lnTo>
                                      <a:lnTo>
                                        <a:pt x="8315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9.350098pt;margin-top:12.20842pt;width:65.5pt;height:.7pt;mso-position-horizontal-relative:column;mso-position-vertical-relative:paragraph;z-index:15733760" id="docshapegroup22" coordorigin="3387,244" coordsize="1310,14">
                      <v:shape style="position:absolute;left:3386;top:244;width:1310;height:14" id="docshape23" coordorigin="3387,244" coordsize="1310,14" path="m4696,244l3508,244,3387,244,3387,258,3508,258,4696,258,4696,244xe" filled="true" fillcolor="#000000" stroked="false">
                        <v:path arrowok="t"/>
                        <v:fill type="solid"/>
                      </v:shape>
                      <w10:wrap type="none"/>
                    </v:group>
                  </w:pict>
                </mc:Fallback>
              </mc:AlternateContent>
            </w:r>
            <w:r>
              <w:rPr>
                <w:spacing w:val="-10"/>
                <w:sz w:val="18"/>
              </w:rPr>
              <w:t>$</w:t>
            </w:r>
            <w:r>
              <w:rPr>
                <w:sz w:val="18"/>
              </w:rPr>
              <w:tab/>
            </w:r>
            <w:r>
              <w:rPr>
                <w:spacing w:val="-2"/>
                <w:sz w:val="18"/>
              </w:rPr>
              <w:t>574,785</w:t>
            </w:r>
          </w:p>
        </w:tc>
        <w:tc>
          <w:tcPr>
            <w:tcW w:w="1568" w:type="dxa"/>
            <w:tcBorders>
              <w:top w:val="single" w:sz="12" w:space="0" w:color="000000"/>
              <w:bottom w:val="double" w:sz="6" w:space="0" w:color="000000"/>
            </w:tcBorders>
            <w:shd w:val="clear" w:color="auto" w:fill="CCEDFF"/>
          </w:tcPr>
          <w:p>
            <w:pPr>
              <w:pStyle w:val="TableParagraph"/>
              <w:tabs>
                <w:tab w:pos="737" w:val="left" w:leader="none"/>
              </w:tabs>
              <w:spacing w:line="202" w:lineRule="exact"/>
              <w:ind w:left="75"/>
              <w:jc w:val="left"/>
              <w:rPr>
                <w:sz w:val="18"/>
              </w:rPr>
            </w:pPr>
            <w:r>
              <w:rPr>
                <w:spacing w:val="-10"/>
                <w:sz w:val="18"/>
              </w:rPr>
              <w:t>$</w:t>
            </w:r>
            <w:r>
              <w:rPr>
                <w:sz w:val="18"/>
              </w:rPr>
              <w:tab/>
            </w:r>
            <w:r>
              <w:rPr>
                <w:spacing w:val="-2"/>
                <w:sz w:val="18"/>
              </w:rPr>
              <w:t>637,959</w:t>
            </w:r>
          </w:p>
        </w:tc>
      </w:tr>
      <w:tr>
        <w:trPr>
          <w:trHeight w:val="247" w:hRule="atLeast"/>
        </w:trPr>
        <w:tc>
          <w:tcPr>
            <w:tcW w:w="5023" w:type="dxa"/>
          </w:tcPr>
          <w:p>
            <w:pPr>
              <w:pStyle w:val="TableParagraph"/>
              <w:spacing w:line="181" w:lineRule="exact"/>
              <w:ind w:left="17"/>
              <w:jc w:val="left"/>
              <w:rPr>
                <w:sz w:val="18"/>
              </w:rPr>
            </w:pPr>
            <w:r>
              <w:rPr>
                <w:spacing w:val="-2"/>
                <w:sz w:val="18"/>
              </w:rPr>
              <w:t>Year-over-year</w:t>
            </w:r>
            <w:r>
              <w:rPr>
                <w:spacing w:val="9"/>
                <w:sz w:val="18"/>
              </w:rPr>
              <w:t> </w:t>
            </w:r>
            <w:r>
              <w:rPr>
                <w:spacing w:val="-2"/>
                <w:sz w:val="18"/>
              </w:rPr>
              <w:t>Percentage</w:t>
            </w:r>
            <w:r>
              <w:rPr>
                <w:spacing w:val="10"/>
                <w:sz w:val="18"/>
              </w:rPr>
              <w:t> </w:t>
            </w:r>
            <w:r>
              <w:rPr>
                <w:spacing w:val="-2"/>
                <w:sz w:val="18"/>
              </w:rPr>
              <w:t>Growth:</w:t>
            </w:r>
          </w:p>
        </w:tc>
        <w:tc>
          <w:tcPr>
            <w:tcW w:w="4923" w:type="dxa"/>
          </w:tcPr>
          <w:p>
            <w:pPr>
              <w:pStyle w:val="TableParagraph"/>
              <w:jc w:val="left"/>
              <w:rPr>
                <w:sz w:val="16"/>
              </w:rPr>
            </w:pPr>
          </w:p>
        </w:tc>
        <w:tc>
          <w:tcPr>
            <w:tcW w:w="1568" w:type="dxa"/>
            <w:tcBorders>
              <w:top w:val="double" w:sz="6" w:space="0" w:color="000000"/>
            </w:tcBorders>
          </w:tcPr>
          <w:p>
            <w:pPr>
              <w:pStyle w:val="TableParagraph"/>
              <w:jc w:val="left"/>
              <w:rPr>
                <w:sz w:val="16"/>
              </w:rPr>
            </w:pPr>
          </w:p>
        </w:tc>
      </w:tr>
      <w:tr>
        <w:trPr>
          <w:trHeight w:val="269" w:hRule="atLeast"/>
        </w:trPr>
        <w:tc>
          <w:tcPr>
            <w:tcW w:w="5023" w:type="dxa"/>
            <w:shd w:val="clear" w:color="auto" w:fill="CCEDFF"/>
          </w:tcPr>
          <w:p>
            <w:pPr>
              <w:pStyle w:val="TableParagraph"/>
              <w:spacing w:line="204" w:lineRule="exact"/>
              <w:ind w:left="341"/>
              <w:jc w:val="left"/>
              <w:rPr>
                <w:sz w:val="18"/>
              </w:rPr>
            </w:pPr>
            <w:r>
              <w:rPr>
                <w:sz w:val="18"/>
              </w:rPr>
              <w:t>North</w:t>
            </w:r>
            <w:r>
              <w:rPr>
                <w:spacing w:val="-10"/>
                <w:sz w:val="18"/>
              </w:rPr>
              <w:t> </w:t>
            </w:r>
            <w:r>
              <w:rPr>
                <w:spacing w:val="-2"/>
                <w:sz w:val="18"/>
              </w:rPr>
              <w:t>America</w:t>
            </w:r>
          </w:p>
        </w:tc>
        <w:tc>
          <w:tcPr>
            <w:tcW w:w="4923" w:type="dxa"/>
            <w:shd w:val="clear" w:color="auto" w:fill="CCEDFF"/>
          </w:tcPr>
          <w:p>
            <w:pPr>
              <w:pStyle w:val="TableParagraph"/>
              <w:spacing w:line="204" w:lineRule="exact"/>
              <w:ind w:right="71"/>
              <w:rPr>
                <w:sz w:val="18"/>
              </w:rPr>
            </w:pPr>
            <w:r>
              <w:rPr>
                <w:sz w:val="18"/>
              </w:rPr>
              <w:t>12 </w:t>
            </w:r>
            <w:r>
              <w:rPr>
                <w:spacing w:val="-10"/>
                <w:sz w:val="18"/>
              </w:rPr>
              <w:t>%</w:t>
            </w:r>
          </w:p>
        </w:tc>
        <w:tc>
          <w:tcPr>
            <w:tcW w:w="1568" w:type="dxa"/>
            <w:shd w:val="clear" w:color="auto" w:fill="CCEDFF"/>
          </w:tcPr>
          <w:p>
            <w:pPr>
              <w:pStyle w:val="TableParagraph"/>
              <w:spacing w:line="204" w:lineRule="exact"/>
              <w:ind w:right="48"/>
              <w:rPr>
                <w:sz w:val="18"/>
              </w:rPr>
            </w:pPr>
            <w:r>
              <w:rPr>
                <w:sz w:val="18"/>
              </w:rPr>
              <w:t>10 </w:t>
            </w:r>
            <w:r>
              <w:rPr>
                <w:spacing w:val="-10"/>
                <w:sz w:val="18"/>
              </w:rPr>
              <w:t>%</w:t>
            </w:r>
          </w:p>
        </w:tc>
      </w:tr>
      <w:tr>
        <w:trPr>
          <w:trHeight w:val="269" w:hRule="atLeast"/>
        </w:trPr>
        <w:tc>
          <w:tcPr>
            <w:tcW w:w="5023" w:type="dxa"/>
          </w:tcPr>
          <w:p>
            <w:pPr>
              <w:pStyle w:val="TableParagraph"/>
              <w:spacing w:line="204" w:lineRule="exact"/>
              <w:ind w:left="341"/>
              <w:jc w:val="left"/>
              <w:rPr>
                <w:sz w:val="18"/>
              </w:rPr>
            </w:pPr>
            <w:r>
              <w:rPr>
                <w:spacing w:val="-2"/>
                <w:sz w:val="18"/>
              </w:rPr>
              <w:t>International</w:t>
            </w:r>
          </w:p>
        </w:tc>
        <w:tc>
          <w:tcPr>
            <w:tcW w:w="4923" w:type="dxa"/>
          </w:tcPr>
          <w:p>
            <w:pPr>
              <w:pStyle w:val="TableParagraph"/>
              <w:spacing w:line="204" w:lineRule="exact"/>
              <w:ind w:right="266"/>
              <w:rPr>
                <w:sz w:val="18"/>
              </w:rPr>
            </w:pPr>
            <w:r>
              <w:rPr>
                <w:spacing w:val="-5"/>
                <w:sz w:val="18"/>
              </w:rPr>
              <w:t>11</w:t>
            </w:r>
          </w:p>
        </w:tc>
        <w:tc>
          <w:tcPr>
            <w:tcW w:w="1568" w:type="dxa"/>
          </w:tcPr>
          <w:p>
            <w:pPr>
              <w:pStyle w:val="TableParagraph"/>
              <w:spacing w:line="204" w:lineRule="exact"/>
              <w:ind w:right="244"/>
              <w:rPr>
                <w:sz w:val="18"/>
              </w:rPr>
            </w:pPr>
            <w:r>
              <w:rPr>
                <w:spacing w:val="-10"/>
                <w:sz w:val="18"/>
              </w:rPr>
              <w:t>9</w:t>
            </w:r>
          </w:p>
        </w:tc>
      </w:tr>
      <w:tr>
        <w:trPr>
          <w:trHeight w:val="269" w:hRule="atLeast"/>
        </w:trPr>
        <w:tc>
          <w:tcPr>
            <w:tcW w:w="5023" w:type="dxa"/>
            <w:shd w:val="clear" w:color="auto" w:fill="CCEDFF"/>
          </w:tcPr>
          <w:p>
            <w:pPr>
              <w:pStyle w:val="TableParagraph"/>
              <w:spacing w:line="204" w:lineRule="exact"/>
              <w:ind w:left="341"/>
              <w:jc w:val="left"/>
              <w:rPr>
                <w:sz w:val="18"/>
              </w:rPr>
            </w:pPr>
            <w:r>
              <w:rPr>
                <w:spacing w:val="-5"/>
                <w:sz w:val="18"/>
              </w:rPr>
              <w:t>AWS</w:t>
            </w:r>
          </w:p>
        </w:tc>
        <w:tc>
          <w:tcPr>
            <w:tcW w:w="4923" w:type="dxa"/>
            <w:shd w:val="clear" w:color="auto" w:fill="CCEDFF"/>
          </w:tcPr>
          <w:p>
            <w:pPr>
              <w:pStyle w:val="TableParagraph"/>
              <w:spacing w:line="204" w:lineRule="exact"/>
              <w:ind w:right="266"/>
              <w:rPr>
                <w:sz w:val="18"/>
              </w:rPr>
            </w:pPr>
            <w:r>
              <w:rPr>
                <w:spacing w:val="-5"/>
                <w:sz w:val="18"/>
              </w:rPr>
              <w:t>13</w:t>
            </w:r>
          </w:p>
        </w:tc>
        <w:tc>
          <w:tcPr>
            <w:tcW w:w="1568" w:type="dxa"/>
            <w:shd w:val="clear" w:color="auto" w:fill="CCEDFF"/>
          </w:tcPr>
          <w:p>
            <w:pPr>
              <w:pStyle w:val="TableParagraph"/>
              <w:spacing w:line="204" w:lineRule="exact"/>
              <w:ind w:right="244"/>
              <w:rPr>
                <w:sz w:val="18"/>
              </w:rPr>
            </w:pPr>
            <w:r>
              <w:rPr>
                <w:spacing w:val="-5"/>
                <w:sz w:val="18"/>
              </w:rPr>
              <w:t>19</w:t>
            </w:r>
          </w:p>
        </w:tc>
      </w:tr>
      <w:tr>
        <w:trPr>
          <w:trHeight w:val="269" w:hRule="atLeast"/>
        </w:trPr>
        <w:tc>
          <w:tcPr>
            <w:tcW w:w="5023" w:type="dxa"/>
          </w:tcPr>
          <w:p>
            <w:pPr>
              <w:pStyle w:val="TableParagraph"/>
              <w:spacing w:line="204" w:lineRule="exact"/>
              <w:ind w:left="665"/>
              <w:jc w:val="left"/>
              <w:rPr>
                <w:sz w:val="18"/>
              </w:rPr>
            </w:pPr>
            <w:r>
              <w:rPr>
                <w:spacing w:val="-2"/>
                <w:sz w:val="18"/>
              </w:rPr>
              <w:t>Consolidated</w:t>
            </w:r>
          </w:p>
        </w:tc>
        <w:tc>
          <w:tcPr>
            <w:tcW w:w="4923" w:type="dxa"/>
          </w:tcPr>
          <w:p>
            <w:pPr>
              <w:pStyle w:val="TableParagraph"/>
              <w:spacing w:line="204" w:lineRule="exact"/>
              <w:ind w:right="266"/>
              <w:rPr>
                <w:sz w:val="18"/>
              </w:rPr>
            </w:pPr>
            <w:r>
              <w:rPr>
                <w:spacing w:val="-5"/>
                <w:sz w:val="18"/>
              </w:rPr>
              <w:t>12</w:t>
            </w:r>
          </w:p>
        </w:tc>
        <w:tc>
          <w:tcPr>
            <w:tcW w:w="1568" w:type="dxa"/>
          </w:tcPr>
          <w:p>
            <w:pPr>
              <w:pStyle w:val="TableParagraph"/>
              <w:spacing w:line="204" w:lineRule="exact"/>
              <w:ind w:right="244"/>
              <w:rPr>
                <w:sz w:val="18"/>
              </w:rPr>
            </w:pPr>
            <w:r>
              <w:rPr>
                <w:spacing w:val="-5"/>
                <w:sz w:val="18"/>
              </w:rPr>
              <w:t>11</w:t>
            </w:r>
          </w:p>
        </w:tc>
      </w:tr>
      <w:tr>
        <w:trPr>
          <w:trHeight w:val="269" w:hRule="atLeast"/>
        </w:trPr>
        <w:tc>
          <w:tcPr>
            <w:tcW w:w="11514" w:type="dxa"/>
            <w:gridSpan w:val="3"/>
            <w:shd w:val="clear" w:color="auto" w:fill="CCEDFF"/>
          </w:tcPr>
          <w:p>
            <w:pPr>
              <w:pStyle w:val="TableParagraph"/>
              <w:spacing w:line="204" w:lineRule="exact"/>
              <w:ind w:left="17"/>
              <w:jc w:val="left"/>
              <w:rPr>
                <w:sz w:val="18"/>
              </w:rPr>
            </w:pPr>
            <w:r>
              <w:rPr>
                <w:sz w:val="18"/>
              </w:rPr>
              <w:t>Year-over-year</w:t>
            </w:r>
            <w:r>
              <w:rPr>
                <w:spacing w:val="-7"/>
                <w:sz w:val="18"/>
              </w:rPr>
              <w:t> </w:t>
            </w:r>
            <w:r>
              <w:rPr>
                <w:sz w:val="18"/>
              </w:rPr>
              <w:t>Percentage</w:t>
            </w:r>
            <w:r>
              <w:rPr>
                <w:spacing w:val="-4"/>
                <w:sz w:val="18"/>
              </w:rPr>
              <w:t> </w:t>
            </w:r>
            <w:r>
              <w:rPr>
                <w:sz w:val="18"/>
              </w:rPr>
              <w:t>Growth,</w:t>
            </w:r>
            <w:r>
              <w:rPr>
                <w:spacing w:val="-5"/>
                <w:sz w:val="18"/>
              </w:rPr>
              <w:t> </w:t>
            </w:r>
            <w:r>
              <w:rPr>
                <w:sz w:val="18"/>
              </w:rPr>
              <w:t>excluding</w:t>
            </w:r>
            <w:r>
              <w:rPr>
                <w:spacing w:val="-4"/>
                <w:sz w:val="18"/>
              </w:rPr>
              <w:t> </w:t>
            </w:r>
            <w:r>
              <w:rPr>
                <w:sz w:val="18"/>
              </w:rPr>
              <w:t>the</w:t>
            </w:r>
            <w:r>
              <w:rPr>
                <w:spacing w:val="-5"/>
                <w:sz w:val="18"/>
              </w:rPr>
              <w:t> </w:t>
            </w:r>
            <w:r>
              <w:rPr>
                <w:sz w:val="18"/>
              </w:rPr>
              <w:t>effect</w:t>
            </w:r>
            <w:r>
              <w:rPr>
                <w:spacing w:val="-4"/>
                <w:sz w:val="18"/>
              </w:rPr>
              <w:t> </w:t>
            </w:r>
            <w:r>
              <w:rPr>
                <w:sz w:val="18"/>
              </w:rPr>
              <w:t>of</w:t>
            </w:r>
            <w:r>
              <w:rPr>
                <w:spacing w:val="-5"/>
                <w:sz w:val="18"/>
              </w:rPr>
              <w:t> </w:t>
            </w:r>
            <w:r>
              <w:rPr>
                <w:sz w:val="18"/>
              </w:rPr>
              <w:t>foreign</w:t>
            </w:r>
            <w:r>
              <w:rPr>
                <w:spacing w:val="-4"/>
                <w:sz w:val="18"/>
              </w:rPr>
              <w:t> </w:t>
            </w:r>
            <w:r>
              <w:rPr>
                <w:sz w:val="18"/>
              </w:rPr>
              <w:t>exchange</w:t>
            </w:r>
            <w:r>
              <w:rPr>
                <w:spacing w:val="-4"/>
                <w:sz w:val="18"/>
              </w:rPr>
              <w:t> </w:t>
            </w:r>
            <w:r>
              <w:rPr>
                <w:spacing w:val="-2"/>
                <w:sz w:val="18"/>
              </w:rPr>
              <w:t>rates:</w:t>
            </w:r>
          </w:p>
        </w:tc>
      </w:tr>
      <w:tr>
        <w:trPr>
          <w:trHeight w:val="269" w:hRule="atLeast"/>
        </w:trPr>
        <w:tc>
          <w:tcPr>
            <w:tcW w:w="5023" w:type="dxa"/>
          </w:tcPr>
          <w:p>
            <w:pPr>
              <w:pStyle w:val="TableParagraph"/>
              <w:spacing w:line="204" w:lineRule="exact"/>
              <w:ind w:left="341"/>
              <w:jc w:val="left"/>
              <w:rPr>
                <w:sz w:val="18"/>
              </w:rPr>
            </w:pPr>
            <w:r>
              <w:rPr>
                <w:sz w:val="18"/>
              </w:rPr>
              <w:t>North</w:t>
            </w:r>
            <w:r>
              <w:rPr>
                <w:spacing w:val="-10"/>
                <w:sz w:val="18"/>
              </w:rPr>
              <w:t> </w:t>
            </w:r>
            <w:r>
              <w:rPr>
                <w:spacing w:val="-2"/>
                <w:sz w:val="18"/>
              </w:rPr>
              <w:t>America</w:t>
            </w:r>
          </w:p>
        </w:tc>
        <w:tc>
          <w:tcPr>
            <w:tcW w:w="4923" w:type="dxa"/>
          </w:tcPr>
          <w:p>
            <w:pPr>
              <w:pStyle w:val="TableParagraph"/>
              <w:spacing w:line="204" w:lineRule="exact"/>
              <w:ind w:right="71"/>
              <w:rPr>
                <w:sz w:val="18"/>
              </w:rPr>
            </w:pPr>
            <w:r>
              <w:rPr>
                <w:sz w:val="18"/>
              </w:rPr>
              <w:t>12 </w:t>
            </w:r>
            <w:r>
              <w:rPr>
                <w:spacing w:val="-10"/>
                <w:sz w:val="18"/>
              </w:rPr>
              <w:t>%</w:t>
            </w:r>
          </w:p>
        </w:tc>
        <w:tc>
          <w:tcPr>
            <w:tcW w:w="1568" w:type="dxa"/>
          </w:tcPr>
          <w:p>
            <w:pPr>
              <w:pStyle w:val="TableParagraph"/>
              <w:spacing w:line="204" w:lineRule="exact"/>
              <w:ind w:right="48"/>
              <w:rPr>
                <w:sz w:val="18"/>
              </w:rPr>
            </w:pPr>
            <w:r>
              <w:rPr>
                <w:sz w:val="18"/>
              </w:rPr>
              <w:t>10 </w:t>
            </w:r>
            <w:r>
              <w:rPr>
                <w:spacing w:val="-10"/>
                <w:sz w:val="18"/>
              </w:rPr>
              <w:t>%</w:t>
            </w:r>
          </w:p>
        </w:tc>
      </w:tr>
      <w:tr>
        <w:trPr>
          <w:trHeight w:val="269" w:hRule="atLeast"/>
        </w:trPr>
        <w:tc>
          <w:tcPr>
            <w:tcW w:w="5023" w:type="dxa"/>
            <w:shd w:val="clear" w:color="auto" w:fill="CCEDFF"/>
          </w:tcPr>
          <w:p>
            <w:pPr>
              <w:pStyle w:val="TableParagraph"/>
              <w:spacing w:line="204" w:lineRule="exact"/>
              <w:ind w:left="341"/>
              <w:jc w:val="left"/>
              <w:rPr>
                <w:sz w:val="18"/>
              </w:rPr>
            </w:pPr>
            <w:r>
              <w:rPr>
                <w:spacing w:val="-2"/>
                <w:sz w:val="18"/>
              </w:rPr>
              <w:t>International</w:t>
            </w:r>
          </w:p>
        </w:tc>
        <w:tc>
          <w:tcPr>
            <w:tcW w:w="4923" w:type="dxa"/>
            <w:shd w:val="clear" w:color="auto" w:fill="CCEDFF"/>
          </w:tcPr>
          <w:p>
            <w:pPr>
              <w:pStyle w:val="TableParagraph"/>
              <w:spacing w:line="204" w:lineRule="exact"/>
              <w:ind w:right="266"/>
              <w:rPr>
                <w:sz w:val="18"/>
              </w:rPr>
            </w:pPr>
            <w:r>
              <w:rPr>
                <w:spacing w:val="-5"/>
                <w:sz w:val="18"/>
              </w:rPr>
              <w:t>11</w:t>
            </w:r>
          </w:p>
        </w:tc>
        <w:tc>
          <w:tcPr>
            <w:tcW w:w="1568" w:type="dxa"/>
            <w:shd w:val="clear" w:color="auto" w:fill="CCEDFF"/>
          </w:tcPr>
          <w:p>
            <w:pPr>
              <w:pStyle w:val="TableParagraph"/>
              <w:spacing w:line="204" w:lineRule="exact"/>
              <w:ind w:right="244"/>
              <w:rPr>
                <w:sz w:val="18"/>
              </w:rPr>
            </w:pPr>
            <w:r>
              <w:rPr>
                <w:spacing w:val="-5"/>
                <w:sz w:val="18"/>
              </w:rPr>
              <w:t>10</w:t>
            </w:r>
          </w:p>
        </w:tc>
      </w:tr>
      <w:tr>
        <w:trPr>
          <w:trHeight w:val="269" w:hRule="atLeast"/>
        </w:trPr>
        <w:tc>
          <w:tcPr>
            <w:tcW w:w="5023" w:type="dxa"/>
          </w:tcPr>
          <w:p>
            <w:pPr>
              <w:pStyle w:val="TableParagraph"/>
              <w:spacing w:line="204" w:lineRule="exact"/>
              <w:ind w:left="341"/>
              <w:jc w:val="left"/>
              <w:rPr>
                <w:sz w:val="18"/>
              </w:rPr>
            </w:pPr>
            <w:r>
              <w:rPr>
                <w:spacing w:val="-5"/>
                <w:sz w:val="18"/>
              </w:rPr>
              <w:t>AWS</w:t>
            </w:r>
          </w:p>
        </w:tc>
        <w:tc>
          <w:tcPr>
            <w:tcW w:w="4923" w:type="dxa"/>
          </w:tcPr>
          <w:p>
            <w:pPr>
              <w:pStyle w:val="TableParagraph"/>
              <w:spacing w:line="204" w:lineRule="exact"/>
              <w:ind w:right="266"/>
              <w:rPr>
                <w:sz w:val="18"/>
              </w:rPr>
            </w:pPr>
            <w:r>
              <w:rPr>
                <w:spacing w:val="-5"/>
                <w:sz w:val="18"/>
              </w:rPr>
              <w:t>13</w:t>
            </w:r>
          </w:p>
        </w:tc>
        <w:tc>
          <w:tcPr>
            <w:tcW w:w="1568" w:type="dxa"/>
          </w:tcPr>
          <w:p>
            <w:pPr>
              <w:pStyle w:val="TableParagraph"/>
              <w:spacing w:line="204" w:lineRule="exact"/>
              <w:ind w:right="244"/>
              <w:rPr>
                <w:sz w:val="18"/>
              </w:rPr>
            </w:pPr>
            <w:r>
              <w:rPr>
                <w:spacing w:val="-5"/>
                <w:sz w:val="18"/>
              </w:rPr>
              <w:t>19</w:t>
            </w:r>
          </w:p>
        </w:tc>
      </w:tr>
      <w:tr>
        <w:trPr>
          <w:trHeight w:val="269" w:hRule="atLeast"/>
        </w:trPr>
        <w:tc>
          <w:tcPr>
            <w:tcW w:w="5023" w:type="dxa"/>
            <w:shd w:val="clear" w:color="auto" w:fill="CCEDFF"/>
          </w:tcPr>
          <w:p>
            <w:pPr>
              <w:pStyle w:val="TableParagraph"/>
              <w:spacing w:line="204" w:lineRule="exact"/>
              <w:ind w:left="665"/>
              <w:jc w:val="left"/>
              <w:rPr>
                <w:sz w:val="18"/>
              </w:rPr>
            </w:pPr>
            <w:r>
              <w:rPr>
                <w:spacing w:val="-2"/>
                <w:sz w:val="18"/>
              </w:rPr>
              <w:t>Consolidated</w:t>
            </w:r>
          </w:p>
        </w:tc>
        <w:tc>
          <w:tcPr>
            <w:tcW w:w="4923" w:type="dxa"/>
            <w:shd w:val="clear" w:color="auto" w:fill="CCEDFF"/>
          </w:tcPr>
          <w:p>
            <w:pPr>
              <w:pStyle w:val="TableParagraph"/>
              <w:spacing w:line="204" w:lineRule="exact"/>
              <w:ind w:right="266"/>
              <w:rPr>
                <w:sz w:val="18"/>
              </w:rPr>
            </w:pPr>
            <w:r>
              <w:rPr>
                <w:spacing w:val="-5"/>
                <w:sz w:val="18"/>
              </w:rPr>
              <w:t>12</w:t>
            </w:r>
          </w:p>
        </w:tc>
        <w:tc>
          <w:tcPr>
            <w:tcW w:w="1568" w:type="dxa"/>
            <w:shd w:val="clear" w:color="auto" w:fill="CCEDFF"/>
          </w:tcPr>
          <w:p>
            <w:pPr>
              <w:pStyle w:val="TableParagraph"/>
              <w:spacing w:line="204" w:lineRule="exact"/>
              <w:ind w:right="244"/>
              <w:rPr>
                <w:sz w:val="18"/>
              </w:rPr>
            </w:pPr>
            <w:r>
              <w:rPr>
                <w:spacing w:val="-5"/>
                <w:sz w:val="18"/>
              </w:rPr>
              <w:t>11</w:t>
            </w:r>
          </w:p>
        </w:tc>
      </w:tr>
      <w:tr>
        <w:trPr>
          <w:trHeight w:val="269" w:hRule="atLeast"/>
        </w:trPr>
        <w:tc>
          <w:tcPr>
            <w:tcW w:w="5023" w:type="dxa"/>
          </w:tcPr>
          <w:p>
            <w:pPr>
              <w:pStyle w:val="TableParagraph"/>
              <w:spacing w:line="204" w:lineRule="exact"/>
              <w:ind w:left="17"/>
              <w:jc w:val="left"/>
              <w:rPr>
                <w:sz w:val="18"/>
              </w:rPr>
            </w:pPr>
            <w:r>
              <w:rPr>
                <w:sz w:val="18"/>
              </w:rPr>
              <w:t>Net</w:t>
            </w:r>
            <w:r>
              <w:rPr>
                <w:spacing w:val="-1"/>
                <w:sz w:val="18"/>
              </w:rPr>
              <w:t> </w:t>
            </w:r>
            <w:r>
              <w:rPr>
                <w:sz w:val="18"/>
              </w:rPr>
              <w:t>Sales</w:t>
            </w:r>
            <w:r>
              <w:rPr>
                <w:spacing w:val="-1"/>
                <w:sz w:val="18"/>
              </w:rPr>
              <w:t> </w:t>
            </w:r>
            <w:r>
              <w:rPr>
                <w:spacing w:val="-4"/>
                <w:sz w:val="18"/>
              </w:rPr>
              <w:t>Mix:</w:t>
            </w:r>
          </w:p>
        </w:tc>
        <w:tc>
          <w:tcPr>
            <w:tcW w:w="4923" w:type="dxa"/>
          </w:tcPr>
          <w:p>
            <w:pPr>
              <w:pStyle w:val="TableParagraph"/>
              <w:jc w:val="left"/>
              <w:rPr>
                <w:sz w:val="16"/>
              </w:rPr>
            </w:pPr>
          </w:p>
        </w:tc>
        <w:tc>
          <w:tcPr>
            <w:tcW w:w="1568" w:type="dxa"/>
          </w:tcPr>
          <w:p>
            <w:pPr>
              <w:pStyle w:val="TableParagraph"/>
              <w:jc w:val="left"/>
              <w:rPr>
                <w:sz w:val="16"/>
              </w:rPr>
            </w:pPr>
          </w:p>
        </w:tc>
      </w:tr>
      <w:tr>
        <w:trPr>
          <w:trHeight w:val="269" w:hRule="atLeast"/>
        </w:trPr>
        <w:tc>
          <w:tcPr>
            <w:tcW w:w="5023" w:type="dxa"/>
            <w:shd w:val="clear" w:color="auto" w:fill="CCEDFF"/>
          </w:tcPr>
          <w:p>
            <w:pPr>
              <w:pStyle w:val="TableParagraph"/>
              <w:spacing w:line="204" w:lineRule="exact"/>
              <w:ind w:left="341"/>
              <w:jc w:val="left"/>
              <w:rPr>
                <w:sz w:val="18"/>
              </w:rPr>
            </w:pPr>
            <w:r>
              <w:rPr>
                <w:sz w:val="18"/>
              </w:rPr>
              <w:t>North</w:t>
            </w:r>
            <w:r>
              <w:rPr>
                <w:spacing w:val="-10"/>
                <w:sz w:val="18"/>
              </w:rPr>
              <w:t> </w:t>
            </w:r>
            <w:r>
              <w:rPr>
                <w:spacing w:val="-2"/>
                <w:sz w:val="18"/>
              </w:rPr>
              <w:t>America</w:t>
            </w:r>
          </w:p>
        </w:tc>
        <w:tc>
          <w:tcPr>
            <w:tcW w:w="4923" w:type="dxa"/>
            <w:shd w:val="clear" w:color="auto" w:fill="CCEDFF"/>
          </w:tcPr>
          <w:p>
            <w:pPr>
              <w:pStyle w:val="TableParagraph"/>
              <w:spacing w:line="204" w:lineRule="exact"/>
              <w:ind w:right="71"/>
              <w:rPr>
                <w:sz w:val="18"/>
              </w:rPr>
            </w:pPr>
            <w:r>
              <w:rPr>
                <w:sz w:val="18"/>
              </w:rPr>
              <w:t>61 </w:t>
            </w:r>
            <w:r>
              <w:rPr>
                <w:spacing w:val="-10"/>
                <w:sz w:val="18"/>
              </w:rPr>
              <w:t>%</w:t>
            </w:r>
          </w:p>
        </w:tc>
        <w:tc>
          <w:tcPr>
            <w:tcW w:w="1568" w:type="dxa"/>
            <w:shd w:val="clear" w:color="auto" w:fill="CCEDFF"/>
          </w:tcPr>
          <w:p>
            <w:pPr>
              <w:pStyle w:val="TableParagraph"/>
              <w:spacing w:line="204" w:lineRule="exact"/>
              <w:ind w:right="48"/>
              <w:rPr>
                <w:sz w:val="18"/>
              </w:rPr>
            </w:pPr>
            <w:r>
              <w:rPr>
                <w:sz w:val="18"/>
              </w:rPr>
              <w:t>61 </w:t>
            </w:r>
            <w:r>
              <w:rPr>
                <w:spacing w:val="-10"/>
                <w:sz w:val="18"/>
              </w:rPr>
              <w:t>%</w:t>
            </w:r>
          </w:p>
        </w:tc>
      </w:tr>
      <w:tr>
        <w:trPr>
          <w:trHeight w:val="269" w:hRule="atLeast"/>
        </w:trPr>
        <w:tc>
          <w:tcPr>
            <w:tcW w:w="5023" w:type="dxa"/>
          </w:tcPr>
          <w:p>
            <w:pPr>
              <w:pStyle w:val="TableParagraph"/>
              <w:spacing w:line="204" w:lineRule="exact"/>
              <w:ind w:left="341"/>
              <w:jc w:val="left"/>
              <w:rPr>
                <w:sz w:val="18"/>
              </w:rPr>
            </w:pPr>
            <w:r>
              <w:rPr>
                <w:spacing w:val="-2"/>
                <w:sz w:val="18"/>
              </w:rPr>
              <w:t>International</w:t>
            </w:r>
          </w:p>
        </w:tc>
        <w:tc>
          <w:tcPr>
            <w:tcW w:w="4923" w:type="dxa"/>
          </w:tcPr>
          <w:p>
            <w:pPr>
              <w:pStyle w:val="TableParagraph"/>
              <w:spacing w:line="204" w:lineRule="exact"/>
              <w:ind w:right="266"/>
              <w:rPr>
                <w:sz w:val="18"/>
              </w:rPr>
            </w:pPr>
            <w:r>
              <w:rPr>
                <w:spacing w:val="-5"/>
                <w:sz w:val="18"/>
              </w:rPr>
              <w:t>23</w:t>
            </w:r>
          </w:p>
        </w:tc>
        <w:tc>
          <w:tcPr>
            <w:tcW w:w="1568" w:type="dxa"/>
          </w:tcPr>
          <w:p>
            <w:pPr>
              <w:pStyle w:val="TableParagraph"/>
              <w:spacing w:line="204" w:lineRule="exact"/>
              <w:ind w:right="244"/>
              <w:rPr>
                <w:sz w:val="18"/>
              </w:rPr>
            </w:pPr>
            <w:r>
              <w:rPr>
                <w:spacing w:val="-5"/>
                <w:sz w:val="18"/>
              </w:rPr>
              <w:t>22</w:t>
            </w:r>
          </w:p>
        </w:tc>
      </w:tr>
      <w:tr>
        <w:trPr>
          <w:trHeight w:val="269" w:hRule="atLeast"/>
        </w:trPr>
        <w:tc>
          <w:tcPr>
            <w:tcW w:w="5023" w:type="dxa"/>
            <w:shd w:val="clear" w:color="auto" w:fill="CCEDFF"/>
          </w:tcPr>
          <w:p>
            <w:pPr>
              <w:pStyle w:val="TableParagraph"/>
              <w:spacing w:line="204" w:lineRule="exact"/>
              <w:ind w:left="341"/>
              <w:jc w:val="left"/>
              <w:rPr>
                <w:sz w:val="18"/>
              </w:rPr>
            </w:pPr>
            <w:r>
              <w:rPr>
                <w:spacing w:val="-5"/>
                <w:sz w:val="18"/>
              </w:rPr>
              <w:t>AWS</w:t>
            </w:r>
          </w:p>
        </w:tc>
        <w:tc>
          <w:tcPr>
            <w:tcW w:w="4923" w:type="dxa"/>
            <w:tcBorders>
              <w:bottom w:val="single" w:sz="6" w:space="0" w:color="000000"/>
            </w:tcBorders>
            <w:shd w:val="clear" w:color="auto" w:fill="CCEDFF"/>
          </w:tcPr>
          <w:p>
            <w:pPr>
              <w:pStyle w:val="TableParagraph"/>
              <w:spacing w:line="204" w:lineRule="exact"/>
              <w:ind w:right="266"/>
              <w:rPr>
                <w:sz w:val="18"/>
              </w:rPr>
            </w:pPr>
            <w:r>
              <w:rPr>
                <w:spacing w:val="-5"/>
                <w:sz w:val="18"/>
              </w:rPr>
              <w:t>16</w:t>
            </w:r>
          </w:p>
        </w:tc>
        <w:tc>
          <w:tcPr>
            <w:tcW w:w="1568" w:type="dxa"/>
            <w:tcBorders>
              <w:bottom w:val="single" w:sz="6" w:space="0" w:color="000000"/>
            </w:tcBorders>
            <w:shd w:val="clear" w:color="auto" w:fill="CCEDFF"/>
          </w:tcPr>
          <w:p>
            <w:pPr>
              <w:pStyle w:val="TableParagraph"/>
              <w:spacing w:line="204" w:lineRule="exact"/>
              <w:ind w:right="244"/>
              <w:rPr>
                <w:sz w:val="18"/>
              </w:rPr>
            </w:pPr>
            <w:r>
              <w:rPr>
                <w:spacing w:val="-5"/>
                <w:sz w:val="18"/>
              </w:rPr>
              <w:t>17</w:t>
            </w:r>
          </w:p>
        </w:tc>
      </w:tr>
      <w:tr>
        <w:trPr>
          <w:trHeight w:val="323" w:hRule="atLeast"/>
        </w:trPr>
        <w:tc>
          <w:tcPr>
            <w:tcW w:w="5023" w:type="dxa"/>
          </w:tcPr>
          <w:p>
            <w:pPr>
              <w:pStyle w:val="TableParagraph"/>
              <w:spacing w:line="189" w:lineRule="exact"/>
              <w:ind w:left="665"/>
              <w:jc w:val="left"/>
              <w:rPr>
                <w:sz w:val="18"/>
              </w:rPr>
            </w:pPr>
            <w:r>
              <w:rPr>
                <w:spacing w:val="-2"/>
                <w:sz w:val="18"/>
              </w:rPr>
              <w:t>Consolidated</w:t>
            </w:r>
          </w:p>
        </w:tc>
        <w:tc>
          <w:tcPr>
            <w:tcW w:w="4923" w:type="dxa"/>
            <w:tcBorders>
              <w:top w:val="single" w:sz="6" w:space="0" w:color="000000"/>
            </w:tcBorders>
          </w:tcPr>
          <w:p>
            <w:pPr>
              <w:pStyle w:val="TableParagraph"/>
              <w:spacing w:line="203" w:lineRule="exact"/>
              <w:ind w:right="71"/>
              <w:rPr>
                <w:sz w:val="18"/>
              </w:rPr>
            </w:pPr>
            <w:r>
              <w:rPr>
                <w:sz w:val="18"/>
              </w:rPr>
              <mc:AlternateContent>
                <mc:Choice Requires="wps">
                  <w:drawing>
                    <wp:anchor distT="0" distB="0" distL="0" distR="0" allowOverlap="1" layoutInCell="1" locked="0" behindDoc="1" simplePos="0" relativeHeight="487026688">
                      <wp:simplePos x="0" y="0"/>
                      <wp:positionH relativeFrom="column">
                        <wp:posOffset>2150746</wp:posOffset>
                      </wp:positionH>
                      <wp:positionV relativeFrom="paragraph">
                        <wp:posOffset>155523</wp:posOffset>
                      </wp:positionV>
                      <wp:extent cx="942975" cy="342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942975" cy="34290"/>
                                <a:chExt cx="942975" cy="34290"/>
                              </a:xfrm>
                            </wpg:grpSpPr>
                            <wps:wsp>
                              <wps:cNvPr id="25" name="Graphic 25"/>
                              <wps:cNvSpPr/>
                              <wps:spPr>
                                <a:xfrm>
                                  <a:off x="-12" y="5"/>
                                  <a:ext cx="942975" cy="34290"/>
                                </a:xfrm>
                                <a:custGeom>
                                  <a:avLst/>
                                  <a:gdLst/>
                                  <a:ahLst/>
                                  <a:cxnLst/>
                                  <a:rect l="l" t="t" r="r" b="b"/>
                                  <a:pathLst>
                                    <a:path w="942975" h="34290">
                                      <a:moveTo>
                                        <a:pt x="942975" y="25717"/>
                                      </a:moveTo>
                                      <a:lnTo>
                                        <a:pt x="831532" y="25717"/>
                                      </a:lnTo>
                                      <a:lnTo>
                                        <a:pt x="77152" y="25717"/>
                                      </a:lnTo>
                                      <a:lnTo>
                                        <a:pt x="0" y="25717"/>
                                      </a:lnTo>
                                      <a:lnTo>
                                        <a:pt x="0" y="34290"/>
                                      </a:lnTo>
                                      <a:lnTo>
                                        <a:pt x="77152" y="34290"/>
                                      </a:lnTo>
                                      <a:lnTo>
                                        <a:pt x="831532" y="34290"/>
                                      </a:lnTo>
                                      <a:lnTo>
                                        <a:pt x="942975" y="34290"/>
                                      </a:lnTo>
                                      <a:lnTo>
                                        <a:pt x="942975" y="25717"/>
                                      </a:lnTo>
                                      <a:close/>
                                    </a:path>
                                    <a:path w="942975" h="34290">
                                      <a:moveTo>
                                        <a:pt x="942975" y="0"/>
                                      </a:moveTo>
                                      <a:lnTo>
                                        <a:pt x="831532" y="0"/>
                                      </a:lnTo>
                                      <a:lnTo>
                                        <a:pt x="77152" y="0"/>
                                      </a:lnTo>
                                      <a:lnTo>
                                        <a:pt x="0" y="0"/>
                                      </a:lnTo>
                                      <a:lnTo>
                                        <a:pt x="0" y="8572"/>
                                      </a:lnTo>
                                      <a:lnTo>
                                        <a:pt x="77152" y="8572"/>
                                      </a:lnTo>
                                      <a:lnTo>
                                        <a:pt x="831532" y="8572"/>
                                      </a:lnTo>
                                      <a:lnTo>
                                        <a:pt x="942975" y="8572"/>
                                      </a:lnTo>
                                      <a:lnTo>
                                        <a:pt x="9429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9.350098pt;margin-top:12.24592pt;width:74.25pt;height:2.7pt;mso-position-horizontal-relative:column;mso-position-vertical-relative:paragraph;z-index:-16289792" id="docshapegroup24" coordorigin="3387,245" coordsize="1485,54">
                      <v:shape style="position:absolute;left:3386;top:244;width:1485;height:54" id="docshape25" coordorigin="3387,245" coordsize="1485,54" path="m4872,285l4696,285,3508,285,3387,285,3387,299,3508,299,4696,299,4872,299,4872,285xm4872,245l4696,245,3508,245,3387,245,3387,258,3508,258,4696,258,4872,258,4872,245xe" filled="true" fillcolor="#000000" stroked="false">
                        <v:path arrowok="t"/>
                        <v:fill type="solid"/>
                      </v:shape>
                      <w10:wrap type="none"/>
                    </v:group>
                  </w:pict>
                </mc:Fallback>
              </mc:AlternateContent>
            </w:r>
            <w:r>
              <w:rPr>
                <w:sz w:val="18"/>
              </w:rPr>
              <w:t>100 </w:t>
            </w:r>
            <w:r>
              <w:rPr>
                <w:spacing w:val="-10"/>
                <w:sz w:val="18"/>
              </w:rPr>
              <w:t>%</w:t>
            </w:r>
          </w:p>
        </w:tc>
        <w:tc>
          <w:tcPr>
            <w:tcW w:w="1568" w:type="dxa"/>
            <w:tcBorders>
              <w:top w:val="single" w:sz="6" w:space="0" w:color="000000"/>
            </w:tcBorders>
          </w:tcPr>
          <w:p>
            <w:pPr>
              <w:pStyle w:val="TableParagraph"/>
              <w:spacing w:line="203" w:lineRule="exact"/>
              <w:ind w:right="48"/>
              <w:rPr>
                <w:sz w:val="18"/>
              </w:rPr>
            </w:pPr>
            <w:r>
              <w:rPr>
                <w:sz w:val="18"/>
              </w:rPr>
              <mc:AlternateContent>
                <mc:Choice Requires="wps">
                  <w:drawing>
                    <wp:anchor distT="0" distB="0" distL="0" distR="0" allowOverlap="1" layoutInCell="1" locked="0" behindDoc="1" simplePos="0" relativeHeight="487027200">
                      <wp:simplePos x="0" y="0"/>
                      <wp:positionH relativeFrom="column">
                        <wp:posOffset>35786</wp:posOffset>
                      </wp:positionH>
                      <wp:positionV relativeFrom="paragraph">
                        <wp:posOffset>155523</wp:posOffset>
                      </wp:positionV>
                      <wp:extent cx="942975" cy="3429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942975" cy="34290"/>
                                <a:chExt cx="942975" cy="34290"/>
                              </a:xfrm>
                            </wpg:grpSpPr>
                            <wps:wsp>
                              <wps:cNvPr id="27" name="Graphic 27"/>
                              <wps:cNvSpPr/>
                              <wps:spPr>
                                <a:xfrm>
                                  <a:off x="-11" y="5"/>
                                  <a:ext cx="942975" cy="34290"/>
                                </a:xfrm>
                                <a:custGeom>
                                  <a:avLst/>
                                  <a:gdLst/>
                                  <a:ahLst/>
                                  <a:cxnLst/>
                                  <a:rect l="l" t="t" r="r" b="b"/>
                                  <a:pathLst>
                                    <a:path w="942975" h="34290">
                                      <a:moveTo>
                                        <a:pt x="942975" y="25717"/>
                                      </a:moveTo>
                                      <a:lnTo>
                                        <a:pt x="831532" y="25717"/>
                                      </a:lnTo>
                                      <a:lnTo>
                                        <a:pt x="77152" y="25717"/>
                                      </a:lnTo>
                                      <a:lnTo>
                                        <a:pt x="0" y="25717"/>
                                      </a:lnTo>
                                      <a:lnTo>
                                        <a:pt x="0" y="34290"/>
                                      </a:lnTo>
                                      <a:lnTo>
                                        <a:pt x="77152" y="34290"/>
                                      </a:lnTo>
                                      <a:lnTo>
                                        <a:pt x="831532" y="34290"/>
                                      </a:lnTo>
                                      <a:lnTo>
                                        <a:pt x="942975" y="34290"/>
                                      </a:lnTo>
                                      <a:lnTo>
                                        <a:pt x="942975" y="25717"/>
                                      </a:lnTo>
                                      <a:close/>
                                    </a:path>
                                    <a:path w="942975" h="34290">
                                      <a:moveTo>
                                        <a:pt x="942975" y="0"/>
                                      </a:moveTo>
                                      <a:lnTo>
                                        <a:pt x="831532" y="0"/>
                                      </a:lnTo>
                                      <a:lnTo>
                                        <a:pt x="77152" y="0"/>
                                      </a:lnTo>
                                      <a:lnTo>
                                        <a:pt x="0" y="0"/>
                                      </a:lnTo>
                                      <a:lnTo>
                                        <a:pt x="0" y="8572"/>
                                      </a:lnTo>
                                      <a:lnTo>
                                        <a:pt x="77152" y="8572"/>
                                      </a:lnTo>
                                      <a:lnTo>
                                        <a:pt x="831532" y="8572"/>
                                      </a:lnTo>
                                      <a:lnTo>
                                        <a:pt x="942975" y="8572"/>
                                      </a:lnTo>
                                      <a:lnTo>
                                        <a:pt x="9429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81785pt;margin-top:12.24592pt;width:74.25pt;height:2.7pt;mso-position-horizontal-relative:column;mso-position-vertical-relative:paragraph;z-index:-16289280" id="docshapegroup26" coordorigin="56,245" coordsize="1485,54">
                      <v:shape style="position:absolute;left:56;top:244;width:1485;height:54" id="docshape27" coordorigin="56,245" coordsize="1485,54" path="m1541,285l1366,285,178,285,56,285,56,299,178,299,1366,299,1541,299,1541,285xm1541,245l1366,245,178,245,56,245,56,258,178,258,1366,258,1541,258,1541,245xe" filled="true" fillcolor="#000000" stroked="false">
                        <v:path arrowok="t"/>
                        <v:fill type="solid"/>
                      </v:shape>
                      <w10:wrap type="none"/>
                    </v:group>
                  </w:pict>
                </mc:Fallback>
              </mc:AlternateContent>
            </w:r>
            <w:r>
              <w:rPr>
                <w:sz w:val="18"/>
              </w:rPr>
              <w:t>100 </w:t>
            </w:r>
            <w:r>
              <w:rPr>
                <w:spacing w:val="-10"/>
                <w:sz w:val="18"/>
              </w:rPr>
              <w:t>%</w:t>
            </w:r>
          </w:p>
        </w:tc>
      </w:tr>
    </w:tbl>
    <w:p>
      <w:pPr>
        <w:pStyle w:val="BodyText"/>
        <w:ind w:left="0"/>
        <w:rPr>
          <w:b/>
          <w:sz w:val="14"/>
        </w:rPr>
      </w:pPr>
    </w:p>
    <w:p>
      <w:pPr>
        <w:pStyle w:val="BodyText"/>
        <w:spacing w:line="249" w:lineRule="auto" w:before="1"/>
        <w:ind w:firstLine="445"/>
      </w:pPr>
      <w:r>
        <w:rPr/>
        <w:t>Sales</w:t>
      </w:r>
      <w:r>
        <w:rPr>
          <w:spacing w:val="-3"/>
        </w:rPr>
        <w:t> </w:t>
      </w:r>
      <w:r>
        <w:rPr/>
        <w:t>increased</w:t>
      </w:r>
      <w:r>
        <w:rPr>
          <w:spacing w:val="-3"/>
        </w:rPr>
        <w:t> </w:t>
      </w:r>
      <w:r>
        <w:rPr/>
        <w:t>11%</w:t>
      </w:r>
      <w:r>
        <w:rPr>
          <w:spacing w:val="-3"/>
        </w:rPr>
        <w:t> </w:t>
      </w:r>
      <w:r>
        <w:rPr/>
        <w:t>in</w:t>
      </w:r>
      <w:r>
        <w:rPr>
          <w:spacing w:val="-3"/>
        </w:rPr>
        <w:t> </w:t>
      </w:r>
      <w:r>
        <w:rPr/>
        <w:t>2024,</w:t>
      </w:r>
      <w:r>
        <w:rPr>
          <w:spacing w:val="-3"/>
        </w:rPr>
        <w:t> </w:t>
      </w:r>
      <w:r>
        <w:rPr/>
        <w:t>compared</w:t>
      </w:r>
      <w:r>
        <w:rPr>
          <w:spacing w:val="-3"/>
        </w:rPr>
        <w:t> </w:t>
      </w:r>
      <w:r>
        <w:rPr/>
        <w:t>to</w:t>
      </w:r>
      <w:r>
        <w:rPr>
          <w:spacing w:val="-3"/>
        </w:rPr>
        <w:t> </w:t>
      </w:r>
      <w:r>
        <w:rPr/>
        <w:t>the</w:t>
      </w:r>
      <w:r>
        <w:rPr>
          <w:spacing w:val="-3"/>
        </w:rPr>
        <w:t> </w:t>
      </w:r>
      <w:r>
        <w:rPr/>
        <w:t>prior</w:t>
      </w:r>
      <w:r>
        <w:rPr>
          <w:spacing w:val="-3"/>
        </w:rPr>
        <w:t> </w:t>
      </w:r>
      <w:r>
        <w:rPr/>
        <w:t>year.</w:t>
      </w:r>
      <w:r>
        <w:rPr>
          <w:spacing w:val="-3"/>
        </w:rPr>
        <w:t> </w:t>
      </w:r>
      <w:r>
        <w:rPr/>
        <w:t>Changes</w:t>
      </w:r>
      <w:r>
        <w:rPr>
          <w:spacing w:val="-3"/>
        </w:rPr>
        <w:t> </w:t>
      </w:r>
      <w:r>
        <w:rPr/>
        <w:t>in</w:t>
      </w:r>
      <w:r>
        <w:rPr>
          <w:spacing w:val="-3"/>
        </w:rPr>
        <w:t> </w:t>
      </w:r>
      <w:r>
        <w:rPr/>
        <w:t>foreign</w:t>
      </w:r>
      <w:r>
        <w:rPr>
          <w:spacing w:val="-3"/>
        </w:rPr>
        <w:t> </w:t>
      </w:r>
      <w:r>
        <w:rPr/>
        <w:t>exchange</w:t>
      </w:r>
      <w:r>
        <w:rPr>
          <w:spacing w:val="-3"/>
        </w:rPr>
        <w:t> </w:t>
      </w:r>
      <w:r>
        <w:rPr/>
        <w:t>rates</w:t>
      </w:r>
      <w:r>
        <w:rPr>
          <w:spacing w:val="-3"/>
        </w:rPr>
        <w:t> </w:t>
      </w:r>
      <w:r>
        <w:rPr/>
        <w:t>reduced</w:t>
      </w:r>
      <w:r>
        <w:rPr>
          <w:spacing w:val="-3"/>
        </w:rPr>
        <w:t> </w:t>
      </w:r>
      <w:r>
        <w:rPr/>
        <w:t>net</w:t>
      </w:r>
      <w:r>
        <w:rPr>
          <w:spacing w:val="-3"/>
        </w:rPr>
        <w:t> </w:t>
      </w:r>
      <w:r>
        <w:rPr/>
        <w:t>sales</w:t>
      </w:r>
      <w:r>
        <w:rPr>
          <w:spacing w:val="-3"/>
        </w:rPr>
        <w:t> </w:t>
      </w:r>
      <w:r>
        <w:rPr/>
        <w:t>by</w:t>
      </w:r>
      <w:r>
        <w:rPr>
          <w:spacing w:val="-3"/>
        </w:rPr>
        <w:t> </w:t>
      </w:r>
      <w:r>
        <w:rPr/>
        <w:t>$2.3</w:t>
      </w:r>
      <w:r>
        <w:rPr>
          <w:spacing w:val="-3"/>
        </w:rPr>
        <w:t> </w:t>
      </w:r>
      <w:r>
        <w:rPr/>
        <w:t>billion</w:t>
      </w:r>
      <w:r>
        <w:rPr>
          <w:spacing w:val="-3"/>
        </w:rPr>
        <w:t> </w:t>
      </w:r>
      <w:r>
        <w:rPr/>
        <w:t>in</w:t>
      </w:r>
      <w:r>
        <w:rPr>
          <w:spacing w:val="-3"/>
        </w:rPr>
        <w:t> </w:t>
      </w:r>
      <w:r>
        <w:rPr/>
        <w:t>2024.</w:t>
      </w:r>
      <w:r>
        <w:rPr>
          <w:spacing w:val="-3"/>
        </w:rPr>
        <w:t> </w:t>
      </w:r>
      <w:r>
        <w:rPr/>
        <w:t>For</w:t>
      </w:r>
      <w:r>
        <w:rPr>
          <w:spacing w:val="-3"/>
        </w:rPr>
        <w:t> </w:t>
      </w:r>
      <w:r>
        <w:rPr/>
        <w:t>a</w:t>
      </w:r>
      <w:r>
        <w:rPr>
          <w:spacing w:val="-3"/>
        </w:rPr>
        <w:t> </w:t>
      </w:r>
      <w:r>
        <w:rPr/>
        <w:t>discussion</w:t>
      </w:r>
      <w:r>
        <w:rPr>
          <w:spacing w:val="-3"/>
        </w:rPr>
        <w:t> </w:t>
      </w:r>
      <w:r>
        <w:rPr/>
        <w:t>of the effect of foreign exchange rates on sales growth, see “Effect of Foreign Exchange Rates” below.</w:t>
      </w:r>
    </w:p>
    <w:p>
      <w:pPr>
        <w:pStyle w:val="BodyText"/>
        <w:spacing w:line="249" w:lineRule="auto" w:before="96"/>
        <w:ind w:firstLine="445"/>
      </w:pPr>
      <w:r>
        <w:rPr/>
        <w:t>North</w:t>
      </w:r>
      <w:r>
        <w:rPr>
          <w:spacing w:val="-11"/>
        </w:rPr>
        <w:t> </w:t>
      </w:r>
      <w:r>
        <w:rPr/>
        <w:t>America</w:t>
      </w:r>
      <w:r>
        <w:rPr>
          <w:spacing w:val="-3"/>
        </w:rPr>
        <w:t> </w:t>
      </w:r>
      <w:r>
        <w:rPr/>
        <w:t>sales</w:t>
      </w:r>
      <w:r>
        <w:rPr>
          <w:spacing w:val="-3"/>
        </w:rPr>
        <w:t> </w:t>
      </w:r>
      <w:r>
        <w:rPr/>
        <w:t>increased</w:t>
      </w:r>
      <w:r>
        <w:rPr>
          <w:spacing w:val="-3"/>
        </w:rPr>
        <w:t> </w:t>
      </w:r>
      <w:r>
        <w:rPr/>
        <w:t>10%</w:t>
      </w:r>
      <w:r>
        <w:rPr>
          <w:spacing w:val="-3"/>
        </w:rPr>
        <w:t> </w:t>
      </w:r>
      <w:r>
        <w:rPr/>
        <w:t>in</w:t>
      </w:r>
      <w:r>
        <w:rPr>
          <w:spacing w:val="-3"/>
        </w:rPr>
        <w:t> </w:t>
      </w:r>
      <w:r>
        <w:rPr/>
        <w:t>2024,</w:t>
      </w:r>
      <w:r>
        <w:rPr>
          <w:spacing w:val="-3"/>
        </w:rPr>
        <w:t> </w:t>
      </w:r>
      <w:r>
        <w:rPr/>
        <w:t>compared</w:t>
      </w:r>
      <w:r>
        <w:rPr>
          <w:spacing w:val="-3"/>
        </w:rPr>
        <w:t> </w:t>
      </w:r>
      <w:r>
        <w:rPr/>
        <w:t>to</w:t>
      </w:r>
      <w:r>
        <w:rPr>
          <w:spacing w:val="-3"/>
        </w:rPr>
        <w:t> </w:t>
      </w:r>
      <w:r>
        <w:rPr/>
        <w:t>the</w:t>
      </w:r>
      <w:r>
        <w:rPr>
          <w:spacing w:val="-3"/>
        </w:rPr>
        <w:t> </w:t>
      </w:r>
      <w:r>
        <w:rPr/>
        <w:t>prior</w:t>
      </w:r>
      <w:r>
        <w:rPr>
          <w:spacing w:val="-3"/>
        </w:rPr>
        <w:t> </w:t>
      </w:r>
      <w:r>
        <w:rPr/>
        <w:t>year.</w:t>
      </w:r>
      <w:r>
        <w:rPr>
          <w:spacing w:val="-6"/>
        </w:rPr>
        <w:t> </w:t>
      </w:r>
      <w:r>
        <w:rPr/>
        <w:t>The</w:t>
      </w:r>
      <w:r>
        <w:rPr>
          <w:spacing w:val="-3"/>
        </w:rPr>
        <w:t> </w:t>
      </w:r>
      <w:r>
        <w:rPr/>
        <w:t>sales</w:t>
      </w:r>
      <w:r>
        <w:rPr>
          <w:spacing w:val="-3"/>
        </w:rPr>
        <w:t> </w:t>
      </w:r>
      <w:r>
        <w:rPr/>
        <w:t>growth</w:t>
      </w:r>
      <w:r>
        <w:rPr>
          <w:spacing w:val="-3"/>
        </w:rPr>
        <w:t> </w:t>
      </w:r>
      <w:r>
        <w:rPr/>
        <w:t>primarily</w:t>
      </w:r>
      <w:r>
        <w:rPr>
          <w:spacing w:val="-3"/>
        </w:rPr>
        <w:t> </w:t>
      </w:r>
      <w:r>
        <w:rPr/>
        <w:t>reflects</w:t>
      </w:r>
      <w:r>
        <w:rPr>
          <w:spacing w:val="-3"/>
        </w:rPr>
        <w:t> </w:t>
      </w:r>
      <w:r>
        <w:rPr/>
        <w:t>increased</w:t>
      </w:r>
      <w:r>
        <w:rPr>
          <w:spacing w:val="-3"/>
        </w:rPr>
        <w:t> </w:t>
      </w:r>
      <w:r>
        <w:rPr/>
        <w:t>unit</w:t>
      </w:r>
      <w:r>
        <w:rPr>
          <w:spacing w:val="-3"/>
        </w:rPr>
        <w:t> </w:t>
      </w:r>
      <w:r>
        <w:rPr/>
        <w:t>sales,</w:t>
      </w:r>
      <w:r>
        <w:rPr>
          <w:spacing w:val="-3"/>
        </w:rPr>
        <w:t> </w:t>
      </w:r>
      <w:r>
        <w:rPr/>
        <w:t>including</w:t>
      </w:r>
      <w:r>
        <w:rPr>
          <w:spacing w:val="-3"/>
        </w:rPr>
        <w:t> </w:t>
      </w:r>
      <w:r>
        <w:rPr/>
        <w:t>sales</w:t>
      </w:r>
      <w:r>
        <w:rPr>
          <w:spacing w:val="-3"/>
        </w:rPr>
        <w:t> </w:t>
      </w:r>
      <w:r>
        <w:rPr/>
        <w:t>by</w:t>
      </w:r>
      <w:r>
        <w:rPr>
          <w:spacing w:val="-3"/>
        </w:rPr>
        <w:t> </w:t>
      </w:r>
      <w:r>
        <w:rPr/>
        <w:t>third- party sellers, advertising sales, and subscription services. Increased unit sales were driven largely by our continued focus on price, selection, and convenience for our customers, including from our fast shipping offers. Changes in foreign exchange rates reduced North</w:t>
      </w:r>
      <w:r>
        <w:rPr>
          <w:spacing w:val="-5"/>
        </w:rPr>
        <w:t> </w:t>
      </w:r>
      <w:r>
        <w:rPr/>
        <w:t>America net sales by $462 million in 2024.</w:t>
      </w:r>
    </w:p>
    <w:p>
      <w:pPr>
        <w:pStyle w:val="BodyText"/>
        <w:spacing w:line="249" w:lineRule="auto" w:before="96"/>
        <w:ind w:right="122" w:firstLine="445"/>
      </w:pPr>
      <w:r>
        <w:rPr/>
        <w:t>International sales increased 9% in 2024, compared to the prior year.</w:t>
      </w:r>
      <w:r>
        <w:rPr>
          <w:spacing w:val="-1"/>
        </w:rPr>
        <w:t> </w:t>
      </w:r>
      <w:r>
        <w:rPr/>
        <w:t>The sales growth primarily reflects increased unit sales, including sales by third- party</w:t>
      </w:r>
      <w:r>
        <w:rPr>
          <w:spacing w:val="-3"/>
        </w:rPr>
        <w:t> </w:t>
      </w:r>
      <w:r>
        <w:rPr/>
        <w:t>sellers,</w:t>
      </w:r>
      <w:r>
        <w:rPr>
          <w:spacing w:val="-3"/>
        </w:rPr>
        <w:t> </w:t>
      </w:r>
      <w:r>
        <w:rPr/>
        <w:t>advertising</w:t>
      </w:r>
      <w:r>
        <w:rPr>
          <w:spacing w:val="-3"/>
        </w:rPr>
        <w:t> </w:t>
      </w:r>
      <w:r>
        <w:rPr/>
        <w:t>sales,</w:t>
      </w:r>
      <w:r>
        <w:rPr>
          <w:spacing w:val="-3"/>
        </w:rPr>
        <w:t> </w:t>
      </w:r>
      <w:r>
        <w:rPr/>
        <w:t>and</w:t>
      </w:r>
      <w:r>
        <w:rPr>
          <w:spacing w:val="-3"/>
        </w:rPr>
        <w:t> </w:t>
      </w:r>
      <w:r>
        <w:rPr/>
        <w:t>subscription</w:t>
      </w:r>
      <w:r>
        <w:rPr>
          <w:spacing w:val="-3"/>
        </w:rPr>
        <w:t> </w:t>
      </w:r>
      <w:r>
        <w:rPr/>
        <w:t>services.</w:t>
      </w:r>
      <w:r>
        <w:rPr>
          <w:spacing w:val="-3"/>
        </w:rPr>
        <w:t> </w:t>
      </w:r>
      <w:r>
        <w:rPr/>
        <w:t>Increased</w:t>
      </w:r>
      <w:r>
        <w:rPr>
          <w:spacing w:val="-3"/>
        </w:rPr>
        <w:t> </w:t>
      </w:r>
      <w:r>
        <w:rPr/>
        <w:t>unit</w:t>
      </w:r>
      <w:r>
        <w:rPr>
          <w:spacing w:val="-3"/>
        </w:rPr>
        <w:t> </w:t>
      </w:r>
      <w:r>
        <w:rPr/>
        <w:t>sales</w:t>
      </w:r>
      <w:r>
        <w:rPr>
          <w:spacing w:val="-3"/>
        </w:rPr>
        <w:t> </w:t>
      </w:r>
      <w:r>
        <w:rPr/>
        <w:t>were</w:t>
      </w:r>
      <w:r>
        <w:rPr>
          <w:spacing w:val="-3"/>
        </w:rPr>
        <w:t> </w:t>
      </w:r>
      <w:r>
        <w:rPr/>
        <w:t>driven</w:t>
      </w:r>
      <w:r>
        <w:rPr>
          <w:spacing w:val="-3"/>
        </w:rPr>
        <w:t> </w:t>
      </w:r>
      <w:r>
        <w:rPr/>
        <w:t>largely</w:t>
      </w:r>
      <w:r>
        <w:rPr>
          <w:spacing w:val="-3"/>
        </w:rPr>
        <w:t> </w:t>
      </w:r>
      <w:r>
        <w:rPr/>
        <w:t>by</w:t>
      </w:r>
      <w:r>
        <w:rPr>
          <w:spacing w:val="-3"/>
        </w:rPr>
        <w:t> </w:t>
      </w:r>
      <w:r>
        <w:rPr/>
        <w:t>our</w:t>
      </w:r>
      <w:r>
        <w:rPr>
          <w:spacing w:val="-3"/>
        </w:rPr>
        <w:t> </w:t>
      </w:r>
      <w:r>
        <w:rPr/>
        <w:t>continued</w:t>
      </w:r>
      <w:r>
        <w:rPr>
          <w:spacing w:val="-3"/>
        </w:rPr>
        <w:t> </w:t>
      </w:r>
      <w:r>
        <w:rPr/>
        <w:t>focus</w:t>
      </w:r>
      <w:r>
        <w:rPr>
          <w:spacing w:val="-3"/>
        </w:rPr>
        <w:t> </w:t>
      </w:r>
      <w:r>
        <w:rPr/>
        <w:t>on</w:t>
      </w:r>
      <w:r>
        <w:rPr>
          <w:spacing w:val="-3"/>
        </w:rPr>
        <w:t> </w:t>
      </w:r>
      <w:r>
        <w:rPr/>
        <w:t>price,</w:t>
      </w:r>
      <w:r>
        <w:rPr>
          <w:spacing w:val="-3"/>
        </w:rPr>
        <w:t> </w:t>
      </w:r>
      <w:r>
        <w:rPr/>
        <w:t>selection,</w:t>
      </w:r>
      <w:r>
        <w:rPr>
          <w:spacing w:val="-3"/>
        </w:rPr>
        <w:t> </w:t>
      </w:r>
      <w:r>
        <w:rPr/>
        <w:t>and</w:t>
      </w:r>
      <w:r>
        <w:rPr>
          <w:spacing w:val="-3"/>
        </w:rPr>
        <w:t> </w:t>
      </w:r>
      <w:r>
        <w:rPr/>
        <w:t>convenience for our customers, including from our fast shipping offers. Changes in foreign exchange rates reduced International net sales by $1.8 billion in 2024.</w:t>
      </w:r>
    </w:p>
    <w:p>
      <w:pPr>
        <w:pStyle w:val="BodyText"/>
        <w:ind w:left="0"/>
      </w:pPr>
    </w:p>
    <w:p>
      <w:pPr>
        <w:pStyle w:val="BodyText"/>
        <w:spacing w:before="142"/>
        <w:ind w:left="0"/>
      </w:pPr>
    </w:p>
    <w:p>
      <w:pPr>
        <w:pStyle w:val="BodyText"/>
        <w:jc w:val="center"/>
      </w:pPr>
      <w:r>
        <w:rPr/>
        <mc:AlternateContent>
          <mc:Choice Requires="wps">
            <w:drawing>
              <wp:anchor distT="0" distB="0" distL="0" distR="0" allowOverlap="1" layoutInCell="1" locked="0" behindDoc="0" simplePos="0" relativeHeight="15731200">
                <wp:simplePos x="0" y="0"/>
                <wp:positionH relativeFrom="page">
                  <wp:posOffset>231457</wp:posOffset>
                </wp:positionH>
                <wp:positionV relativeFrom="paragraph">
                  <wp:posOffset>192641</wp:posOffset>
                </wp:positionV>
                <wp:extent cx="7312659" cy="1714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7312659" cy="17145"/>
                          <a:chExt cx="7312659" cy="17145"/>
                        </a:xfrm>
                      </wpg:grpSpPr>
                      <wps:wsp>
                        <wps:cNvPr id="29" name="Graphic 29"/>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68645pt;width:575.8pt;height:1.35pt;mso-position-horizontal-relative:page;mso-position-vertical-relative:paragraph;z-index:15731200" id="docshapegroup28" coordorigin="364,303" coordsize="11516,27">
                <v:rect style="position:absolute;left:364;top:303;width:11516;height:14" id="docshape29" filled="true" fillcolor="#999999" stroked="false">
                  <v:fill type="solid"/>
                </v:rect>
                <v:shape style="position:absolute;left:364;top:303;width:11516;height:27" id="docshape30" coordorigin="364,303" coordsize="11516,27" path="m11880,303l11866,317,364,317,364,330,11866,330,11880,330,11880,317,11880,303xe" filled="true" fillcolor="#ededed" stroked="false">
                  <v:path arrowok="t"/>
                  <v:fill type="solid"/>
                </v:shape>
                <v:shape style="position:absolute;left:364;top:303;width:14;height:27" id="docshape31" coordorigin="364,303" coordsize="14,27" path="m364,330l364,303,378,303,378,317,364,330xe" filled="true" fillcolor="#999999" stroked="false">
                  <v:path arrowok="t"/>
                  <v:fill type="solid"/>
                </v:shape>
                <w10:wrap type="none"/>
              </v:group>
            </w:pict>
          </mc:Fallback>
        </mc:AlternateContent>
      </w:r>
      <w:r>
        <w:rPr>
          <w:spacing w:val="-5"/>
        </w:rPr>
        <w:t>24</w:t>
      </w:r>
    </w:p>
    <w:p>
      <w:pPr>
        <w:pStyle w:val="BodyText"/>
        <w:spacing w:after="0"/>
        <w:jc w:val="center"/>
        <w:sectPr>
          <w:pgSz w:w="12240" w:h="15840"/>
          <w:pgMar w:header="460" w:footer="0" w:top="1180" w:bottom="280" w:left="360" w:right="360"/>
        </w:sectPr>
      </w:pPr>
    </w:p>
    <w:p>
      <w:pPr>
        <w:pStyle w:val="BodyText"/>
        <w:spacing w:line="249" w:lineRule="auto" w:before="123"/>
        <w:ind w:firstLine="445"/>
      </w:pPr>
      <w:r>
        <w:rPr/>
        <w:t>AWS</w:t>
      </w:r>
      <w:r>
        <w:rPr>
          <w:spacing w:val="-4"/>
        </w:rPr>
        <w:t> </w:t>
      </w:r>
      <w:r>
        <w:rPr/>
        <w:t>sales</w:t>
      </w:r>
      <w:r>
        <w:rPr>
          <w:spacing w:val="-4"/>
        </w:rPr>
        <w:t> </w:t>
      </w:r>
      <w:r>
        <w:rPr/>
        <w:t>increased</w:t>
      </w:r>
      <w:r>
        <w:rPr>
          <w:spacing w:val="-4"/>
        </w:rPr>
        <w:t> </w:t>
      </w:r>
      <w:r>
        <w:rPr/>
        <w:t>19%</w:t>
      </w:r>
      <w:r>
        <w:rPr>
          <w:spacing w:val="-4"/>
        </w:rPr>
        <w:t> </w:t>
      </w:r>
      <w:r>
        <w:rPr/>
        <w:t>in</w:t>
      </w:r>
      <w:r>
        <w:rPr>
          <w:spacing w:val="-4"/>
        </w:rPr>
        <w:t> </w:t>
      </w:r>
      <w:r>
        <w:rPr/>
        <w:t>2024,</w:t>
      </w:r>
      <w:r>
        <w:rPr>
          <w:spacing w:val="-4"/>
        </w:rPr>
        <w:t> </w:t>
      </w:r>
      <w:r>
        <w:rPr/>
        <w:t>compared</w:t>
      </w:r>
      <w:r>
        <w:rPr>
          <w:spacing w:val="-4"/>
        </w:rPr>
        <w:t> </w:t>
      </w:r>
      <w:r>
        <w:rPr/>
        <w:t>to</w:t>
      </w:r>
      <w:r>
        <w:rPr>
          <w:spacing w:val="-4"/>
        </w:rPr>
        <w:t> </w:t>
      </w:r>
      <w:r>
        <w:rPr/>
        <w:t>the</w:t>
      </w:r>
      <w:r>
        <w:rPr>
          <w:spacing w:val="-4"/>
        </w:rPr>
        <w:t> </w:t>
      </w:r>
      <w:r>
        <w:rPr/>
        <w:t>prior</w:t>
      </w:r>
      <w:r>
        <w:rPr>
          <w:spacing w:val="-4"/>
        </w:rPr>
        <w:t> </w:t>
      </w:r>
      <w:r>
        <w:rPr/>
        <w:t>year.</w:t>
      </w:r>
      <w:r>
        <w:rPr>
          <w:spacing w:val="-6"/>
        </w:rPr>
        <w:t> </w:t>
      </w:r>
      <w:r>
        <w:rPr/>
        <w:t>The</w:t>
      </w:r>
      <w:r>
        <w:rPr>
          <w:spacing w:val="-4"/>
        </w:rPr>
        <w:t> </w:t>
      </w:r>
      <w:r>
        <w:rPr/>
        <w:t>sales</w:t>
      </w:r>
      <w:r>
        <w:rPr>
          <w:spacing w:val="-4"/>
        </w:rPr>
        <w:t> </w:t>
      </w:r>
      <w:r>
        <w:rPr/>
        <w:t>growth</w:t>
      </w:r>
      <w:r>
        <w:rPr>
          <w:spacing w:val="-4"/>
        </w:rPr>
        <w:t> </w:t>
      </w:r>
      <w:r>
        <w:rPr/>
        <w:t>primarily</w:t>
      </w:r>
      <w:r>
        <w:rPr>
          <w:spacing w:val="-4"/>
        </w:rPr>
        <w:t> </w:t>
      </w:r>
      <w:r>
        <w:rPr/>
        <w:t>reflects</w:t>
      </w:r>
      <w:r>
        <w:rPr>
          <w:spacing w:val="-4"/>
        </w:rPr>
        <w:t> </w:t>
      </w:r>
      <w:r>
        <w:rPr/>
        <w:t>increased</w:t>
      </w:r>
      <w:r>
        <w:rPr>
          <w:spacing w:val="-4"/>
        </w:rPr>
        <w:t> </w:t>
      </w:r>
      <w:r>
        <w:rPr/>
        <w:t>customer</w:t>
      </w:r>
      <w:r>
        <w:rPr>
          <w:spacing w:val="-4"/>
        </w:rPr>
        <w:t> </w:t>
      </w:r>
      <w:r>
        <w:rPr/>
        <w:t>usage,</w:t>
      </w:r>
      <w:r>
        <w:rPr>
          <w:spacing w:val="-4"/>
        </w:rPr>
        <w:t> </w:t>
      </w:r>
      <w:r>
        <w:rPr/>
        <w:t>partially</w:t>
      </w:r>
      <w:r>
        <w:rPr>
          <w:spacing w:val="-4"/>
        </w:rPr>
        <w:t> </w:t>
      </w:r>
      <w:r>
        <w:rPr/>
        <w:t>offset</w:t>
      </w:r>
      <w:r>
        <w:rPr>
          <w:spacing w:val="-4"/>
        </w:rPr>
        <w:t> </w:t>
      </w:r>
      <w:r>
        <w:rPr/>
        <w:t>by</w:t>
      </w:r>
      <w:r>
        <w:rPr>
          <w:spacing w:val="-4"/>
        </w:rPr>
        <w:t> </w:t>
      </w:r>
      <w:r>
        <w:rPr/>
        <w:t>pricing changes primarily driven by long-term customer contracts.</w:t>
      </w:r>
    </w:p>
    <w:p>
      <w:pPr>
        <w:pStyle w:val="BodyText"/>
        <w:spacing w:before="37"/>
        <w:ind w:left="0"/>
      </w:pPr>
    </w:p>
    <w:p>
      <w:pPr>
        <w:spacing w:before="0"/>
        <w:ind w:left="206" w:right="0" w:firstLine="0"/>
        <w:jc w:val="left"/>
        <w:rPr>
          <w:i/>
          <w:sz w:val="18"/>
        </w:rPr>
      </w:pPr>
      <w:r>
        <w:rPr>
          <w:i/>
          <w:sz w:val="18"/>
        </w:rPr>
        <w:t>Operating</w:t>
      </w:r>
      <w:r>
        <w:rPr>
          <w:i/>
          <w:spacing w:val="-3"/>
          <w:sz w:val="18"/>
        </w:rPr>
        <w:t> </w:t>
      </w:r>
      <w:r>
        <w:rPr>
          <w:i/>
          <w:spacing w:val="-2"/>
          <w:sz w:val="18"/>
        </w:rPr>
        <w:t>Expenses</w:t>
      </w:r>
    </w:p>
    <w:p>
      <w:pPr>
        <w:pStyle w:val="BodyText"/>
        <w:spacing w:before="104"/>
        <w:ind w:left="449"/>
      </w:pPr>
      <w:r>
        <w:rPr/>
        <w:t>Information</w:t>
      </w:r>
      <w:r>
        <w:rPr>
          <w:spacing w:val="-1"/>
        </w:rPr>
        <w:t> </w:t>
      </w:r>
      <w:r>
        <w:rPr/>
        <w:t>about</w:t>
      </w:r>
      <w:r>
        <w:rPr>
          <w:spacing w:val="-1"/>
        </w:rPr>
        <w:t> </w:t>
      </w:r>
      <w:r>
        <w:rPr/>
        <w:t>operating</w:t>
      </w:r>
      <w:r>
        <w:rPr>
          <w:spacing w:val="-1"/>
        </w:rPr>
        <w:t> </w:t>
      </w:r>
      <w:r>
        <w:rPr/>
        <w:t>expenses</w:t>
      </w:r>
      <w:r>
        <w:rPr>
          <w:spacing w:val="-1"/>
        </w:rPr>
        <w:t> </w:t>
      </w:r>
      <w:r>
        <w:rPr/>
        <w:t>is</w:t>
      </w:r>
      <w:r>
        <w:rPr>
          <w:spacing w:val="-1"/>
        </w:rPr>
        <w:t> </w:t>
      </w:r>
      <w:r>
        <w:rPr/>
        <w:t>as</w:t>
      </w:r>
      <w:r>
        <w:rPr>
          <w:spacing w:val="-1"/>
        </w:rPr>
        <w:t> </w:t>
      </w:r>
      <w:r>
        <w:rPr/>
        <w:t>follows</w:t>
      </w:r>
      <w:r>
        <w:rPr>
          <w:spacing w:val="-1"/>
        </w:rPr>
        <w:t> </w:t>
      </w:r>
      <w:r>
        <w:rPr/>
        <w:t>(in</w:t>
      </w:r>
      <w:r>
        <w:rPr>
          <w:spacing w:val="-1"/>
        </w:rPr>
        <w:t> </w:t>
      </w:r>
      <w:r>
        <w:rPr>
          <w:spacing w:val="-2"/>
        </w:rPr>
        <w:t>millions):</w:t>
      </w:r>
    </w:p>
    <w:p>
      <w:pPr>
        <w:tabs>
          <w:tab w:pos="10890" w:val="right" w:leader="none"/>
        </w:tabs>
        <w:spacing w:line="362" w:lineRule="auto" w:before="59"/>
        <w:ind w:left="9010" w:right="627" w:firstLine="143"/>
        <w:jc w:val="left"/>
        <w:rPr>
          <w:b/>
          <w:sz w:val="14"/>
        </w:rPr>
      </w:pPr>
      <w:r>
        <w:rPr>
          <w:b/>
          <w:sz w:val="14"/>
        </w:rPr>
        <mc:AlternateContent>
          <mc:Choice Requires="wps">
            <w:drawing>
              <wp:anchor distT="0" distB="0" distL="0" distR="0" allowOverlap="1" layoutInCell="1" locked="0" behindDoc="0" simplePos="0" relativeHeight="15734784">
                <wp:simplePos x="0" y="0"/>
                <wp:positionH relativeFrom="page">
                  <wp:posOffset>5572112</wp:posOffset>
                </wp:positionH>
                <wp:positionV relativeFrom="paragraph">
                  <wp:posOffset>172344</wp:posOffset>
                </wp:positionV>
                <wp:extent cx="1954530" cy="889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954530" cy="8890"/>
                        </a:xfrm>
                        <a:custGeom>
                          <a:avLst/>
                          <a:gdLst/>
                          <a:ahLst/>
                          <a:cxnLst/>
                          <a:rect l="l" t="t" r="r" b="b"/>
                          <a:pathLst>
                            <a:path w="1954530" h="8890">
                              <a:moveTo>
                                <a:pt x="1954530" y="0"/>
                              </a:moveTo>
                              <a:lnTo>
                                <a:pt x="1954530" y="0"/>
                              </a:lnTo>
                              <a:lnTo>
                                <a:pt x="0" y="0"/>
                              </a:lnTo>
                              <a:lnTo>
                                <a:pt x="0" y="8572"/>
                              </a:lnTo>
                              <a:lnTo>
                                <a:pt x="1954530" y="8572"/>
                              </a:lnTo>
                              <a:lnTo>
                                <a:pt x="19545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749023pt;margin-top:13.570424pt;width:153.900007pt;height:.675pt;mso-position-horizontal-relative:page;mso-position-vertical-relative:paragraph;z-index:15734784" id="docshape32" filled="true" fillcolor="#000000" stroked="false">
                <v:fill type="solid"/>
                <w10:wrap type="none"/>
              </v:rect>
            </w:pict>
          </mc:Fallback>
        </mc:AlternateContent>
      </w:r>
      <w:r>
        <w:rPr>
          <w:b/>
          <w:sz w:val="14"/>
        </w:rPr>
        <mc:AlternateContent>
          <mc:Choice Requires="wps">
            <w:drawing>
              <wp:anchor distT="0" distB="0" distL="0" distR="0" allowOverlap="1" layoutInCell="1" locked="0" behindDoc="0" simplePos="0" relativeHeight="15735296">
                <wp:simplePos x="0" y="0"/>
                <wp:positionH relativeFrom="page">
                  <wp:posOffset>5572112</wp:posOffset>
                </wp:positionH>
                <wp:positionV relativeFrom="paragraph">
                  <wp:posOffset>326649</wp:posOffset>
                </wp:positionV>
                <wp:extent cx="942975" cy="889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942975" cy="8890"/>
                        </a:xfrm>
                        <a:custGeom>
                          <a:avLst/>
                          <a:gdLst/>
                          <a:ahLst/>
                          <a:cxnLst/>
                          <a:rect l="l" t="t" r="r" b="b"/>
                          <a:pathLst>
                            <a:path w="942975" h="8890">
                              <a:moveTo>
                                <a:pt x="942975" y="0"/>
                              </a:moveTo>
                              <a:lnTo>
                                <a:pt x="831532" y="0"/>
                              </a:lnTo>
                              <a:lnTo>
                                <a:pt x="68580" y="0"/>
                              </a:lnTo>
                              <a:lnTo>
                                <a:pt x="0" y="0"/>
                              </a:lnTo>
                              <a:lnTo>
                                <a:pt x="0" y="8572"/>
                              </a:lnTo>
                              <a:lnTo>
                                <a:pt x="68580" y="8572"/>
                              </a:lnTo>
                              <a:lnTo>
                                <a:pt x="831532" y="8572"/>
                              </a:lnTo>
                              <a:lnTo>
                                <a:pt x="942975" y="8572"/>
                              </a:lnTo>
                              <a:lnTo>
                                <a:pt x="942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8.749023pt;margin-top:25.720425pt;width:74.25pt;height:.7pt;mso-position-horizontal-relative:page;mso-position-vertical-relative:paragraph;z-index:15735296" id="docshape33" coordorigin="8775,514" coordsize="1485,14" path="m10260,514l10084,514,8883,514,8775,514,8775,528,8883,528,10084,528,10260,528,10260,514xe" filled="true" fillcolor="#000000" stroked="false">
                <v:path arrowok="t"/>
                <v:fill type="solid"/>
                <w10:wrap type="none"/>
              </v:shape>
            </w:pict>
          </mc:Fallback>
        </mc:AlternateContent>
      </w:r>
      <w:r>
        <w:rPr>
          <w:b/>
          <w:sz w:val="14"/>
        </w:rPr>
        <mc:AlternateContent>
          <mc:Choice Requires="wps">
            <w:drawing>
              <wp:anchor distT="0" distB="0" distL="0" distR="0" allowOverlap="1" layoutInCell="1" locked="0" behindDoc="0" simplePos="0" relativeHeight="15735808">
                <wp:simplePos x="0" y="0"/>
                <wp:positionH relativeFrom="page">
                  <wp:posOffset>6583667</wp:posOffset>
                </wp:positionH>
                <wp:positionV relativeFrom="paragraph">
                  <wp:posOffset>326649</wp:posOffset>
                </wp:positionV>
                <wp:extent cx="942975" cy="889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942975" cy="8890"/>
                        </a:xfrm>
                        <a:custGeom>
                          <a:avLst/>
                          <a:gdLst/>
                          <a:ahLst/>
                          <a:cxnLst/>
                          <a:rect l="l" t="t" r="r" b="b"/>
                          <a:pathLst>
                            <a:path w="942975" h="8890">
                              <a:moveTo>
                                <a:pt x="942975" y="0"/>
                              </a:moveTo>
                              <a:lnTo>
                                <a:pt x="831532" y="0"/>
                              </a:lnTo>
                              <a:lnTo>
                                <a:pt x="68580" y="0"/>
                              </a:lnTo>
                              <a:lnTo>
                                <a:pt x="0" y="0"/>
                              </a:lnTo>
                              <a:lnTo>
                                <a:pt x="0" y="8572"/>
                              </a:lnTo>
                              <a:lnTo>
                                <a:pt x="68580" y="8572"/>
                              </a:lnTo>
                              <a:lnTo>
                                <a:pt x="831532" y="8572"/>
                              </a:lnTo>
                              <a:lnTo>
                                <a:pt x="942975" y="8572"/>
                              </a:lnTo>
                              <a:lnTo>
                                <a:pt x="942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18.399048pt;margin-top:25.720425pt;width:74.25pt;height:.7pt;mso-position-horizontal-relative:page;mso-position-vertical-relative:paragraph;z-index:15735808" id="docshape34" coordorigin="10368,514" coordsize="1485,14" path="m11853,514l11677,514,10476,514,10368,514,10368,528,10476,528,11677,528,11853,528,11853,514xe" filled="true" fillcolor="#000000" stroked="false">
                <v:path arrowok="t"/>
                <v:fill type="solid"/>
                <w10:wrap type="none"/>
              </v:shape>
            </w:pict>
          </mc:Fallback>
        </mc:AlternateContent>
      </w:r>
      <w:r>
        <w:rPr>
          <w:b/>
          <w:sz w:val="14"/>
        </w:rPr>
        <w:t>Year Ended December 31,</w:t>
      </w:r>
      <w:r>
        <w:rPr>
          <w:b/>
          <w:spacing w:val="40"/>
          <w:sz w:val="14"/>
        </w:rPr>
        <w:t> </w:t>
      </w:r>
      <w:r>
        <w:rPr>
          <w:b/>
          <w:spacing w:val="-4"/>
          <w:sz w:val="14"/>
        </w:rPr>
        <w:t>2023</w:t>
      </w:r>
      <w:r>
        <w:rPr>
          <w:sz w:val="14"/>
        </w:rPr>
        <w:tab/>
      </w:r>
      <w:r>
        <w:rPr>
          <w:b/>
          <w:spacing w:val="-4"/>
          <w:sz w:val="14"/>
        </w:rPr>
        <w:t>2024</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59"/>
        <w:gridCol w:w="4287"/>
        <w:gridCol w:w="1570"/>
      </w:tblGrid>
      <w:tr>
        <w:trPr>
          <w:trHeight w:val="263" w:hRule="atLeast"/>
        </w:trPr>
        <w:tc>
          <w:tcPr>
            <w:tcW w:w="5659" w:type="dxa"/>
          </w:tcPr>
          <w:p>
            <w:pPr>
              <w:pStyle w:val="TableParagraph"/>
              <w:spacing w:line="197" w:lineRule="exact"/>
              <w:ind w:left="17"/>
              <w:jc w:val="left"/>
              <w:rPr>
                <w:sz w:val="18"/>
              </w:rPr>
            </w:pPr>
            <w:r>
              <w:rPr>
                <w:sz w:val="18"/>
              </w:rPr>
              <w:t>Operating</w:t>
            </w:r>
            <w:r>
              <w:rPr>
                <w:spacing w:val="-1"/>
                <w:sz w:val="18"/>
              </w:rPr>
              <w:t> </w:t>
            </w:r>
            <w:r>
              <w:rPr>
                <w:spacing w:val="-2"/>
                <w:sz w:val="18"/>
              </w:rPr>
              <w:t>Expenses:</w:t>
            </w:r>
          </w:p>
        </w:tc>
        <w:tc>
          <w:tcPr>
            <w:tcW w:w="5857" w:type="dxa"/>
            <w:gridSpan w:val="2"/>
          </w:tcPr>
          <w:p>
            <w:pPr>
              <w:pStyle w:val="TableParagraph"/>
              <w:jc w:val="left"/>
              <w:rPr>
                <w:sz w:val="16"/>
              </w:rPr>
            </w:pPr>
          </w:p>
        </w:tc>
      </w:tr>
      <w:tr>
        <w:trPr>
          <w:trHeight w:val="269" w:hRule="atLeast"/>
        </w:trPr>
        <w:tc>
          <w:tcPr>
            <w:tcW w:w="5659" w:type="dxa"/>
            <w:shd w:val="clear" w:color="auto" w:fill="CCEDFF"/>
          </w:tcPr>
          <w:p>
            <w:pPr>
              <w:pStyle w:val="TableParagraph"/>
              <w:spacing w:line="204" w:lineRule="exact"/>
              <w:ind w:left="125"/>
              <w:jc w:val="left"/>
              <w:rPr>
                <w:sz w:val="18"/>
              </w:rPr>
            </w:pPr>
            <w:r>
              <w:rPr>
                <w:sz w:val="18"/>
              </w:rPr>
              <w:t>Cost</w:t>
            </w:r>
            <w:r>
              <w:rPr>
                <w:spacing w:val="-1"/>
                <w:sz w:val="18"/>
              </w:rPr>
              <w:t> </w:t>
            </w:r>
            <w:r>
              <w:rPr>
                <w:sz w:val="18"/>
              </w:rPr>
              <w:t>of</w:t>
            </w:r>
            <w:r>
              <w:rPr>
                <w:spacing w:val="-1"/>
                <w:sz w:val="18"/>
              </w:rPr>
              <w:t> </w:t>
            </w:r>
            <w:r>
              <w:rPr>
                <w:spacing w:val="-2"/>
                <w:sz w:val="18"/>
              </w:rPr>
              <w:t>sales</w:t>
            </w:r>
          </w:p>
        </w:tc>
        <w:tc>
          <w:tcPr>
            <w:tcW w:w="4287" w:type="dxa"/>
            <w:shd w:val="clear" w:color="auto" w:fill="CCEDFF"/>
          </w:tcPr>
          <w:p>
            <w:pPr>
              <w:pStyle w:val="TableParagraph"/>
              <w:tabs>
                <w:tab w:pos="3432" w:val="left" w:leader="none"/>
              </w:tabs>
              <w:spacing w:line="204" w:lineRule="exact"/>
              <w:ind w:left="2769"/>
              <w:jc w:val="left"/>
              <w:rPr>
                <w:sz w:val="18"/>
              </w:rPr>
            </w:pPr>
            <w:r>
              <w:rPr>
                <w:spacing w:val="-10"/>
                <w:sz w:val="18"/>
              </w:rPr>
              <w:t>$</w:t>
            </w:r>
            <w:r>
              <w:rPr>
                <w:sz w:val="18"/>
              </w:rPr>
              <w:tab/>
            </w:r>
            <w:r>
              <w:rPr>
                <w:spacing w:val="-2"/>
                <w:sz w:val="18"/>
              </w:rPr>
              <w:t>304,739</w:t>
            </w:r>
          </w:p>
        </w:tc>
        <w:tc>
          <w:tcPr>
            <w:tcW w:w="1570" w:type="dxa"/>
            <w:shd w:val="clear" w:color="auto" w:fill="CCEDFF"/>
          </w:tcPr>
          <w:p>
            <w:pPr>
              <w:pStyle w:val="TableParagraph"/>
              <w:tabs>
                <w:tab w:pos="737" w:val="left" w:leader="none"/>
              </w:tabs>
              <w:spacing w:line="204" w:lineRule="exact"/>
              <w:ind w:left="74"/>
              <w:jc w:val="left"/>
              <w:rPr>
                <w:sz w:val="18"/>
              </w:rPr>
            </w:pPr>
            <w:r>
              <w:rPr>
                <w:spacing w:val="-10"/>
                <w:sz w:val="18"/>
              </w:rPr>
              <w:t>$</w:t>
            </w:r>
            <w:r>
              <w:rPr>
                <w:sz w:val="18"/>
              </w:rPr>
              <w:tab/>
            </w:r>
            <w:r>
              <w:rPr>
                <w:spacing w:val="-2"/>
                <w:sz w:val="18"/>
              </w:rPr>
              <w:t>326,288</w:t>
            </w:r>
          </w:p>
        </w:tc>
      </w:tr>
      <w:tr>
        <w:trPr>
          <w:trHeight w:val="269" w:hRule="atLeast"/>
        </w:trPr>
        <w:tc>
          <w:tcPr>
            <w:tcW w:w="5659" w:type="dxa"/>
          </w:tcPr>
          <w:p>
            <w:pPr>
              <w:pStyle w:val="TableParagraph"/>
              <w:spacing w:line="204" w:lineRule="exact"/>
              <w:ind w:left="125"/>
              <w:jc w:val="left"/>
              <w:rPr>
                <w:sz w:val="18"/>
              </w:rPr>
            </w:pPr>
            <w:r>
              <w:rPr>
                <w:spacing w:val="-2"/>
                <w:sz w:val="18"/>
              </w:rPr>
              <w:t>Fulfillment</w:t>
            </w:r>
          </w:p>
        </w:tc>
        <w:tc>
          <w:tcPr>
            <w:tcW w:w="4287" w:type="dxa"/>
          </w:tcPr>
          <w:p>
            <w:pPr>
              <w:pStyle w:val="TableParagraph"/>
              <w:spacing w:line="204" w:lineRule="exact"/>
              <w:ind w:right="268"/>
              <w:rPr>
                <w:sz w:val="18"/>
              </w:rPr>
            </w:pPr>
            <w:r>
              <w:rPr>
                <w:spacing w:val="-2"/>
                <w:sz w:val="18"/>
              </w:rPr>
              <w:t>90,619</w:t>
            </w:r>
          </w:p>
        </w:tc>
        <w:tc>
          <w:tcPr>
            <w:tcW w:w="1570" w:type="dxa"/>
          </w:tcPr>
          <w:p>
            <w:pPr>
              <w:pStyle w:val="TableParagraph"/>
              <w:spacing w:line="204" w:lineRule="exact"/>
              <w:ind w:left="826"/>
              <w:jc w:val="left"/>
              <w:rPr>
                <w:sz w:val="18"/>
              </w:rPr>
            </w:pPr>
            <w:r>
              <w:rPr>
                <w:spacing w:val="-2"/>
                <w:sz w:val="18"/>
              </w:rPr>
              <w:t>98,505</w:t>
            </w:r>
          </w:p>
        </w:tc>
      </w:tr>
      <w:tr>
        <w:trPr>
          <w:trHeight w:val="269" w:hRule="atLeast"/>
        </w:trPr>
        <w:tc>
          <w:tcPr>
            <w:tcW w:w="5659" w:type="dxa"/>
            <w:shd w:val="clear" w:color="auto" w:fill="CCEDFF"/>
          </w:tcPr>
          <w:p>
            <w:pPr>
              <w:pStyle w:val="TableParagraph"/>
              <w:spacing w:line="204" w:lineRule="exact"/>
              <w:ind w:left="125"/>
              <w:jc w:val="left"/>
              <w:rPr>
                <w:sz w:val="18"/>
              </w:rPr>
            </w:pPr>
            <w:r>
              <w:rPr>
                <w:sz w:val="18"/>
              </w:rPr>
              <w:t>Technology</w:t>
            </w:r>
            <w:r>
              <w:rPr>
                <w:spacing w:val="-8"/>
                <w:sz w:val="18"/>
              </w:rPr>
              <w:t> </w:t>
            </w:r>
            <w:r>
              <w:rPr>
                <w:sz w:val="18"/>
              </w:rPr>
              <w:t>and</w:t>
            </w:r>
            <w:r>
              <w:rPr>
                <w:spacing w:val="-7"/>
                <w:sz w:val="18"/>
              </w:rPr>
              <w:t> </w:t>
            </w:r>
            <w:r>
              <w:rPr>
                <w:spacing w:val="-2"/>
                <w:sz w:val="18"/>
              </w:rPr>
              <w:t>infrastructure</w:t>
            </w:r>
          </w:p>
        </w:tc>
        <w:tc>
          <w:tcPr>
            <w:tcW w:w="4287" w:type="dxa"/>
            <w:shd w:val="clear" w:color="auto" w:fill="CCEDFF"/>
          </w:tcPr>
          <w:p>
            <w:pPr>
              <w:pStyle w:val="TableParagraph"/>
              <w:spacing w:line="204" w:lineRule="exact"/>
              <w:ind w:right="268"/>
              <w:rPr>
                <w:sz w:val="18"/>
              </w:rPr>
            </w:pPr>
            <w:r>
              <w:rPr>
                <w:spacing w:val="-2"/>
                <w:sz w:val="18"/>
              </w:rPr>
              <w:t>85,622</w:t>
            </w:r>
          </w:p>
        </w:tc>
        <w:tc>
          <w:tcPr>
            <w:tcW w:w="1570" w:type="dxa"/>
            <w:shd w:val="clear" w:color="auto" w:fill="CCEDFF"/>
          </w:tcPr>
          <w:p>
            <w:pPr>
              <w:pStyle w:val="TableParagraph"/>
              <w:spacing w:line="204" w:lineRule="exact"/>
              <w:ind w:left="826"/>
              <w:jc w:val="left"/>
              <w:rPr>
                <w:sz w:val="18"/>
              </w:rPr>
            </w:pPr>
            <w:r>
              <w:rPr>
                <w:spacing w:val="-2"/>
                <w:sz w:val="18"/>
              </w:rPr>
              <w:t>88,544</w:t>
            </w:r>
          </w:p>
        </w:tc>
      </w:tr>
      <w:tr>
        <w:trPr>
          <w:trHeight w:val="269" w:hRule="atLeast"/>
        </w:trPr>
        <w:tc>
          <w:tcPr>
            <w:tcW w:w="5659" w:type="dxa"/>
          </w:tcPr>
          <w:p>
            <w:pPr>
              <w:pStyle w:val="TableParagraph"/>
              <w:spacing w:line="204" w:lineRule="exact"/>
              <w:ind w:left="125"/>
              <w:jc w:val="left"/>
              <w:rPr>
                <w:sz w:val="18"/>
              </w:rPr>
            </w:pPr>
            <w:r>
              <w:rPr>
                <w:sz w:val="18"/>
              </w:rPr>
              <w:t>Sales</w:t>
            </w:r>
            <w:r>
              <w:rPr>
                <w:spacing w:val="-1"/>
                <w:sz w:val="18"/>
              </w:rPr>
              <w:t> </w:t>
            </w:r>
            <w:r>
              <w:rPr>
                <w:sz w:val="18"/>
              </w:rPr>
              <w:t>and</w:t>
            </w:r>
            <w:r>
              <w:rPr>
                <w:spacing w:val="-1"/>
                <w:sz w:val="18"/>
              </w:rPr>
              <w:t> </w:t>
            </w:r>
            <w:r>
              <w:rPr>
                <w:spacing w:val="-2"/>
                <w:sz w:val="18"/>
              </w:rPr>
              <w:t>marketing</w:t>
            </w:r>
          </w:p>
        </w:tc>
        <w:tc>
          <w:tcPr>
            <w:tcW w:w="4287" w:type="dxa"/>
          </w:tcPr>
          <w:p>
            <w:pPr>
              <w:pStyle w:val="TableParagraph"/>
              <w:spacing w:line="204" w:lineRule="exact"/>
              <w:ind w:right="268"/>
              <w:rPr>
                <w:sz w:val="18"/>
              </w:rPr>
            </w:pPr>
            <w:r>
              <w:rPr>
                <w:spacing w:val="-2"/>
                <w:sz w:val="18"/>
              </w:rPr>
              <w:t>44,370</w:t>
            </w:r>
          </w:p>
        </w:tc>
        <w:tc>
          <w:tcPr>
            <w:tcW w:w="1570" w:type="dxa"/>
          </w:tcPr>
          <w:p>
            <w:pPr>
              <w:pStyle w:val="TableParagraph"/>
              <w:spacing w:line="204" w:lineRule="exact"/>
              <w:ind w:left="826"/>
              <w:jc w:val="left"/>
              <w:rPr>
                <w:sz w:val="18"/>
              </w:rPr>
            </w:pPr>
            <w:r>
              <w:rPr>
                <w:spacing w:val="-2"/>
                <w:sz w:val="18"/>
              </w:rPr>
              <w:t>43,907</w:t>
            </w:r>
          </w:p>
        </w:tc>
      </w:tr>
      <w:tr>
        <w:trPr>
          <w:trHeight w:val="269" w:hRule="atLeast"/>
        </w:trPr>
        <w:tc>
          <w:tcPr>
            <w:tcW w:w="5659" w:type="dxa"/>
            <w:shd w:val="clear" w:color="auto" w:fill="CCEDFF"/>
          </w:tcPr>
          <w:p>
            <w:pPr>
              <w:pStyle w:val="TableParagraph"/>
              <w:spacing w:line="204" w:lineRule="exact"/>
              <w:ind w:left="125"/>
              <w:jc w:val="left"/>
              <w:rPr>
                <w:sz w:val="18"/>
              </w:rPr>
            </w:pPr>
            <w:r>
              <w:rPr>
                <w:sz w:val="18"/>
              </w:rPr>
              <w:t>General</w:t>
            </w:r>
            <w:r>
              <w:rPr>
                <w:spacing w:val="-1"/>
                <w:sz w:val="18"/>
              </w:rPr>
              <w:t> </w:t>
            </w:r>
            <w:r>
              <w:rPr>
                <w:sz w:val="18"/>
              </w:rPr>
              <w:t>and</w:t>
            </w:r>
            <w:r>
              <w:rPr>
                <w:spacing w:val="-1"/>
                <w:sz w:val="18"/>
              </w:rPr>
              <w:t> </w:t>
            </w:r>
            <w:r>
              <w:rPr>
                <w:spacing w:val="-2"/>
                <w:sz w:val="18"/>
              </w:rPr>
              <w:t>administrative</w:t>
            </w:r>
          </w:p>
        </w:tc>
        <w:tc>
          <w:tcPr>
            <w:tcW w:w="4287" w:type="dxa"/>
            <w:shd w:val="clear" w:color="auto" w:fill="CCEDFF"/>
          </w:tcPr>
          <w:p>
            <w:pPr>
              <w:pStyle w:val="TableParagraph"/>
              <w:spacing w:line="204" w:lineRule="exact"/>
              <w:ind w:right="269"/>
              <w:rPr>
                <w:sz w:val="18"/>
              </w:rPr>
            </w:pPr>
            <w:r>
              <w:rPr>
                <w:spacing w:val="-2"/>
                <w:sz w:val="18"/>
              </w:rPr>
              <w:t>11,816</w:t>
            </w:r>
          </w:p>
        </w:tc>
        <w:tc>
          <w:tcPr>
            <w:tcW w:w="1570" w:type="dxa"/>
            <w:shd w:val="clear" w:color="auto" w:fill="CCEDFF"/>
          </w:tcPr>
          <w:p>
            <w:pPr>
              <w:pStyle w:val="TableParagraph"/>
              <w:spacing w:line="204" w:lineRule="exact"/>
              <w:ind w:left="833"/>
              <w:jc w:val="left"/>
              <w:rPr>
                <w:sz w:val="18"/>
              </w:rPr>
            </w:pPr>
            <w:r>
              <w:rPr>
                <w:spacing w:val="-2"/>
                <w:sz w:val="18"/>
              </w:rPr>
              <w:t>11,359</w:t>
            </w:r>
          </w:p>
        </w:tc>
      </w:tr>
      <w:tr>
        <w:trPr>
          <w:trHeight w:val="268" w:hRule="atLeast"/>
        </w:trPr>
        <w:tc>
          <w:tcPr>
            <w:tcW w:w="5659" w:type="dxa"/>
          </w:tcPr>
          <w:p>
            <w:pPr>
              <w:pStyle w:val="TableParagraph"/>
              <w:spacing w:line="204" w:lineRule="exact"/>
              <w:ind w:left="125"/>
              <w:jc w:val="left"/>
              <w:rPr>
                <w:sz w:val="18"/>
              </w:rPr>
            </w:pPr>
            <w:r>
              <w:rPr>
                <w:sz w:val="18"/>
              </w:rPr>
              <w:t>Other</w:t>
            </w:r>
            <w:r>
              <w:rPr>
                <w:spacing w:val="-1"/>
                <w:sz w:val="18"/>
              </w:rPr>
              <w:t> </w:t>
            </w:r>
            <w:r>
              <w:rPr>
                <w:sz w:val="18"/>
              </w:rPr>
              <w:t>operating</w:t>
            </w:r>
            <w:r>
              <w:rPr>
                <w:spacing w:val="-1"/>
                <w:sz w:val="18"/>
              </w:rPr>
              <w:t> </w:t>
            </w:r>
            <w:r>
              <w:rPr>
                <w:sz w:val="18"/>
              </w:rPr>
              <w:t>expense</w:t>
            </w:r>
            <w:r>
              <w:rPr>
                <w:spacing w:val="-1"/>
                <w:sz w:val="18"/>
              </w:rPr>
              <w:t> </w:t>
            </w:r>
            <w:r>
              <w:rPr>
                <w:sz w:val="18"/>
              </w:rPr>
              <w:t>(income),</w:t>
            </w:r>
            <w:r>
              <w:rPr>
                <w:spacing w:val="-1"/>
                <w:sz w:val="18"/>
              </w:rPr>
              <w:t> </w:t>
            </w:r>
            <w:r>
              <w:rPr>
                <w:spacing w:val="-5"/>
                <w:sz w:val="18"/>
              </w:rPr>
              <w:t>net</w:t>
            </w:r>
          </w:p>
        </w:tc>
        <w:tc>
          <w:tcPr>
            <w:tcW w:w="4287" w:type="dxa"/>
            <w:tcBorders>
              <w:bottom w:val="single" w:sz="12" w:space="0" w:color="000000"/>
            </w:tcBorders>
          </w:tcPr>
          <w:p>
            <w:pPr>
              <w:pStyle w:val="TableParagraph"/>
              <w:spacing w:line="204" w:lineRule="exact"/>
              <w:ind w:right="267"/>
              <w:rPr>
                <w:sz w:val="18"/>
              </w:rPr>
            </w:pPr>
            <w:r>
              <w:rPr>
                <w:spacing w:val="-5"/>
                <w:sz w:val="18"/>
              </w:rPr>
              <w:t>767</w:t>
            </w:r>
          </w:p>
        </w:tc>
        <w:tc>
          <w:tcPr>
            <w:tcW w:w="1570" w:type="dxa"/>
            <w:tcBorders>
              <w:bottom w:val="single" w:sz="12" w:space="0" w:color="000000"/>
            </w:tcBorders>
          </w:tcPr>
          <w:p>
            <w:pPr>
              <w:pStyle w:val="TableParagraph"/>
              <w:spacing w:line="204" w:lineRule="exact"/>
              <w:ind w:right="247"/>
              <w:rPr>
                <w:sz w:val="18"/>
              </w:rPr>
            </w:pPr>
            <w:r>
              <w:rPr>
                <w:spacing w:val="-5"/>
                <w:sz w:val="18"/>
              </w:rPr>
              <w:t>763</w:t>
            </w:r>
          </w:p>
        </w:tc>
      </w:tr>
      <w:tr>
        <w:trPr>
          <w:trHeight w:val="272" w:hRule="atLeast"/>
        </w:trPr>
        <w:tc>
          <w:tcPr>
            <w:tcW w:w="5659" w:type="dxa"/>
            <w:shd w:val="clear" w:color="auto" w:fill="CCEDFF"/>
          </w:tcPr>
          <w:p>
            <w:pPr>
              <w:pStyle w:val="TableParagraph"/>
              <w:spacing w:line="189" w:lineRule="exact"/>
              <w:ind w:left="341"/>
              <w:jc w:val="left"/>
              <w:rPr>
                <w:sz w:val="18"/>
              </w:rPr>
            </w:pPr>
            <w:r>
              <w:rPr>
                <w:sz w:val="18"/>
              </w:rPr>
              <w:t>Total</w:t>
            </w:r>
            <w:r>
              <w:rPr>
                <w:spacing w:val="-8"/>
                <w:sz w:val="18"/>
              </w:rPr>
              <w:t> </w:t>
            </w:r>
            <w:r>
              <w:rPr>
                <w:sz w:val="18"/>
              </w:rPr>
              <w:t>operating</w:t>
            </w:r>
            <w:r>
              <w:rPr>
                <w:spacing w:val="-7"/>
                <w:sz w:val="18"/>
              </w:rPr>
              <w:t> </w:t>
            </w:r>
            <w:r>
              <w:rPr>
                <w:spacing w:val="-2"/>
                <w:sz w:val="18"/>
              </w:rPr>
              <w:t>expenses</w:t>
            </w:r>
          </w:p>
        </w:tc>
        <w:tc>
          <w:tcPr>
            <w:tcW w:w="4287" w:type="dxa"/>
            <w:tcBorders>
              <w:top w:val="single" w:sz="12" w:space="0" w:color="000000"/>
            </w:tcBorders>
            <w:shd w:val="clear" w:color="auto" w:fill="CCEDFF"/>
          </w:tcPr>
          <w:p>
            <w:pPr>
              <w:pStyle w:val="TableParagraph"/>
              <w:tabs>
                <w:tab w:pos="3432" w:val="left" w:leader="none"/>
              </w:tabs>
              <w:spacing w:line="202" w:lineRule="exact"/>
              <w:ind w:left="2769"/>
              <w:jc w:val="left"/>
              <w:rPr>
                <w:sz w:val="18"/>
              </w:rPr>
            </w:pPr>
            <w:r>
              <w:rPr>
                <w:sz w:val="18"/>
              </w:rPr>
              <mc:AlternateContent>
                <mc:Choice Requires="wps">
                  <w:drawing>
                    <wp:anchor distT="0" distB="0" distL="0" distR="0" allowOverlap="1" layoutInCell="1" locked="0" behindDoc="1" simplePos="0" relativeHeight="487030272">
                      <wp:simplePos x="0" y="0"/>
                      <wp:positionH relativeFrom="column">
                        <wp:posOffset>1747274</wp:posOffset>
                      </wp:positionH>
                      <wp:positionV relativeFrom="paragraph">
                        <wp:posOffset>155239</wp:posOffset>
                      </wp:positionV>
                      <wp:extent cx="942975" cy="342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942975" cy="34290"/>
                                <a:chExt cx="942975" cy="34290"/>
                              </a:xfrm>
                            </wpg:grpSpPr>
                            <wps:wsp>
                              <wps:cNvPr id="36" name="Graphic 36"/>
                              <wps:cNvSpPr/>
                              <wps:spPr>
                                <a:xfrm>
                                  <a:off x="-12" y="5"/>
                                  <a:ext cx="942975" cy="34290"/>
                                </a:xfrm>
                                <a:custGeom>
                                  <a:avLst/>
                                  <a:gdLst/>
                                  <a:ahLst/>
                                  <a:cxnLst/>
                                  <a:rect l="l" t="t" r="r" b="b"/>
                                  <a:pathLst>
                                    <a:path w="942975" h="34290">
                                      <a:moveTo>
                                        <a:pt x="942975" y="25717"/>
                                      </a:moveTo>
                                      <a:lnTo>
                                        <a:pt x="831532" y="25717"/>
                                      </a:lnTo>
                                      <a:lnTo>
                                        <a:pt x="68580" y="25717"/>
                                      </a:lnTo>
                                      <a:lnTo>
                                        <a:pt x="0" y="25717"/>
                                      </a:lnTo>
                                      <a:lnTo>
                                        <a:pt x="0" y="34290"/>
                                      </a:lnTo>
                                      <a:lnTo>
                                        <a:pt x="68580" y="34290"/>
                                      </a:lnTo>
                                      <a:lnTo>
                                        <a:pt x="831532" y="34290"/>
                                      </a:lnTo>
                                      <a:lnTo>
                                        <a:pt x="942975" y="34290"/>
                                      </a:lnTo>
                                      <a:lnTo>
                                        <a:pt x="942975" y="25717"/>
                                      </a:lnTo>
                                      <a:close/>
                                    </a:path>
                                    <a:path w="942975" h="34290">
                                      <a:moveTo>
                                        <a:pt x="942975" y="0"/>
                                      </a:moveTo>
                                      <a:lnTo>
                                        <a:pt x="831532" y="0"/>
                                      </a:lnTo>
                                      <a:lnTo>
                                        <a:pt x="68580" y="0"/>
                                      </a:lnTo>
                                      <a:lnTo>
                                        <a:pt x="0" y="0"/>
                                      </a:lnTo>
                                      <a:lnTo>
                                        <a:pt x="0" y="8572"/>
                                      </a:lnTo>
                                      <a:lnTo>
                                        <a:pt x="68580" y="8572"/>
                                      </a:lnTo>
                                      <a:lnTo>
                                        <a:pt x="831532" y="8572"/>
                                      </a:lnTo>
                                      <a:lnTo>
                                        <a:pt x="942975" y="8572"/>
                                      </a:lnTo>
                                      <a:lnTo>
                                        <a:pt x="9429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7.580688pt;margin-top:12.223546pt;width:74.25pt;height:2.7pt;mso-position-horizontal-relative:column;mso-position-vertical-relative:paragraph;z-index:-16286208" id="docshapegroup35" coordorigin="2752,244" coordsize="1485,54">
                      <v:shape style="position:absolute;left:2751;top:244;width:1485;height:54" id="docshape36" coordorigin="2752,244" coordsize="1485,54" path="m4237,285l4061,285,2860,285,2752,285,2752,298,2860,298,4061,298,4237,298,4237,285xm4237,244l4061,244,2860,244,2752,244,2752,258,2860,258,4061,258,4237,258,4237,244xe" filled="true" fillcolor="#000000" stroked="false">
                        <v:path arrowok="t"/>
                        <v:fill type="solid"/>
                      </v:shape>
                      <w10:wrap type="none"/>
                    </v:group>
                  </w:pict>
                </mc:Fallback>
              </mc:AlternateContent>
            </w:r>
            <w:r>
              <w:rPr>
                <w:spacing w:val="-10"/>
                <w:sz w:val="18"/>
              </w:rPr>
              <w:t>$</w:t>
            </w:r>
            <w:r>
              <w:rPr>
                <w:sz w:val="18"/>
              </w:rPr>
              <w:tab/>
            </w:r>
            <w:r>
              <w:rPr>
                <w:spacing w:val="-2"/>
                <w:sz w:val="18"/>
              </w:rPr>
              <w:t>537,933</w:t>
            </w:r>
          </w:p>
        </w:tc>
        <w:tc>
          <w:tcPr>
            <w:tcW w:w="1570" w:type="dxa"/>
            <w:tcBorders>
              <w:top w:val="single" w:sz="12" w:space="0" w:color="000000"/>
              <w:bottom w:val="double" w:sz="6" w:space="0" w:color="000000"/>
            </w:tcBorders>
            <w:shd w:val="clear" w:color="auto" w:fill="CCEDFF"/>
          </w:tcPr>
          <w:p>
            <w:pPr>
              <w:pStyle w:val="TableParagraph"/>
              <w:tabs>
                <w:tab w:pos="737" w:val="left" w:leader="none"/>
              </w:tabs>
              <w:spacing w:line="202" w:lineRule="exact"/>
              <w:ind w:left="74"/>
              <w:jc w:val="left"/>
              <w:rPr>
                <w:sz w:val="18"/>
              </w:rPr>
            </w:pPr>
            <w:r>
              <w:rPr>
                <w:spacing w:val="-10"/>
                <w:sz w:val="18"/>
              </w:rPr>
              <w:t>$</w:t>
            </w:r>
            <w:r>
              <w:rPr>
                <w:sz w:val="18"/>
              </w:rPr>
              <w:tab/>
            </w:r>
            <w:r>
              <w:rPr>
                <w:spacing w:val="-2"/>
                <w:sz w:val="18"/>
              </w:rPr>
              <w:t>569,366</w:t>
            </w:r>
          </w:p>
        </w:tc>
      </w:tr>
      <w:tr>
        <w:trPr>
          <w:trHeight w:val="247" w:hRule="atLeast"/>
        </w:trPr>
        <w:tc>
          <w:tcPr>
            <w:tcW w:w="5659" w:type="dxa"/>
          </w:tcPr>
          <w:p>
            <w:pPr>
              <w:pStyle w:val="TableParagraph"/>
              <w:spacing w:line="181" w:lineRule="exact"/>
              <w:ind w:left="17"/>
              <w:jc w:val="left"/>
              <w:rPr>
                <w:sz w:val="18"/>
              </w:rPr>
            </w:pPr>
            <w:r>
              <w:rPr>
                <w:sz w:val="18"/>
              </w:rPr>
              <w:t>Year-over-year</w:t>
            </w:r>
            <w:r>
              <w:rPr>
                <w:spacing w:val="-10"/>
                <w:sz w:val="18"/>
              </w:rPr>
              <w:t> </w:t>
            </w:r>
            <w:r>
              <w:rPr>
                <w:sz w:val="18"/>
              </w:rPr>
              <w:t>Percentage</w:t>
            </w:r>
            <w:r>
              <w:rPr>
                <w:spacing w:val="-10"/>
                <w:sz w:val="18"/>
              </w:rPr>
              <w:t> </w:t>
            </w:r>
            <w:r>
              <w:rPr>
                <w:sz w:val="18"/>
              </w:rPr>
              <w:t>Growth</w:t>
            </w:r>
            <w:r>
              <w:rPr>
                <w:spacing w:val="-10"/>
                <w:sz w:val="18"/>
              </w:rPr>
              <w:t> </w:t>
            </w:r>
            <w:r>
              <w:rPr>
                <w:spacing w:val="-2"/>
                <w:sz w:val="18"/>
              </w:rPr>
              <w:t>(Decline):</w:t>
            </w:r>
          </w:p>
        </w:tc>
        <w:tc>
          <w:tcPr>
            <w:tcW w:w="4287" w:type="dxa"/>
          </w:tcPr>
          <w:p>
            <w:pPr>
              <w:pStyle w:val="TableParagraph"/>
              <w:jc w:val="left"/>
              <w:rPr>
                <w:sz w:val="16"/>
              </w:rPr>
            </w:pPr>
          </w:p>
        </w:tc>
        <w:tc>
          <w:tcPr>
            <w:tcW w:w="1570" w:type="dxa"/>
            <w:tcBorders>
              <w:top w:val="double" w:sz="6" w:space="0" w:color="000000"/>
            </w:tcBorders>
          </w:tcPr>
          <w:p>
            <w:pPr>
              <w:pStyle w:val="TableParagraph"/>
              <w:jc w:val="left"/>
              <w:rPr>
                <w:sz w:val="16"/>
              </w:rPr>
            </w:pPr>
          </w:p>
        </w:tc>
      </w:tr>
      <w:tr>
        <w:trPr>
          <w:trHeight w:val="269" w:hRule="atLeast"/>
        </w:trPr>
        <w:tc>
          <w:tcPr>
            <w:tcW w:w="5659" w:type="dxa"/>
            <w:shd w:val="clear" w:color="auto" w:fill="CCEDFF"/>
          </w:tcPr>
          <w:p>
            <w:pPr>
              <w:pStyle w:val="TableParagraph"/>
              <w:spacing w:line="204" w:lineRule="exact"/>
              <w:ind w:left="125"/>
              <w:jc w:val="left"/>
              <w:rPr>
                <w:sz w:val="18"/>
              </w:rPr>
            </w:pPr>
            <w:r>
              <w:rPr>
                <w:sz w:val="18"/>
              </w:rPr>
              <w:t>Cost</w:t>
            </w:r>
            <w:r>
              <w:rPr>
                <w:spacing w:val="-1"/>
                <w:sz w:val="18"/>
              </w:rPr>
              <w:t> </w:t>
            </w:r>
            <w:r>
              <w:rPr>
                <w:sz w:val="18"/>
              </w:rPr>
              <w:t>of</w:t>
            </w:r>
            <w:r>
              <w:rPr>
                <w:spacing w:val="-1"/>
                <w:sz w:val="18"/>
              </w:rPr>
              <w:t> </w:t>
            </w:r>
            <w:r>
              <w:rPr>
                <w:spacing w:val="-2"/>
                <w:sz w:val="18"/>
              </w:rPr>
              <w:t>sales</w:t>
            </w:r>
          </w:p>
        </w:tc>
        <w:tc>
          <w:tcPr>
            <w:tcW w:w="4287" w:type="dxa"/>
            <w:shd w:val="clear" w:color="auto" w:fill="CCEDFF"/>
          </w:tcPr>
          <w:p>
            <w:pPr>
              <w:pStyle w:val="TableParagraph"/>
              <w:spacing w:line="204" w:lineRule="exact"/>
              <w:ind w:right="73"/>
              <w:rPr>
                <w:sz w:val="18"/>
              </w:rPr>
            </w:pPr>
            <w:r>
              <w:rPr>
                <w:sz w:val="18"/>
              </w:rPr>
              <w:t>6 </w:t>
            </w:r>
            <w:r>
              <w:rPr>
                <w:spacing w:val="-10"/>
                <w:sz w:val="18"/>
              </w:rPr>
              <w:t>%</w:t>
            </w:r>
          </w:p>
        </w:tc>
        <w:tc>
          <w:tcPr>
            <w:tcW w:w="1570" w:type="dxa"/>
            <w:shd w:val="clear" w:color="auto" w:fill="CCEDFF"/>
          </w:tcPr>
          <w:p>
            <w:pPr>
              <w:pStyle w:val="TableParagraph"/>
              <w:spacing w:line="204" w:lineRule="exact"/>
              <w:ind w:right="50"/>
              <w:rPr>
                <w:sz w:val="18"/>
              </w:rPr>
            </w:pPr>
            <w:r>
              <w:rPr>
                <w:sz w:val="18"/>
              </w:rPr>
              <w:t>7 </w:t>
            </w:r>
            <w:r>
              <w:rPr>
                <w:spacing w:val="-10"/>
                <w:sz w:val="18"/>
              </w:rPr>
              <w:t>%</w:t>
            </w:r>
          </w:p>
        </w:tc>
      </w:tr>
      <w:tr>
        <w:trPr>
          <w:trHeight w:val="269" w:hRule="atLeast"/>
        </w:trPr>
        <w:tc>
          <w:tcPr>
            <w:tcW w:w="5659" w:type="dxa"/>
          </w:tcPr>
          <w:p>
            <w:pPr>
              <w:pStyle w:val="TableParagraph"/>
              <w:spacing w:line="204" w:lineRule="exact"/>
              <w:ind w:left="125"/>
              <w:jc w:val="left"/>
              <w:rPr>
                <w:sz w:val="18"/>
              </w:rPr>
            </w:pPr>
            <w:r>
              <w:rPr>
                <w:spacing w:val="-2"/>
                <w:sz w:val="18"/>
              </w:rPr>
              <w:t>Fulfillment</w:t>
            </w:r>
          </w:p>
        </w:tc>
        <w:tc>
          <w:tcPr>
            <w:tcW w:w="4287" w:type="dxa"/>
          </w:tcPr>
          <w:p>
            <w:pPr>
              <w:pStyle w:val="TableParagraph"/>
              <w:spacing w:line="204" w:lineRule="exact"/>
              <w:ind w:right="267"/>
              <w:rPr>
                <w:sz w:val="18"/>
              </w:rPr>
            </w:pPr>
            <w:r>
              <w:rPr>
                <w:spacing w:val="-10"/>
                <w:sz w:val="18"/>
              </w:rPr>
              <w:t>7</w:t>
            </w:r>
          </w:p>
        </w:tc>
        <w:tc>
          <w:tcPr>
            <w:tcW w:w="1570" w:type="dxa"/>
          </w:tcPr>
          <w:p>
            <w:pPr>
              <w:pStyle w:val="TableParagraph"/>
              <w:spacing w:line="204" w:lineRule="exact"/>
              <w:ind w:right="246"/>
              <w:rPr>
                <w:sz w:val="18"/>
              </w:rPr>
            </w:pPr>
            <w:r>
              <w:rPr>
                <w:spacing w:val="-10"/>
                <w:sz w:val="18"/>
              </w:rPr>
              <w:t>9</w:t>
            </w:r>
          </w:p>
        </w:tc>
      </w:tr>
      <w:tr>
        <w:trPr>
          <w:trHeight w:val="269" w:hRule="atLeast"/>
        </w:trPr>
        <w:tc>
          <w:tcPr>
            <w:tcW w:w="5659" w:type="dxa"/>
            <w:shd w:val="clear" w:color="auto" w:fill="CCEDFF"/>
          </w:tcPr>
          <w:p>
            <w:pPr>
              <w:pStyle w:val="TableParagraph"/>
              <w:spacing w:line="204" w:lineRule="exact"/>
              <w:ind w:left="125"/>
              <w:jc w:val="left"/>
              <w:rPr>
                <w:sz w:val="18"/>
              </w:rPr>
            </w:pPr>
            <w:r>
              <w:rPr>
                <w:sz w:val="18"/>
              </w:rPr>
              <w:t>Technology</w:t>
            </w:r>
            <w:r>
              <w:rPr>
                <w:spacing w:val="-8"/>
                <w:sz w:val="18"/>
              </w:rPr>
              <w:t> </w:t>
            </w:r>
            <w:r>
              <w:rPr>
                <w:sz w:val="18"/>
              </w:rPr>
              <w:t>and</w:t>
            </w:r>
            <w:r>
              <w:rPr>
                <w:spacing w:val="-7"/>
                <w:sz w:val="18"/>
              </w:rPr>
              <w:t> </w:t>
            </w:r>
            <w:r>
              <w:rPr>
                <w:spacing w:val="-2"/>
                <w:sz w:val="18"/>
              </w:rPr>
              <w:t>infrastructure</w:t>
            </w:r>
          </w:p>
        </w:tc>
        <w:tc>
          <w:tcPr>
            <w:tcW w:w="4287" w:type="dxa"/>
            <w:shd w:val="clear" w:color="auto" w:fill="CCEDFF"/>
          </w:tcPr>
          <w:p>
            <w:pPr>
              <w:pStyle w:val="TableParagraph"/>
              <w:spacing w:line="204" w:lineRule="exact"/>
              <w:ind w:right="268"/>
              <w:rPr>
                <w:sz w:val="18"/>
              </w:rPr>
            </w:pPr>
            <w:r>
              <w:rPr>
                <w:spacing w:val="-5"/>
                <w:sz w:val="18"/>
              </w:rPr>
              <w:t>17</w:t>
            </w:r>
          </w:p>
        </w:tc>
        <w:tc>
          <w:tcPr>
            <w:tcW w:w="1570" w:type="dxa"/>
            <w:shd w:val="clear" w:color="auto" w:fill="CCEDFF"/>
          </w:tcPr>
          <w:p>
            <w:pPr>
              <w:pStyle w:val="TableParagraph"/>
              <w:spacing w:line="204" w:lineRule="exact"/>
              <w:ind w:right="246"/>
              <w:rPr>
                <w:sz w:val="18"/>
              </w:rPr>
            </w:pPr>
            <w:r>
              <w:rPr>
                <w:spacing w:val="-10"/>
                <w:sz w:val="18"/>
              </w:rPr>
              <w:t>3</w:t>
            </w:r>
          </w:p>
        </w:tc>
      </w:tr>
      <w:tr>
        <w:trPr>
          <w:trHeight w:val="269" w:hRule="atLeast"/>
        </w:trPr>
        <w:tc>
          <w:tcPr>
            <w:tcW w:w="5659" w:type="dxa"/>
          </w:tcPr>
          <w:p>
            <w:pPr>
              <w:pStyle w:val="TableParagraph"/>
              <w:spacing w:line="204" w:lineRule="exact"/>
              <w:ind w:left="125"/>
              <w:jc w:val="left"/>
              <w:rPr>
                <w:sz w:val="18"/>
              </w:rPr>
            </w:pPr>
            <w:r>
              <w:rPr>
                <w:sz w:val="18"/>
              </w:rPr>
              <w:t>Sales</w:t>
            </w:r>
            <w:r>
              <w:rPr>
                <w:spacing w:val="-1"/>
                <w:sz w:val="18"/>
              </w:rPr>
              <w:t> </w:t>
            </w:r>
            <w:r>
              <w:rPr>
                <w:sz w:val="18"/>
              </w:rPr>
              <w:t>and</w:t>
            </w:r>
            <w:r>
              <w:rPr>
                <w:spacing w:val="-1"/>
                <w:sz w:val="18"/>
              </w:rPr>
              <w:t> </w:t>
            </w:r>
            <w:r>
              <w:rPr>
                <w:spacing w:val="-2"/>
                <w:sz w:val="18"/>
              </w:rPr>
              <w:t>marketing</w:t>
            </w:r>
          </w:p>
        </w:tc>
        <w:tc>
          <w:tcPr>
            <w:tcW w:w="4287" w:type="dxa"/>
          </w:tcPr>
          <w:p>
            <w:pPr>
              <w:pStyle w:val="TableParagraph"/>
              <w:spacing w:line="204" w:lineRule="exact"/>
              <w:ind w:right="267"/>
              <w:rPr>
                <w:sz w:val="18"/>
              </w:rPr>
            </w:pPr>
            <w:r>
              <w:rPr>
                <w:spacing w:val="-10"/>
                <w:sz w:val="18"/>
              </w:rPr>
              <w:t>5</w:t>
            </w:r>
          </w:p>
        </w:tc>
        <w:tc>
          <w:tcPr>
            <w:tcW w:w="1570" w:type="dxa"/>
          </w:tcPr>
          <w:p>
            <w:pPr>
              <w:pStyle w:val="TableParagraph"/>
              <w:spacing w:line="204" w:lineRule="exact"/>
              <w:ind w:right="201"/>
              <w:rPr>
                <w:sz w:val="18"/>
              </w:rPr>
            </w:pPr>
            <w:r>
              <w:rPr>
                <w:spacing w:val="-5"/>
                <w:sz w:val="18"/>
              </w:rPr>
              <w:t>(1)</w:t>
            </w:r>
          </w:p>
        </w:tc>
      </w:tr>
      <w:tr>
        <w:trPr>
          <w:trHeight w:val="269" w:hRule="atLeast"/>
        </w:trPr>
        <w:tc>
          <w:tcPr>
            <w:tcW w:w="5659" w:type="dxa"/>
            <w:shd w:val="clear" w:color="auto" w:fill="CCEDFF"/>
          </w:tcPr>
          <w:p>
            <w:pPr>
              <w:pStyle w:val="TableParagraph"/>
              <w:spacing w:line="204" w:lineRule="exact"/>
              <w:ind w:left="125"/>
              <w:jc w:val="left"/>
              <w:rPr>
                <w:sz w:val="18"/>
              </w:rPr>
            </w:pPr>
            <w:r>
              <w:rPr>
                <w:sz w:val="18"/>
              </w:rPr>
              <w:t>General</w:t>
            </w:r>
            <w:r>
              <w:rPr>
                <w:spacing w:val="-1"/>
                <w:sz w:val="18"/>
              </w:rPr>
              <w:t> </w:t>
            </w:r>
            <w:r>
              <w:rPr>
                <w:sz w:val="18"/>
              </w:rPr>
              <w:t>and</w:t>
            </w:r>
            <w:r>
              <w:rPr>
                <w:spacing w:val="-1"/>
                <w:sz w:val="18"/>
              </w:rPr>
              <w:t> </w:t>
            </w:r>
            <w:r>
              <w:rPr>
                <w:spacing w:val="-2"/>
                <w:sz w:val="18"/>
              </w:rPr>
              <w:t>administrative</w:t>
            </w:r>
          </w:p>
        </w:tc>
        <w:tc>
          <w:tcPr>
            <w:tcW w:w="4287" w:type="dxa"/>
            <w:shd w:val="clear" w:color="auto" w:fill="CCEDFF"/>
          </w:tcPr>
          <w:p>
            <w:pPr>
              <w:pStyle w:val="TableParagraph"/>
              <w:spacing w:line="204" w:lineRule="exact"/>
              <w:ind w:right="224"/>
              <w:rPr>
                <w:sz w:val="18"/>
              </w:rPr>
            </w:pPr>
            <w:r>
              <w:rPr>
                <w:spacing w:val="-5"/>
                <w:sz w:val="18"/>
              </w:rPr>
              <w:t>(1)</w:t>
            </w:r>
          </w:p>
        </w:tc>
        <w:tc>
          <w:tcPr>
            <w:tcW w:w="1570" w:type="dxa"/>
            <w:shd w:val="clear" w:color="auto" w:fill="CCEDFF"/>
          </w:tcPr>
          <w:p>
            <w:pPr>
              <w:pStyle w:val="TableParagraph"/>
              <w:spacing w:line="204" w:lineRule="exact"/>
              <w:ind w:right="201"/>
              <w:rPr>
                <w:sz w:val="18"/>
              </w:rPr>
            </w:pPr>
            <w:r>
              <w:rPr>
                <w:spacing w:val="-5"/>
                <w:sz w:val="18"/>
              </w:rPr>
              <w:t>(4)</w:t>
            </w:r>
          </w:p>
        </w:tc>
      </w:tr>
      <w:tr>
        <w:trPr>
          <w:trHeight w:val="269" w:hRule="atLeast"/>
        </w:trPr>
        <w:tc>
          <w:tcPr>
            <w:tcW w:w="5659" w:type="dxa"/>
          </w:tcPr>
          <w:p>
            <w:pPr>
              <w:pStyle w:val="TableParagraph"/>
              <w:spacing w:line="204" w:lineRule="exact"/>
              <w:ind w:left="125"/>
              <w:jc w:val="left"/>
              <w:rPr>
                <w:sz w:val="18"/>
              </w:rPr>
            </w:pPr>
            <w:r>
              <w:rPr>
                <w:sz w:val="18"/>
              </w:rPr>
              <w:t>Other</w:t>
            </w:r>
            <w:r>
              <w:rPr>
                <w:spacing w:val="-1"/>
                <w:sz w:val="18"/>
              </w:rPr>
              <w:t> </w:t>
            </w:r>
            <w:r>
              <w:rPr>
                <w:sz w:val="18"/>
              </w:rPr>
              <w:t>operating</w:t>
            </w:r>
            <w:r>
              <w:rPr>
                <w:spacing w:val="-1"/>
                <w:sz w:val="18"/>
              </w:rPr>
              <w:t> </w:t>
            </w:r>
            <w:r>
              <w:rPr>
                <w:sz w:val="18"/>
              </w:rPr>
              <w:t>expense</w:t>
            </w:r>
            <w:r>
              <w:rPr>
                <w:spacing w:val="-1"/>
                <w:sz w:val="18"/>
              </w:rPr>
              <w:t> </w:t>
            </w:r>
            <w:r>
              <w:rPr>
                <w:sz w:val="18"/>
              </w:rPr>
              <w:t>(income),</w:t>
            </w:r>
            <w:r>
              <w:rPr>
                <w:spacing w:val="-1"/>
                <w:sz w:val="18"/>
              </w:rPr>
              <w:t> </w:t>
            </w:r>
            <w:r>
              <w:rPr>
                <w:spacing w:val="-5"/>
                <w:sz w:val="18"/>
              </w:rPr>
              <w:t>net</w:t>
            </w:r>
          </w:p>
        </w:tc>
        <w:tc>
          <w:tcPr>
            <w:tcW w:w="4287" w:type="dxa"/>
          </w:tcPr>
          <w:p>
            <w:pPr>
              <w:pStyle w:val="TableParagraph"/>
              <w:spacing w:line="204" w:lineRule="exact"/>
              <w:ind w:right="223"/>
              <w:rPr>
                <w:sz w:val="18"/>
              </w:rPr>
            </w:pPr>
            <w:r>
              <w:rPr>
                <w:spacing w:val="-4"/>
                <w:sz w:val="18"/>
              </w:rPr>
              <w:t>(39)</w:t>
            </w:r>
          </w:p>
        </w:tc>
        <w:tc>
          <w:tcPr>
            <w:tcW w:w="1570" w:type="dxa"/>
          </w:tcPr>
          <w:p>
            <w:pPr>
              <w:pStyle w:val="TableParagraph"/>
              <w:spacing w:line="204" w:lineRule="exact"/>
              <w:ind w:right="201"/>
              <w:rPr>
                <w:sz w:val="18"/>
              </w:rPr>
            </w:pPr>
            <w:r>
              <w:rPr>
                <w:spacing w:val="-5"/>
                <w:sz w:val="18"/>
              </w:rPr>
              <w:t>(1)</w:t>
            </w:r>
          </w:p>
        </w:tc>
      </w:tr>
      <w:tr>
        <w:trPr>
          <w:trHeight w:val="269" w:hRule="atLeast"/>
        </w:trPr>
        <w:tc>
          <w:tcPr>
            <w:tcW w:w="11516" w:type="dxa"/>
            <w:gridSpan w:val="3"/>
            <w:shd w:val="clear" w:color="auto" w:fill="CCEDFF"/>
          </w:tcPr>
          <w:p>
            <w:pPr>
              <w:pStyle w:val="TableParagraph"/>
              <w:spacing w:line="204" w:lineRule="exact"/>
              <w:ind w:left="17"/>
              <w:jc w:val="left"/>
              <w:rPr>
                <w:sz w:val="18"/>
              </w:rPr>
            </w:pPr>
            <w:r>
              <w:rPr>
                <w:sz w:val="18"/>
              </w:rPr>
              <w:t>Percent</w:t>
            </w:r>
            <w:r>
              <w:rPr>
                <w:spacing w:val="-1"/>
                <w:sz w:val="18"/>
              </w:rPr>
              <w:t> </w:t>
            </w:r>
            <w:r>
              <w:rPr>
                <w:sz w:val="18"/>
              </w:rPr>
              <w:t>of</w:t>
            </w:r>
            <w:r>
              <w:rPr>
                <w:spacing w:val="-1"/>
                <w:sz w:val="18"/>
              </w:rPr>
              <w:t> </w:t>
            </w:r>
            <w:r>
              <w:rPr>
                <w:sz w:val="18"/>
              </w:rPr>
              <w:t>Net</w:t>
            </w:r>
            <w:r>
              <w:rPr>
                <w:spacing w:val="-1"/>
                <w:sz w:val="18"/>
              </w:rPr>
              <w:t> </w:t>
            </w:r>
            <w:r>
              <w:rPr>
                <w:spacing w:val="-2"/>
                <w:sz w:val="18"/>
              </w:rPr>
              <w:t>Sales:</w:t>
            </w:r>
          </w:p>
        </w:tc>
      </w:tr>
      <w:tr>
        <w:trPr>
          <w:trHeight w:val="269" w:hRule="atLeast"/>
        </w:trPr>
        <w:tc>
          <w:tcPr>
            <w:tcW w:w="5659" w:type="dxa"/>
          </w:tcPr>
          <w:p>
            <w:pPr>
              <w:pStyle w:val="TableParagraph"/>
              <w:spacing w:line="204" w:lineRule="exact"/>
              <w:ind w:left="125"/>
              <w:jc w:val="left"/>
              <w:rPr>
                <w:sz w:val="18"/>
              </w:rPr>
            </w:pPr>
            <w:r>
              <w:rPr>
                <w:sz w:val="18"/>
              </w:rPr>
              <w:t>Cost</w:t>
            </w:r>
            <w:r>
              <w:rPr>
                <w:spacing w:val="-1"/>
                <w:sz w:val="18"/>
              </w:rPr>
              <w:t> </w:t>
            </w:r>
            <w:r>
              <w:rPr>
                <w:sz w:val="18"/>
              </w:rPr>
              <w:t>of</w:t>
            </w:r>
            <w:r>
              <w:rPr>
                <w:spacing w:val="-1"/>
                <w:sz w:val="18"/>
              </w:rPr>
              <w:t> </w:t>
            </w:r>
            <w:r>
              <w:rPr>
                <w:spacing w:val="-2"/>
                <w:sz w:val="18"/>
              </w:rPr>
              <w:t>sales</w:t>
            </w:r>
          </w:p>
        </w:tc>
        <w:tc>
          <w:tcPr>
            <w:tcW w:w="4287" w:type="dxa"/>
          </w:tcPr>
          <w:p>
            <w:pPr>
              <w:pStyle w:val="TableParagraph"/>
              <w:spacing w:line="204" w:lineRule="exact"/>
              <w:ind w:right="73"/>
              <w:rPr>
                <w:sz w:val="18"/>
              </w:rPr>
            </w:pPr>
            <w:r>
              <w:rPr>
                <w:sz w:val="18"/>
              </w:rPr>
              <w:t>53.0 </w:t>
            </w:r>
            <w:r>
              <w:rPr>
                <w:spacing w:val="-10"/>
                <w:sz w:val="18"/>
              </w:rPr>
              <w:t>%</w:t>
            </w:r>
          </w:p>
        </w:tc>
        <w:tc>
          <w:tcPr>
            <w:tcW w:w="1570" w:type="dxa"/>
          </w:tcPr>
          <w:p>
            <w:pPr>
              <w:pStyle w:val="TableParagraph"/>
              <w:spacing w:line="204" w:lineRule="exact"/>
              <w:ind w:right="50"/>
              <w:rPr>
                <w:sz w:val="18"/>
              </w:rPr>
            </w:pPr>
            <w:r>
              <w:rPr>
                <w:sz w:val="18"/>
              </w:rPr>
              <w:t>51.1</w:t>
            </w:r>
            <w:r>
              <w:rPr>
                <w:spacing w:val="1"/>
                <w:sz w:val="18"/>
              </w:rPr>
              <w:t> </w:t>
            </w:r>
            <w:r>
              <w:rPr>
                <w:spacing w:val="-10"/>
                <w:sz w:val="18"/>
              </w:rPr>
              <w:t>%</w:t>
            </w:r>
          </w:p>
        </w:tc>
      </w:tr>
      <w:tr>
        <w:trPr>
          <w:trHeight w:val="269" w:hRule="atLeast"/>
        </w:trPr>
        <w:tc>
          <w:tcPr>
            <w:tcW w:w="5659" w:type="dxa"/>
            <w:shd w:val="clear" w:color="auto" w:fill="CCEDFF"/>
          </w:tcPr>
          <w:p>
            <w:pPr>
              <w:pStyle w:val="TableParagraph"/>
              <w:spacing w:line="204" w:lineRule="exact"/>
              <w:ind w:left="125"/>
              <w:jc w:val="left"/>
              <w:rPr>
                <w:sz w:val="18"/>
              </w:rPr>
            </w:pPr>
            <w:r>
              <w:rPr>
                <w:spacing w:val="-2"/>
                <w:sz w:val="18"/>
              </w:rPr>
              <w:t>Fulfillment</w:t>
            </w:r>
          </w:p>
        </w:tc>
        <w:tc>
          <w:tcPr>
            <w:tcW w:w="4287" w:type="dxa"/>
            <w:shd w:val="clear" w:color="auto" w:fill="CCEDFF"/>
          </w:tcPr>
          <w:p>
            <w:pPr>
              <w:pStyle w:val="TableParagraph"/>
              <w:spacing w:line="204" w:lineRule="exact"/>
              <w:ind w:right="268"/>
              <w:rPr>
                <w:sz w:val="18"/>
              </w:rPr>
            </w:pPr>
            <w:r>
              <w:rPr>
                <w:spacing w:val="-4"/>
                <w:sz w:val="18"/>
              </w:rPr>
              <w:t>15.8</w:t>
            </w:r>
          </w:p>
        </w:tc>
        <w:tc>
          <w:tcPr>
            <w:tcW w:w="1570" w:type="dxa"/>
            <w:shd w:val="clear" w:color="auto" w:fill="CCEDFF"/>
          </w:tcPr>
          <w:p>
            <w:pPr>
              <w:pStyle w:val="TableParagraph"/>
              <w:spacing w:line="204" w:lineRule="exact"/>
              <w:ind w:left="1006"/>
              <w:jc w:val="left"/>
              <w:rPr>
                <w:sz w:val="18"/>
              </w:rPr>
            </w:pPr>
            <w:r>
              <w:rPr>
                <w:spacing w:val="-4"/>
                <w:sz w:val="18"/>
              </w:rPr>
              <w:t>15.4</w:t>
            </w:r>
          </w:p>
        </w:tc>
      </w:tr>
      <w:tr>
        <w:trPr>
          <w:trHeight w:val="269" w:hRule="atLeast"/>
        </w:trPr>
        <w:tc>
          <w:tcPr>
            <w:tcW w:w="5659" w:type="dxa"/>
          </w:tcPr>
          <w:p>
            <w:pPr>
              <w:pStyle w:val="TableParagraph"/>
              <w:spacing w:line="204" w:lineRule="exact"/>
              <w:ind w:left="125"/>
              <w:jc w:val="left"/>
              <w:rPr>
                <w:sz w:val="18"/>
              </w:rPr>
            </w:pPr>
            <w:r>
              <w:rPr>
                <w:sz w:val="18"/>
              </w:rPr>
              <w:t>Technology</w:t>
            </w:r>
            <w:r>
              <w:rPr>
                <w:spacing w:val="-8"/>
                <w:sz w:val="18"/>
              </w:rPr>
              <w:t> </w:t>
            </w:r>
            <w:r>
              <w:rPr>
                <w:sz w:val="18"/>
              </w:rPr>
              <w:t>and</w:t>
            </w:r>
            <w:r>
              <w:rPr>
                <w:spacing w:val="-7"/>
                <w:sz w:val="18"/>
              </w:rPr>
              <w:t> </w:t>
            </w:r>
            <w:r>
              <w:rPr>
                <w:spacing w:val="-2"/>
                <w:sz w:val="18"/>
              </w:rPr>
              <w:t>infrastructure</w:t>
            </w:r>
          </w:p>
        </w:tc>
        <w:tc>
          <w:tcPr>
            <w:tcW w:w="4287" w:type="dxa"/>
          </w:tcPr>
          <w:p>
            <w:pPr>
              <w:pStyle w:val="TableParagraph"/>
              <w:spacing w:line="204" w:lineRule="exact"/>
              <w:ind w:right="268"/>
              <w:rPr>
                <w:sz w:val="18"/>
              </w:rPr>
            </w:pPr>
            <w:r>
              <w:rPr>
                <w:spacing w:val="-4"/>
                <w:sz w:val="18"/>
              </w:rPr>
              <w:t>14.9</w:t>
            </w:r>
          </w:p>
        </w:tc>
        <w:tc>
          <w:tcPr>
            <w:tcW w:w="1570" w:type="dxa"/>
          </w:tcPr>
          <w:p>
            <w:pPr>
              <w:pStyle w:val="TableParagraph"/>
              <w:spacing w:line="204" w:lineRule="exact"/>
              <w:ind w:left="1006"/>
              <w:jc w:val="left"/>
              <w:rPr>
                <w:sz w:val="18"/>
              </w:rPr>
            </w:pPr>
            <w:r>
              <w:rPr>
                <w:spacing w:val="-4"/>
                <w:sz w:val="18"/>
              </w:rPr>
              <w:t>13.9</w:t>
            </w:r>
          </w:p>
        </w:tc>
      </w:tr>
      <w:tr>
        <w:trPr>
          <w:trHeight w:val="269" w:hRule="atLeast"/>
        </w:trPr>
        <w:tc>
          <w:tcPr>
            <w:tcW w:w="5659" w:type="dxa"/>
            <w:shd w:val="clear" w:color="auto" w:fill="CCEDFF"/>
          </w:tcPr>
          <w:p>
            <w:pPr>
              <w:pStyle w:val="TableParagraph"/>
              <w:spacing w:line="204" w:lineRule="exact"/>
              <w:ind w:left="125"/>
              <w:jc w:val="left"/>
              <w:rPr>
                <w:sz w:val="18"/>
              </w:rPr>
            </w:pPr>
            <w:r>
              <w:rPr>
                <w:sz w:val="18"/>
              </w:rPr>
              <w:t>Sales</w:t>
            </w:r>
            <w:r>
              <w:rPr>
                <w:spacing w:val="-1"/>
                <w:sz w:val="18"/>
              </w:rPr>
              <w:t> </w:t>
            </w:r>
            <w:r>
              <w:rPr>
                <w:sz w:val="18"/>
              </w:rPr>
              <w:t>and</w:t>
            </w:r>
            <w:r>
              <w:rPr>
                <w:spacing w:val="-1"/>
                <w:sz w:val="18"/>
              </w:rPr>
              <w:t> </w:t>
            </w:r>
            <w:r>
              <w:rPr>
                <w:spacing w:val="-2"/>
                <w:sz w:val="18"/>
              </w:rPr>
              <w:t>marketing</w:t>
            </w:r>
          </w:p>
        </w:tc>
        <w:tc>
          <w:tcPr>
            <w:tcW w:w="4287" w:type="dxa"/>
            <w:shd w:val="clear" w:color="auto" w:fill="CCEDFF"/>
          </w:tcPr>
          <w:p>
            <w:pPr>
              <w:pStyle w:val="TableParagraph"/>
              <w:spacing w:line="204" w:lineRule="exact"/>
              <w:ind w:right="268"/>
              <w:rPr>
                <w:sz w:val="18"/>
              </w:rPr>
            </w:pPr>
            <w:r>
              <w:rPr>
                <w:spacing w:val="-5"/>
                <w:sz w:val="18"/>
              </w:rPr>
              <w:t>7.7</w:t>
            </w:r>
          </w:p>
        </w:tc>
        <w:tc>
          <w:tcPr>
            <w:tcW w:w="1570" w:type="dxa"/>
            <w:shd w:val="clear" w:color="auto" w:fill="CCEDFF"/>
          </w:tcPr>
          <w:p>
            <w:pPr>
              <w:pStyle w:val="TableParagraph"/>
              <w:spacing w:line="204" w:lineRule="exact"/>
              <w:ind w:right="246"/>
              <w:rPr>
                <w:sz w:val="18"/>
              </w:rPr>
            </w:pPr>
            <w:r>
              <w:rPr>
                <w:spacing w:val="-5"/>
                <w:sz w:val="18"/>
              </w:rPr>
              <w:t>6.9</w:t>
            </w:r>
          </w:p>
        </w:tc>
      </w:tr>
      <w:tr>
        <w:trPr>
          <w:trHeight w:val="269" w:hRule="atLeast"/>
        </w:trPr>
        <w:tc>
          <w:tcPr>
            <w:tcW w:w="5659" w:type="dxa"/>
          </w:tcPr>
          <w:p>
            <w:pPr>
              <w:pStyle w:val="TableParagraph"/>
              <w:spacing w:line="204" w:lineRule="exact"/>
              <w:ind w:left="125"/>
              <w:jc w:val="left"/>
              <w:rPr>
                <w:sz w:val="18"/>
              </w:rPr>
            </w:pPr>
            <w:r>
              <w:rPr>
                <w:sz w:val="18"/>
              </w:rPr>
              <w:t>General</w:t>
            </w:r>
            <w:r>
              <w:rPr>
                <w:spacing w:val="-1"/>
                <w:sz w:val="18"/>
              </w:rPr>
              <w:t> </w:t>
            </w:r>
            <w:r>
              <w:rPr>
                <w:sz w:val="18"/>
              </w:rPr>
              <w:t>and</w:t>
            </w:r>
            <w:r>
              <w:rPr>
                <w:spacing w:val="-1"/>
                <w:sz w:val="18"/>
              </w:rPr>
              <w:t> </w:t>
            </w:r>
            <w:r>
              <w:rPr>
                <w:spacing w:val="-2"/>
                <w:sz w:val="18"/>
              </w:rPr>
              <w:t>administrative</w:t>
            </w:r>
          </w:p>
        </w:tc>
        <w:tc>
          <w:tcPr>
            <w:tcW w:w="4287" w:type="dxa"/>
          </w:tcPr>
          <w:p>
            <w:pPr>
              <w:pStyle w:val="TableParagraph"/>
              <w:spacing w:line="204" w:lineRule="exact"/>
              <w:ind w:right="268"/>
              <w:rPr>
                <w:sz w:val="18"/>
              </w:rPr>
            </w:pPr>
            <w:r>
              <w:rPr>
                <w:spacing w:val="-5"/>
                <w:sz w:val="18"/>
              </w:rPr>
              <w:t>2.1</w:t>
            </w:r>
          </w:p>
        </w:tc>
        <w:tc>
          <w:tcPr>
            <w:tcW w:w="1570" w:type="dxa"/>
          </w:tcPr>
          <w:p>
            <w:pPr>
              <w:pStyle w:val="TableParagraph"/>
              <w:spacing w:line="204" w:lineRule="exact"/>
              <w:ind w:right="246"/>
              <w:rPr>
                <w:sz w:val="18"/>
              </w:rPr>
            </w:pPr>
            <w:r>
              <w:rPr>
                <w:spacing w:val="-5"/>
                <w:sz w:val="18"/>
              </w:rPr>
              <w:t>1.8</w:t>
            </w:r>
          </w:p>
        </w:tc>
      </w:tr>
      <w:tr>
        <w:trPr>
          <w:trHeight w:val="269" w:hRule="atLeast"/>
        </w:trPr>
        <w:tc>
          <w:tcPr>
            <w:tcW w:w="5659" w:type="dxa"/>
            <w:shd w:val="clear" w:color="auto" w:fill="CCEDFF"/>
          </w:tcPr>
          <w:p>
            <w:pPr>
              <w:pStyle w:val="TableParagraph"/>
              <w:spacing w:line="204" w:lineRule="exact"/>
              <w:ind w:left="125"/>
              <w:jc w:val="left"/>
              <w:rPr>
                <w:sz w:val="18"/>
              </w:rPr>
            </w:pPr>
            <w:r>
              <w:rPr>
                <w:sz w:val="18"/>
              </w:rPr>
              <w:t>Other</w:t>
            </w:r>
            <w:r>
              <w:rPr>
                <w:spacing w:val="-1"/>
                <w:sz w:val="18"/>
              </w:rPr>
              <w:t> </w:t>
            </w:r>
            <w:r>
              <w:rPr>
                <w:sz w:val="18"/>
              </w:rPr>
              <w:t>operating</w:t>
            </w:r>
            <w:r>
              <w:rPr>
                <w:spacing w:val="-1"/>
                <w:sz w:val="18"/>
              </w:rPr>
              <w:t> </w:t>
            </w:r>
            <w:r>
              <w:rPr>
                <w:sz w:val="18"/>
              </w:rPr>
              <w:t>expense</w:t>
            </w:r>
            <w:r>
              <w:rPr>
                <w:spacing w:val="-1"/>
                <w:sz w:val="18"/>
              </w:rPr>
              <w:t> </w:t>
            </w:r>
            <w:r>
              <w:rPr>
                <w:sz w:val="18"/>
              </w:rPr>
              <w:t>(income),</w:t>
            </w:r>
            <w:r>
              <w:rPr>
                <w:spacing w:val="-1"/>
                <w:sz w:val="18"/>
              </w:rPr>
              <w:t> </w:t>
            </w:r>
            <w:r>
              <w:rPr>
                <w:spacing w:val="-5"/>
                <w:sz w:val="18"/>
              </w:rPr>
              <w:t>net</w:t>
            </w:r>
          </w:p>
        </w:tc>
        <w:tc>
          <w:tcPr>
            <w:tcW w:w="4287" w:type="dxa"/>
            <w:shd w:val="clear" w:color="auto" w:fill="CCEDFF"/>
          </w:tcPr>
          <w:p>
            <w:pPr>
              <w:pStyle w:val="TableParagraph"/>
              <w:spacing w:line="204" w:lineRule="exact"/>
              <w:ind w:right="268"/>
              <w:rPr>
                <w:sz w:val="18"/>
              </w:rPr>
            </w:pPr>
            <w:r>
              <w:rPr>
                <w:spacing w:val="-5"/>
                <w:sz w:val="18"/>
              </w:rPr>
              <w:t>0.1</w:t>
            </w:r>
          </w:p>
        </w:tc>
        <w:tc>
          <w:tcPr>
            <w:tcW w:w="1570" w:type="dxa"/>
            <w:shd w:val="clear" w:color="auto" w:fill="CCEDFF"/>
          </w:tcPr>
          <w:p>
            <w:pPr>
              <w:pStyle w:val="TableParagraph"/>
              <w:spacing w:line="204" w:lineRule="exact"/>
              <w:ind w:right="246"/>
              <w:rPr>
                <w:sz w:val="18"/>
              </w:rPr>
            </w:pPr>
            <w:r>
              <w:rPr>
                <w:spacing w:val="-5"/>
                <w:sz w:val="18"/>
              </w:rPr>
              <w:t>0.1</w:t>
            </w:r>
          </w:p>
        </w:tc>
      </w:tr>
    </w:tbl>
    <w:p>
      <w:pPr>
        <w:pStyle w:val="BodyText"/>
        <w:spacing w:before="120"/>
        <w:ind w:left="0"/>
        <w:rPr>
          <w:b/>
        </w:rPr>
      </w:pPr>
    </w:p>
    <w:p>
      <w:pPr>
        <w:spacing w:before="0"/>
        <w:ind w:left="206" w:right="0" w:firstLine="0"/>
        <w:jc w:val="left"/>
        <w:rPr>
          <w:i/>
          <w:sz w:val="18"/>
        </w:rPr>
      </w:pPr>
      <w:r>
        <w:rPr>
          <w:i/>
          <w:sz w:val="18"/>
        </w:rPr>
        <w:t>Cost</w:t>
      </w:r>
      <w:r>
        <w:rPr>
          <w:i/>
          <w:spacing w:val="-1"/>
          <w:sz w:val="18"/>
        </w:rPr>
        <w:t> </w:t>
      </w:r>
      <w:r>
        <w:rPr>
          <w:i/>
          <w:sz w:val="18"/>
        </w:rPr>
        <w:t>of</w:t>
      </w:r>
      <w:r>
        <w:rPr>
          <w:i/>
          <w:spacing w:val="-1"/>
          <w:sz w:val="18"/>
        </w:rPr>
        <w:t> </w:t>
      </w:r>
      <w:r>
        <w:rPr>
          <w:i/>
          <w:spacing w:val="-2"/>
          <w:sz w:val="18"/>
        </w:rPr>
        <w:t>Sales</w:t>
      </w:r>
    </w:p>
    <w:p>
      <w:pPr>
        <w:pStyle w:val="BodyText"/>
        <w:spacing w:line="249" w:lineRule="auto" w:before="104"/>
        <w:ind w:firstLine="445"/>
      </w:pPr>
      <w:r>
        <w:rPr/>
        <w:t>Cost</w:t>
      </w:r>
      <w:r>
        <w:rPr>
          <w:spacing w:val="-2"/>
        </w:rPr>
        <w:t> </w:t>
      </w:r>
      <w:r>
        <w:rPr/>
        <w:t>of</w:t>
      </w:r>
      <w:r>
        <w:rPr>
          <w:spacing w:val="-2"/>
        </w:rPr>
        <w:t> </w:t>
      </w:r>
      <w:r>
        <w:rPr/>
        <w:t>sales</w:t>
      </w:r>
      <w:r>
        <w:rPr>
          <w:spacing w:val="-2"/>
        </w:rPr>
        <w:t> </w:t>
      </w:r>
      <w:r>
        <w:rPr/>
        <w:t>primarily</w:t>
      </w:r>
      <w:r>
        <w:rPr>
          <w:spacing w:val="-2"/>
        </w:rPr>
        <w:t> </w:t>
      </w:r>
      <w:r>
        <w:rPr/>
        <w:t>consists</w:t>
      </w:r>
      <w:r>
        <w:rPr>
          <w:spacing w:val="-2"/>
        </w:rPr>
        <w:t> </w:t>
      </w:r>
      <w:r>
        <w:rPr/>
        <w:t>of</w:t>
      </w:r>
      <w:r>
        <w:rPr>
          <w:spacing w:val="-2"/>
        </w:rPr>
        <w:t> </w:t>
      </w:r>
      <w:r>
        <w:rPr/>
        <w:t>the</w:t>
      </w:r>
      <w:r>
        <w:rPr>
          <w:spacing w:val="-2"/>
        </w:rPr>
        <w:t> </w:t>
      </w:r>
      <w:r>
        <w:rPr/>
        <w:t>purchase</w:t>
      </w:r>
      <w:r>
        <w:rPr>
          <w:spacing w:val="-2"/>
        </w:rPr>
        <w:t> </w:t>
      </w:r>
      <w:r>
        <w:rPr/>
        <w:t>price</w:t>
      </w:r>
      <w:r>
        <w:rPr>
          <w:spacing w:val="-2"/>
        </w:rPr>
        <w:t> </w:t>
      </w:r>
      <w:r>
        <w:rPr/>
        <w:t>of</w:t>
      </w:r>
      <w:r>
        <w:rPr>
          <w:spacing w:val="-2"/>
        </w:rPr>
        <w:t> </w:t>
      </w:r>
      <w:r>
        <w:rPr/>
        <w:t>consumer</w:t>
      </w:r>
      <w:r>
        <w:rPr>
          <w:spacing w:val="-2"/>
        </w:rPr>
        <w:t> </w:t>
      </w:r>
      <w:r>
        <w:rPr/>
        <w:t>products,</w:t>
      </w:r>
      <w:r>
        <w:rPr>
          <w:spacing w:val="-2"/>
        </w:rPr>
        <w:t> </w:t>
      </w:r>
      <w:r>
        <w:rPr/>
        <w:t>inbound</w:t>
      </w:r>
      <w:r>
        <w:rPr>
          <w:spacing w:val="-2"/>
        </w:rPr>
        <w:t> </w:t>
      </w:r>
      <w:r>
        <w:rPr/>
        <w:t>and</w:t>
      </w:r>
      <w:r>
        <w:rPr>
          <w:spacing w:val="-2"/>
        </w:rPr>
        <w:t> </w:t>
      </w:r>
      <w:r>
        <w:rPr/>
        <w:t>outbound</w:t>
      </w:r>
      <w:r>
        <w:rPr>
          <w:spacing w:val="-2"/>
        </w:rPr>
        <w:t> </w:t>
      </w:r>
      <w:r>
        <w:rPr/>
        <w:t>shipping</w:t>
      </w:r>
      <w:r>
        <w:rPr>
          <w:spacing w:val="-2"/>
        </w:rPr>
        <w:t> </w:t>
      </w:r>
      <w:r>
        <w:rPr/>
        <w:t>costs,</w:t>
      </w:r>
      <w:r>
        <w:rPr>
          <w:spacing w:val="-2"/>
        </w:rPr>
        <w:t> </w:t>
      </w:r>
      <w:r>
        <w:rPr/>
        <w:t>including</w:t>
      </w:r>
      <w:r>
        <w:rPr>
          <w:spacing w:val="-2"/>
        </w:rPr>
        <w:t> </w:t>
      </w:r>
      <w:r>
        <w:rPr/>
        <w:t>costs</w:t>
      </w:r>
      <w:r>
        <w:rPr>
          <w:spacing w:val="-2"/>
        </w:rPr>
        <w:t> </w:t>
      </w:r>
      <w:r>
        <w:rPr/>
        <w:t>related</w:t>
      </w:r>
      <w:r>
        <w:rPr>
          <w:spacing w:val="-2"/>
        </w:rPr>
        <w:t> </w:t>
      </w:r>
      <w:r>
        <w:rPr/>
        <w:t>to</w:t>
      </w:r>
      <w:r>
        <w:rPr>
          <w:spacing w:val="-2"/>
        </w:rPr>
        <w:t> </w:t>
      </w:r>
      <w:r>
        <w:rPr/>
        <w:t>sortation</w:t>
      </w:r>
      <w:r>
        <w:rPr>
          <w:spacing w:val="-2"/>
        </w:rPr>
        <w:t> </w:t>
      </w:r>
      <w:r>
        <w:rPr/>
        <w:t>and delivery centers and where we are the transportation service provider, and digital media content costs where we record revenue gross, including video and </w:t>
      </w:r>
      <w:r>
        <w:rPr>
          <w:spacing w:val="-2"/>
        </w:rPr>
        <w:t>music.</w:t>
      </w:r>
    </w:p>
    <w:p>
      <w:pPr>
        <w:pStyle w:val="BodyText"/>
        <w:spacing w:line="249" w:lineRule="auto" w:before="83"/>
        <w:ind w:firstLine="445"/>
      </w:pPr>
      <w:r>
        <w:rPr/>
        <w:t>The increase in cost of sales in 2024, compared to the prior year, is primarily due to increased product and shipping costs resulting from increased sales, partially</w:t>
      </w:r>
      <w:r>
        <w:rPr>
          <w:spacing w:val="-3"/>
        </w:rPr>
        <w:t> </w:t>
      </w:r>
      <w:r>
        <w:rPr/>
        <w:t>offset</w:t>
      </w:r>
      <w:r>
        <w:rPr>
          <w:spacing w:val="-3"/>
        </w:rPr>
        <w:t> </w:t>
      </w:r>
      <w:r>
        <w:rPr/>
        <w:t>by</w:t>
      </w:r>
      <w:r>
        <w:rPr>
          <w:spacing w:val="-3"/>
        </w:rPr>
        <w:t> </w:t>
      </w:r>
      <w:r>
        <w:rPr/>
        <w:t>fulfillment</w:t>
      </w:r>
      <w:r>
        <w:rPr>
          <w:spacing w:val="-3"/>
        </w:rPr>
        <w:t> </w:t>
      </w:r>
      <w:r>
        <w:rPr/>
        <w:t>network</w:t>
      </w:r>
      <w:r>
        <w:rPr>
          <w:spacing w:val="-3"/>
        </w:rPr>
        <w:t> </w:t>
      </w:r>
      <w:r>
        <w:rPr/>
        <w:t>efficiencies,</w:t>
      </w:r>
      <w:r>
        <w:rPr>
          <w:spacing w:val="-3"/>
        </w:rPr>
        <w:t> </w:t>
      </w:r>
      <w:r>
        <w:rPr/>
        <w:t>including</w:t>
      </w:r>
      <w:r>
        <w:rPr>
          <w:spacing w:val="-3"/>
        </w:rPr>
        <w:t> </w:t>
      </w:r>
      <w:r>
        <w:rPr/>
        <w:t>lower</w:t>
      </w:r>
      <w:r>
        <w:rPr>
          <w:spacing w:val="-3"/>
        </w:rPr>
        <w:t> </w:t>
      </w:r>
      <w:r>
        <w:rPr/>
        <w:t>transportation</w:t>
      </w:r>
      <w:r>
        <w:rPr>
          <w:spacing w:val="-3"/>
        </w:rPr>
        <w:t> </w:t>
      </w:r>
      <w:r>
        <w:rPr/>
        <w:t>costs.</w:t>
      </w:r>
      <w:r>
        <w:rPr>
          <w:spacing w:val="-3"/>
        </w:rPr>
        <w:t> </w:t>
      </w:r>
      <w:r>
        <w:rPr/>
        <w:t>Changes</w:t>
      </w:r>
      <w:r>
        <w:rPr>
          <w:spacing w:val="-3"/>
        </w:rPr>
        <w:t> </w:t>
      </w:r>
      <w:r>
        <w:rPr/>
        <w:t>in</w:t>
      </w:r>
      <w:r>
        <w:rPr>
          <w:spacing w:val="-3"/>
        </w:rPr>
        <w:t> </w:t>
      </w:r>
      <w:r>
        <w:rPr/>
        <w:t>foreign</w:t>
      </w:r>
      <w:r>
        <w:rPr>
          <w:spacing w:val="-3"/>
        </w:rPr>
        <w:t> </w:t>
      </w:r>
      <w:r>
        <w:rPr/>
        <w:t>exchange</w:t>
      </w:r>
      <w:r>
        <w:rPr>
          <w:spacing w:val="-3"/>
        </w:rPr>
        <w:t> </w:t>
      </w:r>
      <w:r>
        <w:rPr/>
        <w:t>rates</w:t>
      </w:r>
      <w:r>
        <w:rPr>
          <w:spacing w:val="-3"/>
        </w:rPr>
        <w:t> </w:t>
      </w:r>
      <w:r>
        <w:rPr/>
        <w:t>reduced</w:t>
      </w:r>
      <w:r>
        <w:rPr>
          <w:spacing w:val="-3"/>
        </w:rPr>
        <w:t> </w:t>
      </w:r>
      <w:r>
        <w:rPr/>
        <w:t>cost</w:t>
      </w:r>
      <w:r>
        <w:rPr>
          <w:spacing w:val="-3"/>
        </w:rPr>
        <w:t> </w:t>
      </w:r>
      <w:r>
        <w:rPr/>
        <w:t>of</w:t>
      </w:r>
      <w:r>
        <w:rPr>
          <w:spacing w:val="-3"/>
        </w:rPr>
        <w:t> </w:t>
      </w:r>
      <w:r>
        <w:rPr/>
        <w:t>sales</w:t>
      </w:r>
      <w:r>
        <w:rPr>
          <w:spacing w:val="-3"/>
        </w:rPr>
        <w:t> </w:t>
      </w:r>
      <w:r>
        <w:rPr/>
        <w:t>by</w:t>
      </w:r>
      <w:r>
        <w:rPr>
          <w:spacing w:val="-3"/>
        </w:rPr>
        <w:t> </w:t>
      </w:r>
      <w:r>
        <w:rPr/>
        <w:t>$1.7</w:t>
      </w:r>
      <w:r>
        <w:rPr>
          <w:spacing w:val="-3"/>
        </w:rPr>
        <w:t> </w:t>
      </w:r>
      <w:r>
        <w:rPr/>
        <w:t>billion in 2024.</w:t>
      </w:r>
    </w:p>
    <w:p>
      <w:pPr>
        <w:pStyle w:val="BodyText"/>
        <w:spacing w:line="249" w:lineRule="auto" w:before="97"/>
        <w:ind w:right="20" w:firstLine="445"/>
      </w:pPr>
      <w:r>
        <w:rPr/>
        <w:t>Shipping</w:t>
      </w:r>
      <w:r>
        <w:rPr>
          <w:spacing w:val="-2"/>
        </w:rPr>
        <w:t> </w:t>
      </w:r>
      <w:r>
        <w:rPr/>
        <w:t>costs</w:t>
      </w:r>
      <w:r>
        <w:rPr>
          <w:spacing w:val="-2"/>
        </w:rPr>
        <w:t> </w:t>
      </w:r>
      <w:r>
        <w:rPr/>
        <w:t>were</w:t>
      </w:r>
      <w:r>
        <w:rPr>
          <w:spacing w:val="-2"/>
        </w:rPr>
        <w:t> </w:t>
      </w:r>
      <w:r>
        <w:rPr/>
        <w:t>$89.5</w:t>
      </w:r>
      <w:r>
        <w:rPr>
          <w:spacing w:val="-2"/>
        </w:rPr>
        <w:t> </w:t>
      </w:r>
      <w:r>
        <w:rPr/>
        <w:t>billion</w:t>
      </w:r>
      <w:r>
        <w:rPr>
          <w:spacing w:val="-2"/>
        </w:rPr>
        <w:t> </w:t>
      </w:r>
      <w:r>
        <w:rPr/>
        <w:t>and</w:t>
      </w:r>
      <w:r>
        <w:rPr>
          <w:spacing w:val="-2"/>
        </w:rPr>
        <w:t> </w:t>
      </w:r>
      <w:r>
        <w:rPr/>
        <w:t>$95.8</w:t>
      </w:r>
      <w:r>
        <w:rPr>
          <w:spacing w:val="-2"/>
        </w:rPr>
        <w:t> </w:t>
      </w:r>
      <w:r>
        <w:rPr/>
        <w:t>billion</w:t>
      </w:r>
      <w:r>
        <w:rPr>
          <w:spacing w:val="-2"/>
        </w:rPr>
        <w:t> </w:t>
      </w:r>
      <w:r>
        <w:rPr/>
        <w:t>in</w:t>
      </w:r>
      <w:r>
        <w:rPr>
          <w:spacing w:val="-2"/>
        </w:rPr>
        <w:t> </w:t>
      </w:r>
      <w:r>
        <w:rPr/>
        <w:t>2023</w:t>
      </w:r>
      <w:r>
        <w:rPr>
          <w:spacing w:val="-2"/>
        </w:rPr>
        <w:t> </w:t>
      </w:r>
      <w:r>
        <w:rPr/>
        <w:t>and</w:t>
      </w:r>
      <w:r>
        <w:rPr>
          <w:spacing w:val="-2"/>
        </w:rPr>
        <w:t> </w:t>
      </w:r>
      <w:r>
        <w:rPr/>
        <w:t>2024.</w:t>
      </w:r>
      <w:r>
        <w:rPr>
          <w:spacing w:val="-2"/>
        </w:rPr>
        <w:t> </w:t>
      </w:r>
      <w:r>
        <w:rPr/>
        <w:t>Shipping</w:t>
      </w:r>
      <w:r>
        <w:rPr>
          <w:spacing w:val="-2"/>
        </w:rPr>
        <w:t> </w:t>
      </w:r>
      <w:r>
        <w:rPr/>
        <w:t>costs</w:t>
      </w:r>
      <w:r>
        <w:rPr>
          <w:spacing w:val="-2"/>
        </w:rPr>
        <w:t> </w:t>
      </w:r>
      <w:r>
        <w:rPr/>
        <w:t>to</w:t>
      </w:r>
      <w:r>
        <w:rPr>
          <w:spacing w:val="-2"/>
        </w:rPr>
        <w:t> </w:t>
      </w:r>
      <w:r>
        <w:rPr/>
        <w:t>receive</w:t>
      </w:r>
      <w:r>
        <w:rPr>
          <w:spacing w:val="-2"/>
        </w:rPr>
        <w:t> </w:t>
      </w:r>
      <w:r>
        <w:rPr/>
        <w:t>products</w:t>
      </w:r>
      <w:r>
        <w:rPr>
          <w:spacing w:val="-2"/>
        </w:rPr>
        <w:t> </w:t>
      </w:r>
      <w:r>
        <w:rPr/>
        <w:t>from</w:t>
      </w:r>
      <w:r>
        <w:rPr>
          <w:spacing w:val="-2"/>
        </w:rPr>
        <w:t> </w:t>
      </w:r>
      <w:r>
        <w:rPr/>
        <w:t>our</w:t>
      </w:r>
      <w:r>
        <w:rPr>
          <w:spacing w:val="-2"/>
        </w:rPr>
        <w:t> </w:t>
      </w:r>
      <w:r>
        <w:rPr/>
        <w:t>suppliers</w:t>
      </w:r>
      <w:r>
        <w:rPr>
          <w:spacing w:val="-2"/>
        </w:rPr>
        <w:t> </w:t>
      </w:r>
      <w:r>
        <w:rPr/>
        <w:t>are</w:t>
      </w:r>
      <w:r>
        <w:rPr>
          <w:spacing w:val="-2"/>
        </w:rPr>
        <w:t> </w:t>
      </w:r>
      <w:r>
        <w:rPr/>
        <w:t>included</w:t>
      </w:r>
      <w:r>
        <w:rPr>
          <w:spacing w:val="-2"/>
        </w:rPr>
        <w:t> </w:t>
      </w:r>
      <w:r>
        <w:rPr/>
        <w:t>in</w:t>
      </w:r>
      <w:r>
        <w:rPr>
          <w:spacing w:val="-2"/>
        </w:rPr>
        <w:t> </w:t>
      </w:r>
      <w:r>
        <w:rPr/>
        <w:t>our</w:t>
      </w:r>
      <w:r>
        <w:rPr>
          <w:spacing w:val="-2"/>
        </w:rPr>
        <w:t> </w:t>
      </w:r>
      <w:r>
        <w:rPr/>
        <w:t>inventory and recognized as cost of sales upon sale of products to our customers. We expect our cost of shipping to continue to increase to the extent our customers</w:t>
      </w:r>
      <w:r>
        <w:rPr/>
        <w:t> accept and use our shipping offers at an increasing rate, we use more expensive shipping methods, and we offer additional services. We seek to mitigate costs of shipping over time in part through achieving higher sales volumes, optimizing our fulfillment network, negotiating better terms with our suppliers, and achieving better operating efficiencies. We believe that offering low prices to our customers is fundamental to our future success, and one way we offer lower prices is through shipping offers.</w:t>
      </w:r>
    </w:p>
    <w:p>
      <w:pPr>
        <w:pStyle w:val="BodyText"/>
        <w:spacing w:line="249" w:lineRule="auto" w:before="99"/>
        <w:ind w:right="122" w:firstLine="445"/>
      </w:pPr>
      <w:r>
        <w:rPr/>
        <w:t>Costs</w:t>
      </w:r>
      <w:r>
        <w:rPr>
          <w:spacing w:val="-4"/>
        </w:rPr>
        <w:t> </w:t>
      </w:r>
      <w:r>
        <w:rPr/>
        <w:t>to</w:t>
      </w:r>
      <w:r>
        <w:rPr>
          <w:spacing w:val="-4"/>
        </w:rPr>
        <w:t> </w:t>
      </w:r>
      <w:r>
        <w:rPr/>
        <w:t>operate</w:t>
      </w:r>
      <w:r>
        <w:rPr>
          <w:spacing w:val="-4"/>
        </w:rPr>
        <w:t> </w:t>
      </w:r>
      <w:r>
        <w:rPr/>
        <w:t>our</w:t>
      </w:r>
      <w:r>
        <w:rPr>
          <w:spacing w:val="-12"/>
        </w:rPr>
        <w:t> </w:t>
      </w:r>
      <w:r>
        <w:rPr/>
        <w:t>AWS</w:t>
      </w:r>
      <w:r>
        <w:rPr>
          <w:spacing w:val="-3"/>
        </w:rPr>
        <w:t> </w:t>
      </w:r>
      <w:r>
        <w:rPr/>
        <w:t>segment</w:t>
      </w:r>
      <w:r>
        <w:rPr>
          <w:spacing w:val="-4"/>
        </w:rPr>
        <w:t> </w:t>
      </w:r>
      <w:r>
        <w:rPr/>
        <w:t>are</w:t>
      </w:r>
      <w:r>
        <w:rPr>
          <w:spacing w:val="-4"/>
        </w:rPr>
        <w:t> </w:t>
      </w:r>
      <w:r>
        <w:rPr/>
        <w:t>primarily</w:t>
      </w:r>
      <w:r>
        <w:rPr>
          <w:spacing w:val="-4"/>
        </w:rPr>
        <w:t> </w:t>
      </w:r>
      <w:r>
        <w:rPr/>
        <w:t>classified</w:t>
      </w:r>
      <w:r>
        <w:rPr>
          <w:spacing w:val="-4"/>
        </w:rPr>
        <w:t> </w:t>
      </w:r>
      <w:r>
        <w:rPr/>
        <w:t>as</w:t>
      </w:r>
      <w:r>
        <w:rPr>
          <w:spacing w:val="-4"/>
        </w:rPr>
        <w:t> </w:t>
      </w:r>
      <w:r>
        <w:rPr/>
        <w:t>“Technology</w:t>
      </w:r>
      <w:r>
        <w:rPr>
          <w:spacing w:val="-4"/>
        </w:rPr>
        <w:t> </w:t>
      </w:r>
      <w:r>
        <w:rPr/>
        <w:t>and</w:t>
      </w:r>
      <w:r>
        <w:rPr>
          <w:spacing w:val="-4"/>
        </w:rPr>
        <w:t> </w:t>
      </w:r>
      <w:r>
        <w:rPr/>
        <w:t>infrastructure”</w:t>
      </w:r>
      <w:r>
        <w:rPr>
          <w:spacing w:val="-4"/>
        </w:rPr>
        <w:t> </w:t>
      </w:r>
      <w:r>
        <w:rPr/>
        <w:t>as</w:t>
      </w:r>
      <w:r>
        <w:rPr>
          <w:spacing w:val="-4"/>
        </w:rPr>
        <w:t> </w:t>
      </w:r>
      <w:r>
        <w:rPr/>
        <w:t>we</w:t>
      </w:r>
      <w:r>
        <w:rPr>
          <w:spacing w:val="-4"/>
        </w:rPr>
        <w:t> </w:t>
      </w:r>
      <w:r>
        <w:rPr/>
        <w:t>leverage</w:t>
      </w:r>
      <w:r>
        <w:rPr>
          <w:spacing w:val="-4"/>
        </w:rPr>
        <w:t> </w:t>
      </w:r>
      <w:r>
        <w:rPr/>
        <w:t>a</w:t>
      </w:r>
      <w:r>
        <w:rPr>
          <w:spacing w:val="-4"/>
        </w:rPr>
        <w:t> </w:t>
      </w:r>
      <w:r>
        <w:rPr/>
        <w:t>shared</w:t>
      </w:r>
      <w:r>
        <w:rPr>
          <w:spacing w:val="-4"/>
        </w:rPr>
        <w:t> </w:t>
      </w:r>
      <w:r>
        <w:rPr/>
        <w:t>infrastructure</w:t>
      </w:r>
      <w:r>
        <w:rPr>
          <w:spacing w:val="-4"/>
        </w:rPr>
        <w:t> </w:t>
      </w:r>
      <w:r>
        <w:rPr/>
        <w:t>that</w:t>
      </w:r>
      <w:r>
        <w:rPr>
          <w:spacing w:val="-4"/>
        </w:rPr>
        <w:t> </w:t>
      </w:r>
      <w:r>
        <w:rPr/>
        <w:t>supports</w:t>
      </w:r>
      <w:r>
        <w:rPr>
          <w:spacing w:val="-4"/>
        </w:rPr>
        <w:t> </w:t>
      </w:r>
      <w:r>
        <w:rPr/>
        <w:t>both our internal technology requirements and external sales to AWS customers.</w:t>
      </w:r>
    </w:p>
    <w:p>
      <w:pPr>
        <w:pStyle w:val="BodyText"/>
        <w:spacing w:before="37"/>
        <w:ind w:left="0"/>
      </w:pPr>
    </w:p>
    <w:p>
      <w:pPr>
        <w:spacing w:before="0"/>
        <w:ind w:left="206" w:right="0" w:firstLine="0"/>
        <w:jc w:val="left"/>
        <w:rPr>
          <w:i/>
          <w:sz w:val="18"/>
        </w:rPr>
      </w:pPr>
      <w:r>
        <w:rPr>
          <w:i/>
          <w:spacing w:val="-2"/>
          <w:sz w:val="18"/>
        </w:rPr>
        <w:t>Fulfillment</w:t>
      </w:r>
    </w:p>
    <w:p>
      <w:pPr>
        <w:pStyle w:val="BodyText"/>
        <w:spacing w:line="249" w:lineRule="auto" w:before="104"/>
        <w:ind w:firstLine="445"/>
      </w:pPr>
      <w:r>
        <w:rPr/>
        <w:t>Fulfillment</w:t>
      </w:r>
      <w:r>
        <w:rPr>
          <w:spacing w:val="-3"/>
        </w:rPr>
        <w:t> </w:t>
      </w:r>
      <w:r>
        <w:rPr/>
        <w:t>costs</w:t>
      </w:r>
      <w:r>
        <w:rPr>
          <w:spacing w:val="-3"/>
        </w:rPr>
        <w:t> </w:t>
      </w:r>
      <w:r>
        <w:rPr/>
        <w:t>primarily</w:t>
      </w:r>
      <w:r>
        <w:rPr>
          <w:spacing w:val="-3"/>
        </w:rPr>
        <w:t> </w:t>
      </w:r>
      <w:r>
        <w:rPr/>
        <w:t>consist</w:t>
      </w:r>
      <w:r>
        <w:rPr>
          <w:spacing w:val="-3"/>
        </w:rPr>
        <w:t> </w:t>
      </w:r>
      <w:r>
        <w:rPr/>
        <w:t>of</w:t>
      </w:r>
      <w:r>
        <w:rPr>
          <w:spacing w:val="-3"/>
        </w:rPr>
        <w:t> </w:t>
      </w:r>
      <w:r>
        <w:rPr/>
        <w:t>those</w:t>
      </w:r>
      <w:r>
        <w:rPr>
          <w:spacing w:val="-3"/>
        </w:rPr>
        <w:t> </w:t>
      </w:r>
      <w:r>
        <w:rPr/>
        <w:t>costs</w:t>
      </w:r>
      <w:r>
        <w:rPr>
          <w:spacing w:val="-3"/>
        </w:rPr>
        <w:t> </w:t>
      </w:r>
      <w:r>
        <w:rPr/>
        <w:t>incurred</w:t>
      </w:r>
      <w:r>
        <w:rPr>
          <w:spacing w:val="-3"/>
        </w:rPr>
        <w:t> </w:t>
      </w:r>
      <w:r>
        <w:rPr/>
        <w:t>in</w:t>
      </w:r>
      <w:r>
        <w:rPr>
          <w:spacing w:val="-3"/>
        </w:rPr>
        <w:t> </w:t>
      </w:r>
      <w:r>
        <w:rPr/>
        <w:t>operating</w:t>
      </w:r>
      <w:r>
        <w:rPr>
          <w:spacing w:val="-3"/>
        </w:rPr>
        <w:t> </w:t>
      </w:r>
      <w:r>
        <w:rPr/>
        <w:t>and</w:t>
      </w:r>
      <w:r>
        <w:rPr>
          <w:spacing w:val="-3"/>
        </w:rPr>
        <w:t> </w:t>
      </w:r>
      <w:r>
        <w:rPr/>
        <w:t>staffing</w:t>
      </w:r>
      <w:r>
        <w:rPr>
          <w:spacing w:val="-3"/>
        </w:rPr>
        <w:t> </w:t>
      </w:r>
      <w:r>
        <w:rPr/>
        <w:t>our</w:t>
      </w:r>
      <w:r>
        <w:rPr>
          <w:spacing w:val="-3"/>
        </w:rPr>
        <w:t> </w:t>
      </w:r>
      <w:r>
        <w:rPr/>
        <w:t>North</w:t>
      </w:r>
      <w:r>
        <w:rPr>
          <w:spacing w:val="-12"/>
        </w:rPr>
        <w:t> </w:t>
      </w:r>
      <w:r>
        <w:rPr/>
        <w:t>America</w:t>
      </w:r>
      <w:r>
        <w:rPr>
          <w:spacing w:val="-2"/>
        </w:rPr>
        <w:t> </w:t>
      </w:r>
      <w:r>
        <w:rPr/>
        <w:t>and</w:t>
      </w:r>
      <w:r>
        <w:rPr>
          <w:spacing w:val="-3"/>
        </w:rPr>
        <w:t> </w:t>
      </w:r>
      <w:r>
        <w:rPr/>
        <w:t>International</w:t>
      </w:r>
      <w:r>
        <w:rPr>
          <w:spacing w:val="-3"/>
        </w:rPr>
        <w:t> </w:t>
      </w:r>
      <w:r>
        <w:rPr/>
        <w:t>fulfillment</w:t>
      </w:r>
      <w:r>
        <w:rPr>
          <w:spacing w:val="-3"/>
        </w:rPr>
        <w:t> </w:t>
      </w:r>
      <w:r>
        <w:rPr/>
        <w:t>centers,</w:t>
      </w:r>
      <w:r>
        <w:rPr>
          <w:spacing w:val="-3"/>
        </w:rPr>
        <w:t> </w:t>
      </w:r>
      <w:r>
        <w:rPr/>
        <w:t>physical stores, and customer service centers and payment processing costs. While AWS payment</w:t>
      </w:r>
    </w:p>
    <w:p>
      <w:pPr>
        <w:pStyle w:val="BodyText"/>
        <w:ind w:left="0"/>
      </w:pPr>
    </w:p>
    <w:p>
      <w:pPr>
        <w:pStyle w:val="BodyText"/>
        <w:spacing w:before="141"/>
        <w:ind w:left="0"/>
      </w:pPr>
    </w:p>
    <w:p>
      <w:pPr>
        <w:pStyle w:val="BodyText"/>
        <w:jc w:val="center"/>
      </w:pPr>
      <w:r>
        <w:rPr/>
        <mc:AlternateContent>
          <mc:Choice Requires="wps">
            <w:drawing>
              <wp:anchor distT="0" distB="0" distL="0" distR="0" allowOverlap="1" layoutInCell="1" locked="0" behindDoc="0" simplePos="0" relativeHeight="15734272">
                <wp:simplePos x="0" y="0"/>
                <wp:positionH relativeFrom="page">
                  <wp:posOffset>231457</wp:posOffset>
                </wp:positionH>
                <wp:positionV relativeFrom="paragraph">
                  <wp:posOffset>201065</wp:posOffset>
                </wp:positionV>
                <wp:extent cx="7312659" cy="1714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312659" cy="17145"/>
                          <a:chExt cx="7312659" cy="17145"/>
                        </a:xfrm>
                      </wpg:grpSpPr>
                      <wps:wsp>
                        <wps:cNvPr id="38" name="Graphic 3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31904pt;width:575.8pt;height:1.35pt;mso-position-horizontal-relative:page;mso-position-vertical-relative:paragraph;z-index:15734272" id="docshapegroup37" coordorigin="364,317" coordsize="11516,27">
                <v:rect style="position:absolute;left:364;top:316;width:11516;height:14" id="docshape38" filled="true" fillcolor="#999999" stroked="false">
                  <v:fill type="solid"/>
                </v:rect>
                <v:shape style="position:absolute;left:364;top:316;width:11516;height:27" id="docshape39" coordorigin="364,317" coordsize="11516,27" path="m11880,317l11866,330,364,330,364,344,11866,344,11880,344,11880,330,11880,317xe" filled="true" fillcolor="#ededed" stroked="false">
                  <v:path arrowok="t"/>
                  <v:fill type="solid"/>
                </v:shape>
                <v:shape style="position:absolute;left:364;top:316;width:14;height:27" id="docshape40" coordorigin="364,317" coordsize="14,27" path="m364,344l364,317,378,317,378,330,364,344xe" filled="true" fillcolor="#999999" stroked="false">
                  <v:path arrowok="t"/>
                  <v:fill type="solid"/>
                </v:shape>
                <w10:wrap type="none"/>
              </v:group>
            </w:pict>
          </mc:Fallback>
        </mc:AlternateContent>
      </w:r>
      <w:r>
        <w:rPr>
          <w:spacing w:val="-5"/>
        </w:rPr>
        <w:t>25</w:t>
      </w:r>
    </w:p>
    <w:p>
      <w:pPr>
        <w:pStyle w:val="BodyText"/>
        <w:spacing w:after="0"/>
        <w:jc w:val="center"/>
        <w:sectPr>
          <w:pgSz w:w="12240" w:h="15840"/>
          <w:pgMar w:header="460" w:footer="0" w:top="1180" w:bottom="280" w:left="360" w:right="360"/>
        </w:sectPr>
      </w:pPr>
    </w:p>
    <w:p>
      <w:pPr>
        <w:pStyle w:val="BodyText"/>
        <w:spacing w:line="249" w:lineRule="auto" w:before="109"/>
      </w:pPr>
      <w:r>
        <w:rPr/>
        <w:t>processing</w:t>
      </w:r>
      <w:r>
        <w:rPr>
          <w:spacing w:val="-2"/>
        </w:rPr>
        <w:t> </w:t>
      </w:r>
      <w:r>
        <w:rPr/>
        <w:t>and</w:t>
      </w:r>
      <w:r>
        <w:rPr>
          <w:spacing w:val="-2"/>
        </w:rPr>
        <w:t> </w:t>
      </w:r>
      <w:r>
        <w:rPr/>
        <w:t>related</w:t>
      </w:r>
      <w:r>
        <w:rPr>
          <w:spacing w:val="-2"/>
        </w:rPr>
        <w:t> </w:t>
      </w:r>
      <w:r>
        <w:rPr/>
        <w:t>transaction</w:t>
      </w:r>
      <w:r>
        <w:rPr>
          <w:spacing w:val="-2"/>
        </w:rPr>
        <w:t> </w:t>
      </w:r>
      <w:r>
        <w:rPr/>
        <w:t>costs</w:t>
      </w:r>
      <w:r>
        <w:rPr>
          <w:spacing w:val="-2"/>
        </w:rPr>
        <w:t> </w:t>
      </w:r>
      <w:r>
        <w:rPr/>
        <w:t>are</w:t>
      </w:r>
      <w:r>
        <w:rPr>
          <w:spacing w:val="-2"/>
        </w:rPr>
        <w:t> </w:t>
      </w:r>
      <w:r>
        <w:rPr/>
        <w:t>included</w:t>
      </w:r>
      <w:r>
        <w:rPr>
          <w:spacing w:val="-2"/>
        </w:rPr>
        <w:t> </w:t>
      </w:r>
      <w:r>
        <w:rPr/>
        <w:t>in</w:t>
      </w:r>
      <w:r>
        <w:rPr>
          <w:spacing w:val="-2"/>
        </w:rPr>
        <w:t> </w:t>
      </w:r>
      <w:r>
        <w:rPr/>
        <w:t>“Fulfillment,”</w:t>
      </w:r>
      <w:r>
        <w:rPr>
          <w:spacing w:val="-11"/>
        </w:rPr>
        <w:t> </w:t>
      </w:r>
      <w:r>
        <w:rPr/>
        <w:t>AWS</w:t>
      </w:r>
      <w:r>
        <w:rPr>
          <w:spacing w:val="-2"/>
        </w:rPr>
        <w:t> </w:t>
      </w:r>
      <w:r>
        <w:rPr/>
        <w:t>costs</w:t>
      </w:r>
      <w:r>
        <w:rPr>
          <w:spacing w:val="-2"/>
        </w:rPr>
        <w:t> </w:t>
      </w:r>
      <w:r>
        <w:rPr/>
        <w:t>are</w:t>
      </w:r>
      <w:r>
        <w:rPr>
          <w:spacing w:val="-2"/>
        </w:rPr>
        <w:t> </w:t>
      </w:r>
      <w:r>
        <w:rPr/>
        <w:t>primarily</w:t>
      </w:r>
      <w:r>
        <w:rPr>
          <w:spacing w:val="-2"/>
        </w:rPr>
        <w:t> </w:t>
      </w:r>
      <w:r>
        <w:rPr/>
        <w:t>classified</w:t>
      </w:r>
      <w:r>
        <w:rPr>
          <w:spacing w:val="-2"/>
        </w:rPr>
        <w:t> </w:t>
      </w:r>
      <w:r>
        <w:rPr/>
        <w:t>as</w:t>
      </w:r>
      <w:r>
        <w:rPr>
          <w:spacing w:val="-2"/>
        </w:rPr>
        <w:t> </w:t>
      </w:r>
      <w:r>
        <w:rPr/>
        <w:t>“Technology</w:t>
      </w:r>
      <w:r>
        <w:rPr>
          <w:spacing w:val="-2"/>
        </w:rPr>
        <w:t> </w:t>
      </w:r>
      <w:r>
        <w:rPr/>
        <w:t>and</w:t>
      </w:r>
      <w:r>
        <w:rPr>
          <w:spacing w:val="-2"/>
        </w:rPr>
        <w:t> </w:t>
      </w:r>
      <w:r>
        <w:rPr/>
        <w:t>infrastructure.”</w:t>
      </w:r>
      <w:r>
        <w:rPr>
          <w:spacing w:val="-2"/>
        </w:rPr>
        <w:t> </w:t>
      </w:r>
      <w:r>
        <w:rPr/>
        <w:t>Fulfillment</w:t>
      </w:r>
      <w:r>
        <w:rPr>
          <w:spacing w:val="-2"/>
        </w:rPr>
        <w:t> </w:t>
      </w:r>
      <w:r>
        <w:rPr/>
        <w:t>costs as a percentage of net sales may vary due to several factors, such as payment processing and related transaction costs, our level of productivity and accuracy, changes in volume, size, and weight of units received and fulfilled, the extent to which third-party sellers utilize Fulfillment by</w:t>
      </w:r>
      <w:r>
        <w:rPr>
          <w:spacing w:val="-5"/>
        </w:rPr>
        <w:t> </w:t>
      </w:r>
      <w:r>
        <w:rPr/>
        <w:t>Amazon services, timing of fulfillment</w:t>
      </w:r>
      <w:r>
        <w:rPr>
          <w:spacing w:val="-2"/>
        </w:rPr>
        <w:t> </w:t>
      </w:r>
      <w:r>
        <w:rPr/>
        <w:t>network</w:t>
      </w:r>
      <w:r>
        <w:rPr>
          <w:spacing w:val="-2"/>
        </w:rPr>
        <w:t> </w:t>
      </w:r>
      <w:r>
        <w:rPr/>
        <w:t>and</w:t>
      </w:r>
      <w:r>
        <w:rPr>
          <w:spacing w:val="-2"/>
        </w:rPr>
        <w:t> </w:t>
      </w:r>
      <w:r>
        <w:rPr/>
        <w:t>physical</w:t>
      </w:r>
      <w:r>
        <w:rPr>
          <w:spacing w:val="-2"/>
        </w:rPr>
        <w:t> </w:t>
      </w:r>
      <w:r>
        <w:rPr/>
        <w:t>store</w:t>
      </w:r>
      <w:r>
        <w:rPr>
          <w:spacing w:val="-2"/>
        </w:rPr>
        <w:t> </w:t>
      </w:r>
      <w:r>
        <w:rPr/>
        <w:t>expansion,</w:t>
      </w:r>
      <w:r>
        <w:rPr>
          <w:spacing w:val="-2"/>
        </w:rPr>
        <w:t> </w:t>
      </w:r>
      <w:r>
        <w:rPr/>
        <w:t>the</w:t>
      </w:r>
      <w:r>
        <w:rPr>
          <w:spacing w:val="-2"/>
        </w:rPr>
        <w:t> </w:t>
      </w:r>
      <w:r>
        <w:rPr/>
        <w:t>extent</w:t>
      </w:r>
      <w:r>
        <w:rPr>
          <w:spacing w:val="-2"/>
        </w:rPr>
        <w:t> </w:t>
      </w:r>
      <w:r>
        <w:rPr/>
        <w:t>we</w:t>
      </w:r>
      <w:r>
        <w:rPr>
          <w:spacing w:val="-2"/>
        </w:rPr>
        <w:t> </w:t>
      </w:r>
      <w:r>
        <w:rPr/>
        <w:t>utilize</w:t>
      </w:r>
      <w:r>
        <w:rPr>
          <w:spacing w:val="-2"/>
        </w:rPr>
        <w:t> </w:t>
      </w:r>
      <w:r>
        <w:rPr/>
        <w:t>fulfillment</w:t>
      </w:r>
      <w:r>
        <w:rPr>
          <w:spacing w:val="-2"/>
        </w:rPr>
        <w:t> </w:t>
      </w:r>
      <w:r>
        <w:rPr/>
        <w:t>services</w:t>
      </w:r>
      <w:r>
        <w:rPr>
          <w:spacing w:val="-2"/>
        </w:rPr>
        <w:t> </w:t>
      </w:r>
      <w:r>
        <w:rPr/>
        <w:t>provided</w:t>
      </w:r>
      <w:r>
        <w:rPr>
          <w:spacing w:val="-2"/>
        </w:rPr>
        <w:t> </w:t>
      </w:r>
      <w:r>
        <w:rPr/>
        <w:t>by</w:t>
      </w:r>
      <w:r>
        <w:rPr>
          <w:spacing w:val="-2"/>
        </w:rPr>
        <w:t> </w:t>
      </w:r>
      <w:r>
        <w:rPr/>
        <w:t>third</w:t>
      </w:r>
      <w:r>
        <w:rPr>
          <w:spacing w:val="-2"/>
        </w:rPr>
        <w:t> </w:t>
      </w:r>
      <w:r>
        <w:rPr/>
        <w:t>parties,</w:t>
      </w:r>
      <w:r>
        <w:rPr>
          <w:spacing w:val="-2"/>
        </w:rPr>
        <w:t> </w:t>
      </w:r>
      <w:r>
        <w:rPr/>
        <w:t>mix</w:t>
      </w:r>
      <w:r>
        <w:rPr>
          <w:spacing w:val="-2"/>
        </w:rPr>
        <w:t> </w:t>
      </w:r>
      <w:r>
        <w:rPr/>
        <w:t>of</w:t>
      </w:r>
      <w:r>
        <w:rPr>
          <w:spacing w:val="-2"/>
        </w:rPr>
        <w:t> </w:t>
      </w:r>
      <w:r>
        <w:rPr/>
        <w:t>products</w:t>
      </w:r>
      <w:r>
        <w:rPr>
          <w:spacing w:val="-2"/>
        </w:rPr>
        <w:t> </w:t>
      </w:r>
      <w:r>
        <w:rPr/>
        <w:t>and</w:t>
      </w:r>
      <w:r>
        <w:rPr>
          <w:spacing w:val="-2"/>
        </w:rPr>
        <w:t> </w:t>
      </w:r>
      <w:r>
        <w:rPr/>
        <w:t>services</w:t>
      </w:r>
      <w:r>
        <w:rPr>
          <w:spacing w:val="-2"/>
        </w:rPr>
        <w:t> </w:t>
      </w:r>
      <w:r>
        <w:rPr/>
        <w:t>sold,</w:t>
      </w:r>
      <w:r>
        <w:rPr>
          <w:spacing w:val="-2"/>
        </w:rPr>
        <w:t> </w:t>
      </w:r>
      <w:r>
        <w:rPr/>
        <w:t>and</w:t>
      </w:r>
      <w:r>
        <w:rPr>
          <w:spacing w:val="-2"/>
        </w:rPr>
        <w:t> </w:t>
      </w:r>
      <w:r>
        <w:rPr/>
        <w:t>our ability to affect customer service contacts per unit by implementing improvements in our operations and enhancements to our customer self-service features. Additionally,</w:t>
      </w:r>
      <w:r>
        <w:rPr>
          <w:spacing w:val="-2"/>
        </w:rPr>
        <w:t> </w:t>
      </w:r>
      <w:r>
        <w:rPr/>
        <w:t>sales</w:t>
      </w:r>
      <w:r>
        <w:rPr>
          <w:spacing w:val="-2"/>
        </w:rPr>
        <w:t> </w:t>
      </w:r>
      <w:r>
        <w:rPr/>
        <w:t>by</w:t>
      </w:r>
      <w:r>
        <w:rPr>
          <w:spacing w:val="-2"/>
        </w:rPr>
        <w:t> </w:t>
      </w:r>
      <w:r>
        <w:rPr/>
        <w:t>our</w:t>
      </w:r>
      <w:r>
        <w:rPr>
          <w:spacing w:val="-2"/>
        </w:rPr>
        <w:t> </w:t>
      </w:r>
      <w:r>
        <w:rPr/>
        <w:t>sellers</w:t>
      </w:r>
      <w:r>
        <w:rPr>
          <w:spacing w:val="-2"/>
        </w:rPr>
        <w:t> </w:t>
      </w:r>
      <w:r>
        <w:rPr/>
        <w:t>have</w:t>
      </w:r>
      <w:r>
        <w:rPr>
          <w:spacing w:val="-2"/>
        </w:rPr>
        <w:t> </w:t>
      </w:r>
      <w:r>
        <w:rPr/>
        <w:t>higher</w:t>
      </w:r>
      <w:r>
        <w:rPr>
          <w:spacing w:val="-2"/>
        </w:rPr>
        <w:t> </w:t>
      </w:r>
      <w:r>
        <w:rPr/>
        <w:t>payment</w:t>
      </w:r>
      <w:r>
        <w:rPr>
          <w:spacing w:val="-2"/>
        </w:rPr>
        <w:t> </w:t>
      </w:r>
      <w:r>
        <w:rPr/>
        <w:t>processing</w:t>
      </w:r>
      <w:r>
        <w:rPr>
          <w:spacing w:val="-2"/>
        </w:rPr>
        <w:t> </w:t>
      </w:r>
      <w:r>
        <w:rPr/>
        <w:t>and</w:t>
      </w:r>
      <w:r>
        <w:rPr>
          <w:spacing w:val="-2"/>
        </w:rPr>
        <w:t> </w:t>
      </w:r>
      <w:r>
        <w:rPr/>
        <w:t>related</w:t>
      </w:r>
      <w:r>
        <w:rPr>
          <w:spacing w:val="-2"/>
        </w:rPr>
        <w:t> </w:t>
      </w:r>
      <w:r>
        <w:rPr/>
        <w:t>transaction</w:t>
      </w:r>
      <w:r>
        <w:rPr>
          <w:spacing w:val="-2"/>
        </w:rPr>
        <w:t> </w:t>
      </w:r>
      <w:r>
        <w:rPr/>
        <w:t>costs</w:t>
      </w:r>
      <w:r>
        <w:rPr>
          <w:spacing w:val="-2"/>
        </w:rPr>
        <w:t> </w:t>
      </w:r>
      <w:r>
        <w:rPr/>
        <w:t>as</w:t>
      </w:r>
      <w:r>
        <w:rPr>
          <w:spacing w:val="-2"/>
        </w:rPr>
        <w:t> </w:t>
      </w:r>
      <w:r>
        <w:rPr/>
        <w:t>a</w:t>
      </w:r>
      <w:r>
        <w:rPr>
          <w:spacing w:val="-2"/>
        </w:rPr>
        <w:t> </w:t>
      </w:r>
      <w:r>
        <w:rPr/>
        <w:t>percentage</w:t>
      </w:r>
      <w:r>
        <w:rPr>
          <w:spacing w:val="-2"/>
        </w:rPr>
        <w:t> </w:t>
      </w:r>
      <w:r>
        <w:rPr/>
        <w:t>of</w:t>
      </w:r>
      <w:r>
        <w:rPr>
          <w:spacing w:val="-2"/>
        </w:rPr>
        <w:t> </w:t>
      </w:r>
      <w:r>
        <w:rPr/>
        <w:t>net</w:t>
      </w:r>
      <w:r>
        <w:rPr>
          <w:spacing w:val="-2"/>
        </w:rPr>
        <w:t> </w:t>
      </w:r>
      <w:r>
        <w:rPr/>
        <w:t>sales</w:t>
      </w:r>
      <w:r>
        <w:rPr>
          <w:spacing w:val="-2"/>
        </w:rPr>
        <w:t> </w:t>
      </w:r>
      <w:r>
        <w:rPr/>
        <w:t>compared</w:t>
      </w:r>
      <w:r>
        <w:rPr>
          <w:spacing w:val="-2"/>
        </w:rPr>
        <w:t> </w:t>
      </w:r>
      <w:r>
        <w:rPr/>
        <w:t>to</w:t>
      </w:r>
      <w:r>
        <w:rPr>
          <w:spacing w:val="-2"/>
        </w:rPr>
        <w:t> </w:t>
      </w:r>
      <w:r>
        <w:rPr/>
        <w:t>our</w:t>
      </w:r>
      <w:r>
        <w:rPr>
          <w:spacing w:val="-2"/>
        </w:rPr>
        <w:t> </w:t>
      </w:r>
      <w:r>
        <w:rPr/>
        <w:t>retail</w:t>
      </w:r>
      <w:r>
        <w:rPr>
          <w:spacing w:val="-2"/>
        </w:rPr>
        <w:t> </w:t>
      </w:r>
      <w:r>
        <w:rPr/>
        <w:t>sales</w:t>
      </w:r>
      <w:r>
        <w:rPr>
          <w:spacing w:val="-2"/>
        </w:rPr>
        <w:t> </w:t>
      </w:r>
      <w:r>
        <w:rPr/>
        <w:t>because payment processing costs are based on the gross purchase price of underlying transactions.</w:t>
      </w:r>
    </w:p>
    <w:p>
      <w:pPr>
        <w:pStyle w:val="BodyText"/>
        <w:spacing w:line="249" w:lineRule="auto" w:before="100"/>
        <w:ind w:firstLine="445"/>
      </w:pPr>
      <w:r>
        <w:rPr/>
        <w:t>The</w:t>
      </w:r>
      <w:r>
        <w:rPr>
          <w:spacing w:val="-3"/>
        </w:rPr>
        <w:t> </w:t>
      </w:r>
      <w:r>
        <w:rPr/>
        <w:t>increase</w:t>
      </w:r>
      <w:r>
        <w:rPr>
          <w:spacing w:val="-3"/>
        </w:rPr>
        <w:t> </w:t>
      </w:r>
      <w:r>
        <w:rPr/>
        <w:t>in</w:t>
      </w:r>
      <w:r>
        <w:rPr>
          <w:spacing w:val="-3"/>
        </w:rPr>
        <w:t> </w:t>
      </w:r>
      <w:r>
        <w:rPr/>
        <w:t>fulfillment</w:t>
      </w:r>
      <w:r>
        <w:rPr>
          <w:spacing w:val="-3"/>
        </w:rPr>
        <w:t> </w:t>
      </w:r>
      <w:r>
        <w:rPr/>
        <w:t>costs</w:t>
      </w:r>
      <w:r>
        <w:rPr>
          <w:spacing w:val="-3"/>
        </w:rPr>
        <w:t> </w:t>
      </w:r>
      <w:r>
        <w:rPr/>
        <w:t>in</w:t>
      </w:r>
      <w:r>
        <w:rPr>
          <w:spacing w:val="-3"/>
        </w:rPr>
        <w:t> </w:t>
      </w:r>
      <w:r>
        <w:rPr/>
        <w:t>2024,</w:t>
      </w:r>
      <w:r>
        <w:rPr>
          <w:spacing w:val="-3"/>
        </w:rPr>
        <w:t> </w:t>
      </w:r>
      <w:r>
        <w:rPr/>
        <w:t>compared</w:t>
      </w:r>
      <w:r>
        <w:rPr>
          <w:spacing w:val="-3"/>
        </w:rPr>
        <w:t> </w:t>
      </w:r>
      <w:r>
        <w:rPr/>
        <w:t>to</w:t>
      </w:r>
      <w:r>
        <w:rPr>
          <w:spacing w:val="-3"/>
        </w:rPr>
        <w:t> </w:t>
      </w:r>
      <w:r>
        <w:rPr/>
        <w:t>the</w:t>
      </w:r>
      <w:r>
        <w:rPr>
          <w:spacing w:val="-3"/>
        </w:rPr>
        <w:t> </w:t>
      </w:r>
      <w:r>
        <w:rPr/>
        <w:t>prior</w:t>
      </w:r>
      <w:r>
        <w:rPr>
          <w:spacing w:val="-3"/>
        </w:rPr>
        <w:t> </w:t>
      </w:r>
      <w:r>
        <w:rPr/>
        <w:t>year,</w:t>
      </w:r>
      <w:r>
        <w:rPr>
          <w:spacing w:val="-3"/>
        </w:rPr>
        <w:t> </w:t>
      </w:r>
      <w:r>
        <w:rPr/>
        <w:t>is</w:t>
      </w:r>
      <w:r>
        <w:rPr>
          <w:spacing w:val="-3"/>
        </w:rPr>
        <w:t> </w:t>
      </w:r>
      <w:r>
        <w:rPr/>
        <w:t>primarily</w:t>
      </w:r>
      <w:r>
        <w:rPr>
          <w:spacing w:val="-3"/>
        </w:rPr>
        <w:t> </w:t>
      </w:r>
      <w:r>
        <w:rPr/>
        <w:t>due</w:t>
      </w:r>
      <w:r>
        <w:rPr>
          <w:spacing w:val="-3"/>
        </w:rPr>
        <w:t> </w:t>
      </w:r>
      <w:r>
        <w:rPr/>
        <w:t>to</w:t>
      </w:r>
      <w:r>
        <w:rPr>
          <w:spacing w:val="-3"/>
        </w:rPr>
        <w:t> </w:t>
      </w:r>
      <w:r>
        <w:rPr/>
        <w:t>increased</w:t>
      </w:r>
      <w:r>
        <w:rPr>
          <w:spacing w:val="-3"/>
        </w:rPr>
        <w:t> </w:t>
      </w:r>
      <w:r>
        <w:rPr/>
        <w:t>sales</w:t>
      </w:r>
      <w:r>
        <w:rPr>
          <w:spacing w:val="-3"/>
        </w:rPr>
        <w:t> </w:t>
      </w:r>
      <w:r>
        <w:rPr/>
        <w:t>and</w:t>
      </w:r>
      <w:r>
        <w:rPr>
          <w:spacing w:val="-3"/>
        </w:rPr>
        <w:t> </w:t>
      </w:r>
      <w:r>
        <w:rPr/>
        <w:t>investments</w:t>
      </w:r>
      <w:r>
        <w:rPr>
          <w:spacing w:val="-3"/>
        </w:rPr>
        <w:t> </w:t>
      </w:r>
      <w:r>
        <w:rPr/>
        <w:t>in</w:t>
      </w:r>
      <w:r>
        <w:rPr>
          <w:spacing w:val="-3"/>
        </w:rPr>
        <w:t> </w:t>
      </w:r>
      <w:r>
        <w:rPr/>
        <w:t>our</w:t>
      </w:r>
      <w:r>
        <w:rPr>
          <w:spacing w:val="-3"/>
        </w:rPr>
        <w:t> </w:t>
      </w:r>
      <w:r>
        <w:rPr/>
        <w:t>fulfillment</w:t>
      </w:r>
      <w:r>
        <w:rPr>
          <w:spacing w:val="-3"/>
        </w:rPr>
        <w:t> </w:t>
      </w:r>
      <w:r>
        <w:rPr/>
        <w:t>network, partially offset by fulfillment network efficiencies. Changes in foreign exchange rates reduced fulfillment costs by $223 million in 2024.</w:t>
      </w:r>
    </w:p>
    <w:p>
      <w:pPr>
        <w:pStyle w:val="BodyText"/>
        <w:spacing w:line="249" w:lineRule="auto" w:before="82"/>
        <w:ind w:firstLine="445"/>
      </w:pPr>
      <w:r>
        <w:rPr/>
        <w:t>We</w:t>
      </w:r>
      <w:r>
        <w:rPr>
          <w:spacing w:val="-2"/>
        </w:rPr>
        <w:t> </w:t>
      </w:r>
      <w:r>
        <w:rPr/>
        <w:t>seek</w:t>
      </w:r>
      <w:r>
        <w:rPr>
          <w:spacing w:val="-2"/>
        </w:rPr>
        <w:t> </w:t>
      </w:r>
      <w:r>
        <w:rPr/>
        <w:t>to</w:t>
      </w:r>
      <w:r>
        <w:rPr>
          <w:spacing w:val="-2"/>
        </w:rPr>
        <w:t> </w:t>
      </w:r>
      <w:r>
        <w:rPr/>
        <w:t>expand</w:t>
      </w:r>
      <w:r>
        <w:rPr>
          <w:spacing w:val="-2"/>
        </w:rPr>
        <w:t> </w:t>
      </w:r>
      <w:r>
        <w:rPr/>
        <w:t>our</w:t>
      </w:r>
      <w:r>
        <w:rPr>
          <w:spacing w:val="-2"/>
        </w:rPr>
        <w:t> </w:t>
      </w:r>
      <w:r>
        <w:rPr/>
        <w:t>fulfillment</w:t>
      </w:r>
      <w:r>
        <w:rPr>
          <w:spacing w:val="-2"/>
        </w:rPr>
        <w:t> </w:t>
      </w:r>
      <w:r>
        <w:rPr/>
        <w:t>network</w:t>
      </w:r>
      <w:r>
        <w:rPr>
          <w:spacing w:val="-2"/>
        </w:rPr>
        <w:t> </w:t>
      </w:r>
      <w:r>
        <w:rPr/>
        <w:t>to</w:t>
      </w:r>
      <w:r>
        <w:rPr>
          <w:spacing w:val="-2"/>
        </w:rPr>
        <w:t> </w:t>
      </w:r>
      <w:r>
        <w:rPr/>
        <w:t>accommodate</w:t>
      </w:r>
      <w:r>
        <w:rPr>
          <w:spacing w:val="-2"/>
        </w:rPr>
        <w:t> </w:t>
      </w:r>
      <w:r>
        <w:rPr/>
        <w:t>a</w:t>
      </w:r>
      <w:r>
        <w:rPr>
          <w:spacing w:val="-2"/>
        </w:rPr>
        <w:t> </w:t>
      </w:r>
      <w:r>
        <w:rPr/>
        <w:t>greater</w:t>
      </w:r>
      <w:r>
        <w:rPr>
          <w:spacing w:val="-2"/>
        </w:rPr>
        <w:t> </w:t>
      </w:r>
      <w:r>
        <w:rPr/>
        <w:t>selection</w:t>
      </w:r>
      <w:r>
        <w:rPr>
          <w:spacing w:val="-2"/>
        </w:rPr>
        <w:t> </w:t>
      </w:r>
      <w:r>
        <w:rPr/>
        <w:t>and</w:t>
      </w:r>
      <w:r>
        <w:rPr>
          <w:spacing w:val="-2"/>
        </w:rPr>
        <w:t> </w:t>
      </w:r>
      <w:r>
        <w:rPr/>
        <w:t>in-stock</w:t>
      </w:r>
      <w:r>
        <w:rPr>
          <w:spacing w:val="-2"/>
        </w:rPr>
        <w:t> </w:t>
      </w:r>
      <w:r>
        <w:rPr/>
        <w:t>inventory</w:t>
      </w:r>
      <w:r>
        <w:rPr>
          <w:spacing w:val="-2"/>
        </w:rPr>
        <w:t> </w:t>
      </w:r>
      <w:r>
        <w:rPr/>
        <w:t>levels</w:t>
      </w:r>
      <w:r>
        <w:rPr>
          <w:spacing w:val="-2"/>
        </w:rPr>
        <w:t> </w:t>
      </w:r>
      <w:r>
        <w:rPr/>
        <w:t>and</w:t>
      </w:r>
      <w:r>
        <w:rPr>
          <w:spacing w:val="-2"/>
        </w:rPr>
        <w:t> </w:t>
      </w:r>
      <w:r>
        <w:rPr/>
        <w:t>to</w:t>
      </w:r>
      <w:r>
        <w:rPr>
          <w:spacing w:val="-2"/>
        </w:rPr>
        <w:t> </w:t>
      </w:r>
      <w:r>
        <w:rPr/>
        <w:t>meet</w:t>
      </w:r>
      <w:r>
        <w:rPr>
          <w:spacing w:val="-2"/>
        </w:rPr>
        <w:t> </w:t>
      </w:r>
      <w:r>
        <w:rPr/>
        <w:t>anticipated</w:t>
      </w:r>
      <w:r>
        <w:rPr>
          <w:spacing w:val="-2"/>
        </w:rPr>
        <w:t> </w:t>
      </w:r>
      <w:r>
        <w:rPr/>
        <w:t>shipment</w:t>
      </w:r>
      <w:r>
        <w:rPr>
          <w:spacing w:val="-2"/>
        </w:rPr>
        <w:t> </w:t>
      </w:r>
      <w:r>
        <w:rPr/>
        <w:t>volumes from</w:t>
      </w:r>
      <w:r>
        <w:rPr>
          <w:spacing w:val="-2"/>
        </w:rPr>
        <w:t> </w:t>
      </w:r>
      <w:r>
        <w:rPr/>
        <w:t>sales</w:t>
      </w:r>
      <w:r>
        <w:rPr>
          <w:spacing w:val="-2"/>
        </w:rPr>
        <w:t> </w:t>
      </w:r>
      <w:r>
        <w:rPr/>
        <w:t>of</w:t>
      </w:r>
      <w:r>
        <w:rPr>
          <w:spacing w:val="-1"/>
        </w:rPr>
        <w:t> </w:t>
      </w:r>
      <w:r>
        <w:rPr/>
        <w:t>our</w:t>
      </w:r>
      <w:r>
        <w:rPr>
          <w:spacing w:val="-2"/>
        </w:rPr>
        <w:t> </w:t>
      </w:r>
      <w:r>
        <w:rPr/>
        <w:t>own</w:t>
      </w:r>
      <w:r>
        <w:rPr>
          <w:spacing w:val="-1"/>
        </w:rPr>
        <w:t> </w:t>
      </w:r>
      <w:r>
        <w:rPr/>
        <w:t>products</w:t>
      </w:r>
      <w:r>
        <w:rPr>
          <w:spacing w:val="-2"/>
        </w:rPr>
        <w:t> </w:t>
      </w:r>
      <w:r>
        <w:rPr/>
        <w:t>as</w:t>
      </w:r>
      <w:r>
        <w:rPr>
          <w:spacing w:val="-2"/>
        </w:rPr>
        <w:t> </w:t>
      </w:r>
      <w:r>
        <w:rPr/>
        <w:t>well</w:t>
      </w:r>
      <w:r>
        <w:rPr>
          <w:spacing w:val="-1"/>
        </w:rPr>
        <w:t> </w:t>
      </w:r>
      <w:r>
        <w:rPr/>
        <w:t>as</w:t>
      </w:r>
      <w:r>
        <w:rPr>
          <w:spacing w:val="-2"/>
        </w:rPr>
        <w:t> </w:t>
      </w:r>
      <w:r>
        <w:rPr/>
        <w:t>sales</w:t>
      </w:r>
      <w:r>
        <w:rPr>
          <w:spacing w:val="-2"/>
        </w:rPr>
        <w:t> </w:t>
      </w:r>
      <w:r>
        <w:rPr/>
        <w:t>by</w:t>
      </w:r>
      <w:r>
        <w:rPr>
          <w:spacing w:val="-1"/>
        </w:rPr>
        <w:t> </w:t>
      </w:r>
      <w:r>
        <w:rPr/>
        <w:t>third</w:t>
      </w:r>
      <w:r>
        <w:rPr>
          <w:spacing w:val="-2"/>
        </w:rPr>
        <w:t> </w:t>
      </w:r>
      <w:r>
        <w:rPr/>
        <w:t>parties</w:t>
      </w:r>
      <w:r>
        <w:rPr>
          <w:spacing w:val="-1"/>
        </w:rPr>
        <w:t> </w:t>
      </w:r>
      <w:r>
        <w:rPr/>
        <w:t>for</w:t>
      </w:r>
      <w:r>
        <w:rPr>
          <w:spacing w:val="-2"/>
        </w:rPr>
        <w:t> </w:t>
      </w:r>
      <w:r>
        <w:rPr/>
        <w:t>which</w:t>
      </w:r>
      <w:r>
        <w:rPr>
          <w:spacing w:val="-2"/>
        </w:rPr>
        <w:t> </w:t>
      </w:r>
      <w:r>
        <w:rPr/>
        <w:t>we</w:t>
      </w:r>
      <w:r>
        <w:rPr>
          <w:spacing w:val="-1"/>
        </w:rPr>
        <w:t> </w:t>
      </w:r>
      <w:r>
        <w:rPr/>
        <w:t>provide</w:t>
      </w:r>
      <w:r>
        <w:rPr>
          <w:spacing w:val="-2"/>
        </w:rPr>
        <w:t> </w:t>
      </w:r>
      <w:r>
        <w:rPr/>
        <w:t>the</w:t>
      </w:r>
      <w:r>
        <w:rPr>
          <w:spacing w:val="-1"/>
        </w:rPr>
        <w:t> </w:t>
      </w:r>
      <w:r>
        <w:rPr/>
        <w:t>fulfillment</w:t>
      </w:r>
      <w:r>
        <w:rPr>
          <w:spacing w:val="-2"/>
        </w:rPr>
        <w:t> </w:t>
      </w:r>
      <w:r>
        <w:rPr/>
        <w:t>services.</w:t>
      </w:r>
      <w:r>
        <w:rPr>
          <w:spacing w:val="-4"/>
        </w:rPr>
        <w:t> </w:t>
      </w:r>
      <w:r>
        <w:rPr/>
        <w:t>We</w:t>
      </w:r>
      <w:r>
        <w:rPr>
          <w:spacing w:val="-2"/>
        </w:rPr>
        <w:t> </w:t>
      </w:r>
      <w:r>
        <w:rPr/>
        <w:t>regularly</w:t>
      </w:r>
      <w:r>
        <w:rPr>
          <w:spacing w:val="-2"/>
        </w:rPr>
        <w:t> </w:t>
      </w:r>
      <w:r>
        <w:rPr/>
        <w:t>evaluate</w:t>
      </w:r>
      <w:r>
        <w:rPr>
          <w:spacing w:val="-1"/>
        </w:rPr>
        <w:t> </w:t>
      </w:r>
      <w:r>
        <w:rPr/>
        <w:t>our</w:t>
      </w:r>
      <w:r>
        <w:rPr>
          <w:spacing w:val="-2"/>
        </w:rPr>
        <w:t> </w:t>
      </w:r>
      <w:r>
        <w:rPr/>
        <w:t>facility</w:t>
      </w:r>
      <w:r>
        <w:rPr>
          <w:spacing w:val="-1"/>
        </w:rPr>
        <w:t> </w:t>
      </w:r>
      <w:r>
        <w:rPr>
          <w:spacing w:val="-2"/>
        </w:rPr>
        <w:t>requirements.</w:t>
      </w:r>
    </w:p>
    <w:p>
      <w:pPr>
        <w:pStyle w:val="BodyText"/>
        <w:spacing w:before="51"/>
        <w:ind w:left="0"/>
      </w:pPr>
    </w:p>
    <w:p>
      <w:pPr>
        <w:spacing w:before="0"/>
        <w:ind w:left="206" w:right="0" w:firstLine="0"/>
        <w:jc w:val="left"/>
        <w:rPr>
          <w:i/>
          <w:sz w:val="18"/>
        </w:rPr>
      </w:pPr>
      <w:r>
        <w:rPr>
          <w:i/>
          <w:sz w:val="18"/>
        </w:rPr>
        <w:t>Technology</w:t>
      </w:r>
      <w:r>
        <w:rPr>
          <w:i/>
          <w:spacing w:val="-10"/>
          <w:sz w:val="18"/>
        </w:rPr>
        <w:t> </w:t>
      </w:r>
      <w:r>
        <w:rPr>
          <w:i/>
          <w:sz w:val="18"/>
        </w:rPr>
        <w:t>and</w:t>
      </w:r>
      <w:r>
        <w:rPr>
          <w:i/>
          <w:spacing w:val="-9"/>
          <w:sz w:val="18"/>
        </w:rPr>
        <w:t> </w:t>
      </w:r>
      <w:r>
        <w:rPr>
          <w:i/>
          <w:spacing w:val="-2"/>
          <w:sz w:val="18"/>
        </w:rPr>
        <w:t>Infrastructure</w:t>
      </w:r>
    </w:p>
    <w:p>
      <w:pPr>
        <w:pStyle w:val="BodyText"/>
        <w:spacing w:line="249" w:lineRule="auto" w:before="104"/>
        <w:ind w:firstLine="445"/>
      </w:pPr>
      <w:r>
        <w:rPr/>
        <w:t>Technology and infrastructure costs include payroll and related expenses for employees involved in the research and development of new and existing products</w:t>
      </w:r>
      <w:r>
        <w:rPr>
          <w:spacing w:val="-2"/>
        </w:rPr>
        <w:t> </w:t>
      </w:r>
      <w:r>
        <w:rPr/>
        <w:t>and</w:t>
      </w:r>
      <w:r>
        <w:rPr>
          <w:spacing w:val="-2"/>
        </w:rPr>
        <w:t> </w:t>
      </w:r>
      <w:r>
        <w:rPr/>
        <w:t>services,</w:t>
      </w:r>
      <w:r>
        <w:rPr>
          <w:spacing w:val="-2"/>
        </w:rPr>
        <w:t> </w:t>
      </w:r>
      <w:r>
        <w:rPr/>
        <w:t>development,</w:t>
      </w:r>
      <w:r>
        <w:rPr>
          <w:spacing w:val="-2"/>
        </w:rPr>
        <w:t> </w:t>
      </w:r>
      <w:r>
        <w:rPr/>
        <w:t>design,</w:t>
      </w:r>
      <w:r>
        <w:rPr>
          <w:spacing w:val="-2"/>
        </w:rPr>
        <w:t> </w:t>
      </w:r>
      <w:r>
        <w:rPr/>
        <w:t>and</w:t>
      </w:r>
      <w:r>
        <w:rPr>
          <w:spacing w:val="-2"/>
        </w:rPr>
        <w:t> </w:t>
      </w:r>
      <w:r>
        <w:rPr/>
        <w:t>maintenance</w:t>
      </w:r>
      <w:r>
        <w:rPr>
          <w:spacing w:val="-2"/>
        </w:rPr>
        <w:t> </w:t>
      </w:r>
      <w:r>
        <w:rPr/>
        <w:t>of</w:t>
      </w:r>
      <w:r>
        <w:rPr>
          <w:spacing w:val="-2"/>
        </w:rPr>
        <w:t> </w:t>
      </w:r>
      <w:r>
        <w:rPr/>
        <w:t>our</w:t>
      </w:r>
      <w:r>
        <w:rPr>
          <w:spacing w:val="-2"/>
        </w:rPr>
        <w:t> </w:t>
      </w:r>
      <w:r>
        <w:rPr/>
        <w:t>stores,</w:t>
      </w:r>
      <w:r>
        <w:rPr>
          <w:spacing w:val="-2"/>
        </w:rPr>
        <w:t> </w:t>
      </w:r>
      <w:r>
        <w:rPr/>
        <w:t>curation</w:t>
      </w:r>
      <w:r>
        <w:rPr>
          <w:spacing w:val="-2"/>
        </w:rPr>
        <w:t> </w:t>
      </w:r>
      <w:r>
        <w:rPr/>
        <w:t>and</w:t>
      </w:r>
      <w:r>
        <w:rPr>
          <w:spacing w:val="-2"/>
        </w:rPr>
        <w:t> </w:t>
      </w:r>
      <w:r>
        <w:rPr/>
        <w:t>display</w:t>
      </w:r>
      <w:r>
        <w:rPr>
          <w:spacing w:val="-2"/>
        </w:rPr>
        <w:t> </w:t>
      </w:r>
      <w:r>
        <w:rPr/>
        <w:t>of</w:t>
      </w:r>
      <w:r>
        <w:rPr>
          <w:spacing w:val="-2"/>
        </w:rPr>
        <w:t> </w:t>
      </w:r>
      <w:r>
        <w:rPr/>
        <w:t>products</w:t>
      </w:r>
      <w:r>
        <w:rPr>
          <w:spacing w:val="-2"/>
        </w:rPr>
        <w:t> </w:t>
      </w:r>
      <w:r>
        <w:rPr/>
        <w:t>and</w:t>
      </w:r>
      <w:r>
        <w:rPr>
          <w:spacing w:val="-2"/>
        </w:rPr>
        <w:t> </w:t>
      </w:r>
      <w:r>
        <w:rPr/>
        <w:t>services</w:t>
      </w:r>
      <w:r>
        <w:rPr>
          <w:spacing w:val="-2"/>
        </w:rPr>
        <w:t> </w:t>
      </w:r>
      <w:r>
        <w:rPr/>
        <w:t>made</w:t>
      </w:r>
      <w:r>
        <w:rPr>
          <w:spacing w:val="-2"/>
        </w:rPr>
        <w:t> </w:t>
      </w:r>
      <w:r>
        <w:rPr/>
        <w:t>available</w:t>
      </w:r>
      <w:r>
        <w:rPr>
          <w:spacing w:val="-2"/>
        </w:rPr>
        <w:t> </w:t>
      </w:r>
      <w:r>
        <w:rPr/>
        <w:t>in</w:t>
      </w:r>
      <w:r>
        <w:rPr>
          <w:spacing w:val="-2"/>
        </w:rPr>
        <w:t> </w:t>
      </w:r>
      <w:r>
        <w:rPr/>
        <w:t>our</w:t>
      </w:r>
      <w:r>
        <w:rPr>
          <w:spacing w:val="-2"/>
        </w:rPr>
        <w:t> </w:t>
      </w:r>
      <w:r>
        <w:rPr/>
        <w:t>online</w:t>
      </w:r>
      <w:r>
        <w:rPr>
          <w:spacing w:val="-2"/>
        </w:rPr>
        <w:t> </w:t>
      </w:r>
      <w:r>
        <w:rPr/>
        <w:t>stores, and infrastructure costs. Infrastructure costs include servers, networking equipment, and data center related depreciation and amortization, rent, utilities, and other expenses necessary to support</w:t>
      </w:r>
      <w:r>
        <w:rPr>
          <w:spacing w:val="-6"/>
        </w:rPr>
        <w:t> </w:t>
      </w:r>
      <w:r>
        <w:rPr/>
        <w:t>AWS and other</w:t>
      </w:r>
      <w:r>
        <w:rPr>
          <w:spacing w:val="-6"/>
        </w:rPr>
        <w:t> </w:t>
      </w:r>
      <w:r>
        <w:rPr/>
        <w:t>Amazon businesses. Collectively, these costs reflect the investments we make in order to offer a wide variety of products and services to our customers, including expenditures related to initiatives to build and deploy innovative and efficient software and electronic devices and the development of a satellite network for global broadband service and autonomous vehicles for ride-hailing services.</w:t>
      </w:r>
    </w:p>
    <w:p>
      <w:pPr>
        <w:pStyle w:val="BodyText"/>
        <w:spacing w:line="249" w:lineRule="auto" w:before="85"/>
        <w:ind w:right="20" w:firstLine="445"/>
      </w:pPr>
      <w:r>
        <w:rPr/>
        <w:t>We seek to invest efficiently in numerous areas of technology and infrastructure so we may continue to enhance the customer experience and improve</w:t>
      </w:r>
      <w:r>
        <w:rPr/>
        <w:t> our process efficiency through rapid technology developments, while operating at an ever increasing scale. Our technology and infrastructure investment and capital spending projects often support a variety of product and service offerings due to geographic expansion and the cross-functionality of our systems and operations. We expect spending in technology and infrastructure to increase over time as we continue to add employees and infrastructure. These costs are allocated</w:t>
      </w:r>
      <w:r>
        <w:rPr>
          <w:spacing w:val="-1"/>
        </w:rPr>
        <w:t> </w:t>
      </w:r>
      <w:r>
        <w:rPr/>
        <w:t>to</w:t>
      </w:r>
      <w:r>
        <w:rPr>
          <w:spacing w:val="-1"/>
        </w:rPr>
        <w:t> </w:t>
      </w:r>
      <w:r>
        <w:rPr/>
        <w:t>segments</w:t>
      </w:r>
      <w:r>
        <w:rPr>
          <w:spacing w:val="-1"/>
        </w:rPr>
        <w:t> </w:t>
      </w:r>
      <w:r>
        <w:rPr/>
        <w:t>based</w:t>
      </w:r>
      <w:r>
        <w:rPr>
          <w:spacing w:val="-1"/>
        </w:rPr>
        <w:t> </w:t>
      </w:r>
      <w:r>
        <w:rPr/>
        <w:t>on</w:t>
      </w:r>
      <w:r>
        <w:rPr>
          <w:spacing w:val="-1"/>
        </w:rPr>
        <w:t> </w:t>
      </w:r>
      <w:r>
        <w:rPr/>
        <w:t>usage.</w:t>
      </w:r>
      <w:r>
        <w:rPr>
          <w:spacing w:val="-4"/>
        </w:rPr>
        <w:t> </w:t>
      </w:r>
      <w:r>
        <w:rPr/>
        <w:t>The</w:t>
      </w:r>
      <w:r>
        <w:rPr>
          <w:spacing w:val="-1"/>
        </w:rPr>
        <w:t> </w:t>
      </w:r>
      <w:r>
        <w:rPr/>
        <w:t>increase</w:t>
      </w:r>
      <w:r>
        <w:rPr>
          <w:spacing w:val="-1"/>
        </w:rPr>
        <w:t> </w:t>
      </w:r>
      <w:r>
        <w:rPr/>
        <w:t>in</w:t>
      </w:r>
      <w:r>
        <w:rPr>
          <w:spacing w:val="-1"/>
        </w:rPr>
        <w:t> </w:t>
      </w:r>
      <w:r>
        <w:rPr/>
        <w:t>technology</w:t>
      </w:r>
      <w:r>
        <w:rPr>
          <w:spacing w:val="-1"/>
        </w:rPr>
        <w:t> </w:t>
      </w:r>
      <w:r>
        <w:rPr/>
        <w:t>and</w:t>
      </w:r>
      <w:r>
        <w:rPr>
          <w:spacing w:val="-1"/>
        </w:rPr>
        <w:t> </w:t>
      </w:r>
      <w:r>
        <w:rPr/>
        <w:t>infrastructure</w:t>
      </w:r>
      <w:r>
        <w:rPr>
          <w:spacing w:val="-1"/>
        </w:rPr>
        <w:t> </w:t>
      </w:r>
      <w:r>
        <w:rPr/>
        <w:t>costs</w:t>
      </w:r>
      <w:r>
        <w:rPr>
          <w:spacing w:val="-1"/>
        </w:rPr>
        <w:t> </w:t>
      </w:r>
      <w:r>
        <w:rPr/>
        <w:t>in</w:t>
      </w:r>
      <w:r>
        <w:rPr>
          <w:spacing w:val="-1"/>
        </w:rPr>
        <w:t> </w:t>
      </w:r>
      <w:r>
        <w:rPr/>
        <w:t>2024,</w:t>
      </w:r>
      <w:r>
        <w:rPr>
          <w:spacing w:val="-1"/>
        </w:rPr>
        <w:t> </w:t>
      </w:r>
      <w:r>
        <w:rPr/>
        <w:t>compared</w:t>
      </w:r>
      <w:r>
        <w:rPr>
          <w:spacing w:val="-1"/>
        </w:rPr>
        <w:t> </w:t>
      </w:r>
      <w:r>
        <w:rPr/>
        <w:t>to</w:t>
      </w:r>
      <w:r>
        <w:rPr>
          <w:spacing w:val="-1"/>
        </w:rPr>
        <w:t> </w:t>
      </w:r>
      <w:r>
        <w:rPr/>
        <w:t>the</w:t>
      </w:r>
      <w:r>
        <w:rPr>
          <w:spacing w:val="-1"/>
        </w:rPr>
        <w:t> </w:t>
      </w:r>
      <w:r>
        <w:rPr/>
        <w:t>prior</w:t>
      </w:r>
      <w:r>
        <w:rPr>
          <w:spacing w:val="-1"/>
        </w:rPr>
        <w:t> </w:t>
      </w:r>
      <w:r>
        <w:rPr/>
        <w:t>year,</w:t>
      </w:r>
      <w:r>
        <w:rPr>
          <w:spacing w:val="-1"/>
        </w:rPr>
        <w:t> </w:t>
      </w:r>
      <w:r>
        <w:rPr/>
        <w:t>is</w:t>
      </w:r>
      <w:r>
        <w:rPr>
          <w:spacing w:val="-1"/>
        </w:rPr>
        <w:t> </w:t>
      </w:r>
      <w:r>
        <w:rPr/>
        <w:t>primarily</w:t>
      </w:r>
      <w:r>
        <w:rPr>
          <w:spacing w:val="-1"/>
        </w:rPr>
        <w:t> </w:t>
      </w:r>
      <w:r>
        <w:rPr/>
        <w:t>due</w:t>
      </w:r>
      <w:r>
        <w:rPr>
          <w:spacing w:val="-1"/>
        </w:rPr>
        <w:t> </w:t>
      </w:r>
      <w:r>
        <w:rPr/>
        <w:t>to</w:t>
      </w:r>
      <w:r>
        <w:rPr>
          <w:spacing w:val="-1"/>
        </w:rPr>
        <w:t> </w:t>
      </w:r>
      <w:r>
        <w:rPr/>
        <w:t>an</w:t>
      </w:r>
      <w:r>
        <w:rPr>
          <w:spacing w:val="-1"/>
        </w:rPr>
        <w:t> </w:t>
      </w:r>
      <w:r>
        <w:rPr/>
        <w:t>increase</w:t>
      </w:r>
      <w:r>
        <w:rPr>
          <w:spacing w:val="-1"/>
        </w:rPr>
        <w:t> </w:t>
      </w:r>
      <w:r>
        <w:rPr/>
        <w:t>in spending on infrastructure, partially offset by decreased payroll and related costs associated with technical teams responsible for expanding our existing products</w:t>
      </w:r>
      <w:r>
        <w:rPr>
          <w:spacing w:val="-1"/>
        </w:rPr>
        <w:t> </w:t>
      </w:r>
      <w:r>
        <w:rPr/>
        <w:t>and</w:t>
      </w:r>
      <w:r>
        <w:rPr>
          <w:spacing w:val="-1"/>
        </w:rPr>
        <w:t> </w:t>
      </w:r>
      <w:r>
        <w:rPr/>
        <w:t>services</w:t>
      </w:r>
      <w:r>
        <w:rPr>
          <w:spacing w:val="-1"/>
        </w:rPr>
        <w:t> </w:t>
      </w:r>
      <w:r>
        <w:rPr/>
        <w:t>and</w:t>
      </w:r>
      <w:r>
        <w:rPr>
          <w:spacing w:val="-1"/>
        </w:rPr>
        <w:t> </w:t>
      </w:r>
      <w:r>
        <w:rPr/>
        <w:t>initiatives</w:t>
      </w:r>
      <w:r>
        <w:rPr>
          <w:spacing w:val="-1"/>
        </w:rPr>
        <w:t> </w:t>
      </w:r>
      <w:r>
        <w:rPr/>
        <w:t>to</w:t>
      </w:r>
      <w:r>
        <w:rPr>
          <w:spacing w:val="-1"/>
        </w:rPr>
        <w:t> </w:t>
      </w:r>
      <w:r>
        <w:rPr/>
        <w:t>introduce</w:t>
      </w:r>
      <w:r>
        <w:rPr>
          <w:spacing w:val="-1"/>
        </w:rPr>
        <w:t> </w:t>
      </w:r>
      <w:r>
        <w:rPr/>
        <w:t>new</w:t>
      </w:r>
      <w:r>
        <w:rPr>
          <w:spacing w:val="-1"/>
        </w:rPr>
        <w:t> </w:t>
      </w:r>
      <w:r>
        <w:rPr/>
        <w:t>products</w:t>
      </w:r>
      <w:r>
        <w:rPr>
          <w:spacing w:val="-1"/>
        </w:rPr>
        <w:t> </w:t>
      </w:r>
      <w:r>
        <w:rPr/>
        <w:t>and</w:t>
      </w:r>
      <w:r>
        <w:rPr>
          <w:spacing w:val="-1"/>
        </w:rPr>
        <w:t> </w:t>
      </w:r>
      <w:r>
        <w:rPr/>
        <w:t>service</w:t>
      </w:r>
      <w:r>
        <w:rPr>
          <w:spacing w:val="-1"/>
        </w:rPr>
        <w:t> </w:t>
      </w:r>
      <w:r>
        <w:rPr/>
        <w:t>offerings</w:t>
      </w:r>
      <w:r>
        <w:rPr>
          <w:spacing w:val="-1"/>
        </w:rPr>
        <w:t> </w:t>
      </w:r>
      <w:r>
        <w:rPr/>
        <w:t>and</w:t>
      </w:r>
      <w:r>
        <w:rPr>
          <w:spacing w:val="-1"/>
        </w:rPr>
        <w:t> </w:t>
      </w:r>
      <w:r>
        <w:rPr/>
        <w:t>a</w:t>
      </w:r>
      <w:r>
        <w:rPr>
          <w:spacing w:val="-1"/>
        </w:rPr>
        <w:t> </w:t>
      </w:r>
      <w:r>
        <w:rPr/>
        <w:t>reduction</w:t>
      </w:r>
      <w:r>
        <w:rPr>
          <w:spacing w:val="-1"/>
        </w:rPr>
        <w:t> </w:t>
      </w:r>
      <w:r>
        <w:rPr/>
        <w:t>in</w:t>
      </w:r>
      <w:r>
        <w:rPr>
          <w:spacing w:val="-1"/>
        </w:rPr>
        <w:t> </w:t>
      </w:r>
      <w:r>
        <w:rPr/>
        <w:t>depreciation</w:t>
      </w:r>
      <w:r>
        <w:rPr>
          <w:spacing w:val="-1"/>
        </w:rPr>
        <w:t> </w:t>
      </w:r>
      <w:r>
        <w:rPr/>
        <w:t>and</w:t>
      </w:r>
      <w:r>
        <w:rPr>
          <w:spacing w:val="-1"/>
        </w:rPr>
        <w:t> </w:t>
      </w:r>
      <w:r>
        <w:rPr/>
        <w:t>amortization</w:t>
      </w:r>
      <w:r>
        <w:rPr>
          <w:spacing w:val="-1"/>
        </w:rPr>
        <w:t> </w:t>
      </w:r>
      <w:r>
        <w:rPr/>
        <w:t>expense</w:t>
      </w:r>
      <w:r>
        <w:rPr>
          <w:spacing w:val="-1"/>
        </w:rPr>
        <w:t> </w:t>
      </w:r>
      <w:r>
        <w:rPr/>
        <w:t>from</w:t>
      </w:r>
      <w:r>
        <w:rPr>
          <w:spacing w:val="-1"/>
        </w:rPr>
        <w:t> </w:t>
      </w:r>
      <w:r>
        <w:rPr/>
        <w:t>our</w:t>
      </w:r>
      <w:r>
        <w:rPr>
          <w:spacing w:val="-1"/>
        </w:rPr>
        <w:t> </w:t>
      </w:r>
      <w:r>
        <w:rPr/>
        <w:t>change in</w:t>
      </w:r>
      <w:r>
        <w:rPr>
          <w:spacing w:val="-3"/>
        </w:rPr>
        <w:t> </w:t>
      </w:r>
      <w:r>
        <w:rPr/>
        <w:t>the</w:t>
      </w:r>
      <w:r>
        <w:rPr>
          <w:spacing w:val="-3"/>
        </w:rPr>
        <w:t> </w:t>
      </w:r>
      <w:r>
        <w:rPr/>
        <w:t>estimated</w:t>
      </w:r>
      <w:r>
        <w:rPr>
          <w:spacing w:val="-3"/>
        </w:rPr>
        <w:t> </w:t>
      </w:r>
      <w:r>
        <w:rPr/>
        <w:t>useful</w:t>
      </w:r>
      <w:r>
        <w:rPr>
          <w:spacing w:val="-3"/>
        </w:rPr>
        <w:t> </w:t>
      </w:r>
      <w:r>
        <w:rPr/>
        <w:t>life</w:t>
      </w:r>
      <w:r>
        <w:rPr>
          <w:spacing w:val="-3"/>
        </w:rPr>
        <w:t> </w:t>
      </w:r>
      <w:r>
        <w:rPr/>
        <w:t>of</w:t>
      </w:r>
      <w:r>
        <w:rPr>
          <w:spacing w:val="-3"/>
        </w:rPr>
        <w:t> </w:t>
      </w:r>
      <w:r>
        <w:rPr/>
        <w:t>our</w:t>
      </w:r>
      <w:r>
        <w:rPr>
          <w:spacing w:val="-3"/>
        </w:rPr>
        <w:t> </w:t>
      </w:r>
      <w:r>
        <w:rPr/>
        <w:t>servers.</w:t>
      </w:r>
      <w:r>
        <w:rPr>
          <w:spacing w:val="-3"/>
        </w:rPr>
        <w:t> </w:t>
      </w:r>
      <w:r>
        <w:rPr/>
        <w:t>Changes</w:t>
      </w:r>
      <w:r>
        <w:rPr>
          <w:spacing w:val="-3"/>
        </w:rPr>
        <w:t> </w:t>
      </w:r>
      <w:r>
        <w:rPr/>
        <w:t>in</w:t>
      </w:r>
      <w:r>
        <w:rPr>
          <w:spacing w:val="-3"/>
        </w:rPr>
        <w:t> </w:t>
      </w:r>
      <w:r>
        <w:rPr/>
        <w:t>foreign</w:t>
      </w:r>
      <w:r>
        <w:rPr>
          <w:spacing w:val="-3"/>
        </w:rPr>
        <w:t> </w:t>
      </w:r>
      <w:r>
        <w:rPr/>
        <w:t>exchange</w:t>
      </w:r>
      <w:r>
        <w:rPr>
          <w:spacing w:val="-3"/>
        </w:rPr>
        <w:t> </w:t>
      </w:r>
      <w:r>
        <w:rPr/>
        <w:t>rates</w:t>
      </w:r>
      <w:r>
        <w:rPr>
          <w:spacing w:val="-3"/>
        </w:rPr>
        <w:t> </w:t>
      </w:r>
      <w:r>
        <w:rPr/>
        <w:t>reduced</w:t>
      </w:r>
      <w:r>
        <w:rPr>
          <w:spacing w:val="-3"/>
        </w:rPr>
        <w:t> </w:t>
      </w:r>
      <w:r>
        <w:rPr/>
        <w:t>technology</w:t>
      </w:r>
      <w:r>
        <w:rPr>
          <w:spacing w:val="-3"/>
        </w:rPr>
        <w:t> </w:t>
      </w:r>
      <w:r>
        <w:rPr/>
        <w:t>and</w:t>
      </w:r>
      <w:r>
        <w:rPr>
          <w:spacing w:val="-3"/>
        </w:rPr>
        <w:t> </w:t>
      </w:r>
      <w:r>
        <w:rPr/>
        <w:t>infrastructure</w:t>
      </w:r>
      <w:r>
        <w:rPr>
          <w:spacing w:val="-3"/>
        </w:rPr>
        <w:t> </w:t>
      </w:r>
      <w:r>
        <w:rPr/>
        <w:t>costs</w:t>
      </w:r>
      <w:r>
        <w:rPr>
          <w:spacing w:val="-3"/>
        </w:rPr>
        <w:t> </w:t>
      </w:r>
      <w:r>
        <w:rPr/>
        <w:t>by</w:t>
      </w:r>
      <w:r>
        <w:rPr>
          <w:spacing w:val="-3"/>
        </w:rPr>
        <w:t> </w:t>
      </w:r>
      <w:r>
        <w:rPr/>
        <w:t>$244</w:t>
      </w:r>
      <w:r>
        <w:rPr>
          <w:spacing w:val="-3"/>
        </w:rPr>
        <w:t> </w:t>
      </w:r>
      <w:r>
        <w:rPr/>
        <w:t>million</w:t>
      </w:r>
      <w:r>
        <w:rPr>
          <w:spacing w:val="-3"/>
        </w:rPr>
        <w:t> </w:t>
      </w:r>
      <w:r>
        <w:rPr/>
        <w:t>in</w:t>
      </w:r>
      <w:r>
        <w:rPr>
          <w:spacing w:val="-3"/>
        </w:rPr>
        <w:t> </w:t>
      </w:r>
      <w:r>
        <w:rPr/>
        <w:t>2024.</w:t>
      </w:r>
      <w:r>
        <w:rPr>
          <w:spacing w:val="-6"/>
        </w:rPr>
        <w:t> </w:t>
      </w:r>
      <w:r>
        <w:rPr/>
        <w:t>We</w:t>
      </w:r>
      <w:r>
        <w:rPr>
          <w:spacing w:val="-3"/>
        </w:rPr>
        <w:t> </w:t>
      </w:r>
      <w:r>
        <w:rPr/>
        <w:t>currently expense the majority of the costs associated with the development of our satellite network for global broadband service (including production, launch, and payroll costs, and launch services deposits upon launch). We will capitalize certain of these costs once the service achieves commercial viability, including sales to customers.</w:t>
      </w:r>
    </w:p>
    <w:p>
      <w:pPr>
        <w:pStyle w:val="BodyText"/>
        <w:spacing w:before="58"/>
        <w:ind w:left="0"/>
      </w:pPr>
    </w:p>
    <w:p>
      <w:pPr>
        <w:spacing w:before="0"/>
        <w:ind w:left="206" w:right="0" w:firstLine="0"/>
        <w:jc w:val="left"/>
        <w:rPr>
          <w:i/>
          <w:sz w:val="18"/>
        </w:rPr>
      </w:pPr>
      <w:r>
        <w:rPr>
          <w:i/>
          <w:sz w:val="18"/>
        </w:rPr>
        <w:t>Sales</w:t>
      </w:r>
      <w:r>
        <w:rPr>
          <w:i/>
          <w:spacing w:val="-1"/>
          <w:sz w:val="18"/>
        </w:rPr>
        <w:t> </w:t>
      </w:r>
      <w:r>
        <w:rPr>
          <w:i/>
          <w:sz w:val="18"/>
        </w:rPr>
        <w:t>and</w:t>
      </w:r>
      <w:r>
        <w:rPr>
          <w:i/>
          <w:spacing w:val="-1"/>
          <w:sz w:val="18"/>
        </w:rPr>
        <w:t> </w:t>
      </w:r>
      <w:r>
        <w:rPr>
          <w:i/>
          <w:spacing w:val="-2"/>
          <w:sz w:val="18"/>
        </w:rPr>
        <w:t>Marketing</w:t>
      </w:r>
    </w:p>
    <w:p>
      <w:pPr>
        <w:pStyle w:val="BodyText"/>
        <w:spacing w:line="249" w:lineRule="auto" w:before="103"/>
        <w:ind w:firstLine="445"/>
      </w:pPr>
      <w:r>
        <w:rPr/>
        <w:t>Sales</w:t>
      </w:r>
      <w:r>
        <w:rPr>
          <w:spacing w:val="-1"/>
        </w:rPr>
        <w:t> </w:t>
      </w:r>
      <w:r>
        <w:rPr/>
        <w:t>and</w:t>
      </w:r>
      <w:r>
        <w:rPr>
          <w:spacing w:val="-1"/>
        </w:rPr>
        <w:t> </w:t>
      </w:r>
      <w:r>
        <w:rPr/>
        <w:t>marketing</w:t>
      </w:r>
      <w:r>
        <w:rPr>
          <w:spacing w:val="-1"/>
        </w:rPr>
        <w:t> </w:t>
      </w:r>
      <w:r>
        <w:rPr/>
        <w:t>costs</w:t>
      </w:r>
      <w:r>
        <w:rPr>
          <w:spacing w:val="-1"/>
        </w:rPr>
        <w:t> </w:t>
      </w:r>
      <w:r>
        <w:rPr/>
        <w:t>include</w:t>
      </w:r>
      <w:r>
        <w:rPr>
          <w:spacing w:val="-1"/>
        </w:rPr>
        <w:t> </w:t>
      </w:r>
      <w:r>
        <w:rPr/>
        <w:t>advertising</w:t>
      </w:r>
      <w:r>
        <w:rPr>
          <w:spacing w:val="-1"/>
        </w:rPr>
        <w:t> </w:t>
      </w:r>
      <w:r>
        <w:rPr/>
        <w:t>and</w:t>
      </w:r>
      <w:r>
        <w:rPr>
          <w:spacing w:val="-1"/>
        </w:rPr>
        <w:t> </w:t>
      </w:r>
      <w:r>
        <w:rPr/>
        <w:t>payroll</w:t>
      </w:r>
      <w:r>
        <w:rPr>
          <w:spacing w:val="-1"/>
        </w:rPr>
        <w:t> </w:t>
      </w:r>
      <w:r>
        <w:rPr/>
        <w:t>and</w:t>
      </w:r>
      <w:r>
        <w:rPr>
          <w:spacing w:val="-1"/>
        </w:rPr>
        <w:t> </w:t>
      </w:r>
      <w:r>
        <w:rPr/>
        <w:t>related</w:t>
      </w:r>
      <w:r>
        <w:rPr>
          <w:spacing w:val="-1"/>
        </w:rPr>
        <w:t> </w:t>
      </w:r>
      <w:r>
        <w:rPr/>
        <w:t>expenses</w:t>
      </w:r>
      <w:r>
        <w:rPr>
          <w:spacing w:val="-1"/>
        </w:rPr>
        <w:t> </w:t>
      </w:r>
      <w:r>
        <w:rPr/>
        <w:t>for</w:t>
      </w:r>
      <w:r>
        <w:rPr>
          <w:spacing w:val="-1"/>
        </w:rPr>
        <w:t> </w:t>
      </w:r>
      <w:r>
        <w:rPr/>
        <w:t>personnel</w:t>
      </w:r>
      <w:r>
        <w:rPr>
          <w:spacing w:val="-1"/>
        </w:rPr>
        <w:t> </w:t>
      </w:r>
      <w:r>
        <w:rPr/>
        <w:t>engaged</w:t>
      </w:r>
      <w:r>
        <w:rPr>
          <w:spacing w:val="-1"/>
        </w:rPr>
        <w:t> </w:t>
      </w:r>
      <w:r>
        <w:rPr/>
        <w:t>in</w:t>
      </w:r>
      <w:r>
        <w:rPr>
          <w:spacing w:val="-1"/>
        </w:rPr>
        <w:t> </w:t>
      </w:r>
      <w:r>
        <w:rPr/>
        <w:t>marketing</w:t>
      </w:r>
      <w:r>
        <w:rPr>
          <w:spacing w:val="-1"/>
        </w:rPr>
        <w:t> </w:t>
      </w:r>
      <w:r>
        <w:rPr/>
        <w:t>and</w:t>
      </w:r>
      <w:r>
        <w:rPr>
          <w:spacing w:val="-1"/>
        </w:rPr>
        <w:t> </w:t>
      </w:r>
      <w:r>
        <w:rPr/>
        <w:t>selling</w:t>
      </w:r>
      <w:r>
        <w:rPr>
          <w:spacing w:val="-1"/>
        </w:rPr>
        <w:t> </w:t>
      </w:r>
      <w:r>
        <w:rPr/>
        <w:t>activities,</w:t>
      </w:r>
      <w:r>
        <w:rPr>
          <w:spacing w:val="-1"/>
        </w:rPr>
        <w:t> </w:t>
      </w:r>
      <w:r>
        <w:rPr/>
        <w:t>including</w:t>
      </w:r>
      <w:r>
        <w:rPr>
          <w:spacing w:val="-1"/>
        </w:rPr>
        <w:t> </w:t>
      </w:r>
      <w:r>
        <w:rPr/>
        <w:t>sales commissions related to</w:t>
      </w:r>
      <w:r>
        <w:rPr>
          <w:spacing w:val="-6"/>
        </w:rPr>
        <w:t> </w:t>
      </w:r>
      <w:r>
        <w:rPr/>
        <w:t>AWS. We direct customers to our stores primarily through a number of marketing channels, such as our sponsored search, third-party customer</w:t>
      </w:r>
      <w:r>
        <w:rPr>
          <w:spacing w:val="-3"/>
        </w:rPr>
        <w:t> </w:t>
      </w:r>
      <w:r>
        <w:rPr/>
        <w:t>referrals,</w:t>
      </w:r>
      <w:r>
        <w:rPr>
          <w:spacing w:val="-3"/>
        </w:rPr>
        <w:t> </w:t>
      </w:r>
      <w:r>
        <w:rPr/>
        <w:t>social</w:t>
      </w:r>
      <w:r>
        <w:rPr>
          <w:spacing w:val="-3"/>
        </w:rPr>
        <w:t> </w:t>
      </w:r>
      <w:r>
        <w:rPr/>
        <w:t>and</w:t>
      </w:r>
      <w:r>
        <w:rPr>
          <w:spacing w:val="-3"/>
        </w:rPr>
        <w:t> </w:t>
      </w:r>
      <w:r>
        <w:rPr/>
        <w:t>online</w:t>
      </w:r>
      <w:r>
        <w:rPr>
          <w:spacing w:val="-3"/>
        </w:rPr>
        <w:t> </w:t>
      </w:r>
      <w:r>
        <w:rPr/>
        <w:t>advertising,</w:t>
      </w:r>
      <w:r>
        <w:rPr>
          <w:spacing w:val="-3"/>
        </w:rPr>
        <w:t> </w:t>
      </w:r>
      <w:r>
        <w:rPr/>
        <w:t>television</w:t>
      </w:r>
      <w:r>
        <w:rPr>
          <w:spacing w:val="-3"/>
        </w:rPr>
        <w:t> </w:t>
      </w:r>
      <w:r>
        <w:rPr/>
        <w:t>advertising,</w:t>
      </w:r>
      <w:r>
        <w:rPr>
          <w:spacing w:val="-3"/>
        </w:rPr>
        <w:t> </w:t>
      </w:r>
      <w:r>
        <w:rPr/>
        <w:t>and</w:t>
      </w:r>
      <w:r>
        <w:rPr>
          <w:spacing w:val="-3"/>
        </w:rPr>
        <w:t> </w:t>
      </w:r>
      <w:r>
        <w:rPr/>
        <w:t>other</w:t>
      </w:r>
      <w:r>
        <w:rPr>
          <w:spacing w:val="-3"/>
        </w:rPr>
        <w:t> </w:t>
      </w:r>
      <w:r>
        <w:rPr/>
        <w:t>initiatives.</w:t>
      </w:r>
      <w:r>
        <w:rPr>
          <w:spacing w:val="-3"/>
        </w:rPr>
        <w:t> </w:t>
      </w:r>
      <w:r>
        <w:rPr/>
        <w:t>Our</w:t>
      </w:r>
      <w:r>
        <w:rPr>
          <w:spacing w:val="-3"/>
        </w:rPr>
        <w:t> </w:t>
      </w:r>
      <w:r>
        <w:rPr/>
        <w:t>marketing</w:t>
      </w:r>
      <w:r>
        <w:rPr>
          <w:spacing w:val="-3"/>
        </w:rPr>
        <w:t> </w:t>
      </w:r>
      <w:r>
        <w:rPr/>
        <w:t>costs</w:t>
      </w:r>
      <w:r>
        <w:rPr>
          <w:spacing w:val="-3"/>
        </w:rPr>
        <w:t> </w:t>
      </w:r>
      <w:r>
        <w:rPr/>
        <w:t>are</w:t>
      </w:r>
      <w:r>
        <w:rPr>
          <w:spacing w:val="-3"/>
        </w:rPr>
        <w:t> </w:t>
      </w:r>
      <w:r>
        <w:rPr/>
        <w:t>largely</w:t>
      </w:r>
      <w:r>
        <w:rPr>
          <w:spacing w:val="-3"/>
        </w:rPr>
        <w:t> </w:t>
      </w:r>
      <w:r>
        <w:rPr/>
        <w:t>variable,</w:t>
      </w:r>
      <w:r>
        <w:rPr>
          <w:spacing w:val="-3"/>
        </w:rPr>
        <w:t> </w:t>
      </w:r>
      <w:r>
        <w:rPr/>
        <w:t>based</w:t>
      </w:r>
      <w:r>
        <w:rPr>
          <w:spacing w:val="-3"/>
        </w:rPr>
        <w:t> </w:t>
      </w:r>
      <w:r>
        <w:rPr/>
        <w:t>on</w:t>
      </w:r>
      <w:r>
        <w:rPr>
          <w:spacing w:val="-3"/>
        </w:rPr>
        <w:t> </w:t>
      </w:r>
      <w:r>
        <w:rPr/>
        <w:t>growth</w:t>
      </w:r>
      <w:r>
        <w:rPr>
          <w:spacing w:val="-3"/>
        </w:rPr>
        <w:t> </w:t>
      </w:r>
      <w:r>
        <w:rPr/>
        <w:t>in</w:t>
      </w:r>
      <w:r>
        <w:rPr>
          <w:spacing w:val="-3"/>
        </w:rPr>
        <w:t> </w:t>
      </w:r>
      <w:r>
        <w:rPr/>
        <w:t>sales and changes in rates. To the extent there is increased or decreased competition for these traffic sources, or to the extent our mix of these channels shifts, we would expect to see a corresponding change in our marketing costs.</w:t>
      </w:r>
    </w:p>
    <w:p>
      <w:pPr>
        <w:pStyle w:val="BodyText"/>
        <w:spacing w:line="249" w:lineRule="auto" w:before="85"/>
        <w:ind w:firstLine="445"/>
      </w:pPr>
      <w:r>
        <w:rPr/>
        <w:t>The decrease in sales and marketing costs in 2024, compared to the prior year, is primarily due to decreased payroll and related expenses for personnel engaged</w:t>
      </w:r>
      <w:r>
        <w:rPr>
          <w:spacing w:val="-3"/>
        </w:rPr>
        <w:t> </w:t>
      </w:r>
      <w:r>
        <w:rPr/>
        <w:t>in</w:t>
      </w:r>
      <w:r>
        <w:rPr>
          <w:spacing w:val="-3"/>
        </w:rPr>
        <w:t> </w:t>
      </w:r>
      <w:r>
        <w:rPr/>
        <w:t>marketing</w:t>
      </w:r>
      <w:r>
        <w:rPr>
          <w:spacing w:val="-3"/>
        </w:rPr>
        <w:t> </w:t>
      </w:r>
      <w:r>
        <w:rPr/>
        <w:t>and</w:t>
      </w:r>
      <w:r>
        <w:rPr>
          <w:spacing w:val="-3"/>
        </w:rPr>
        <w:t> </w:t>
      </w:r>
      <w:r>
        <w:rPr/>
        <w:t>selling</w:t>
      </w:r>
      <w:r>
        <w:rPr>
          <w:spacing w:val="-3"/>
        </w:rPr>
        <w:t> </w:t>
      </w:r>
      <w:r>
        <w:rPr/>
        <w:t>activities,</w:t>
      </w:r>
      <w:r>
        <w:rPr>
          <w:spacing w:val="-3"/>
        </w:rPr>
        <w:t> </w:t>
      </w:r>
      <w:r>
        <w:rPr/>
        <w:t>partially</w:t>
      </w:r>
      <w:r>
        <w:rPr>
          <w:spacing w:val="-3"/>
        </w:rPr>
        <w:t> </w:t>
      </w:r>
      <w:r>
        <w:rPr/>
        <w:t>offset</w:t>
      </w:r>
      <w:r>
        <w:rPr>
          <w:spacing w:val="-3"/>
        </w:rPr>
        <w:t> </w:t>
      </w:r>
      <w:r>
        <w:rPr/>
        <w:t>by</w:t>
      </w:r>
      <w:r>
        <w:rPr>
          <w:spacing w:val="-3"/>
        </w:rPr>
        <w:t> </w:t>
      </w:r>
      <w:r>
        <w:rPr/>
        <w:t>increased</w:t>
      </w:r>
      <w:r>
        <w:rPr>
          <w:spacing w:val="-3"/>
        </w:rPr>
        <w:t> </w:t>
      </w:r>
      <w:r>
        <w:rPr/>
        <w:t>advertising</w:t>
      </w:r>
      <w:r>
        <w:rPr>
          <w:spacing w:val="-3"/>
        </w:rPr>
        <w:t> </w:t>
      </w:r>
      <w:r>
        <w:rPr/>
        <w:t>expenses.</w:t>
      </w:r>
      <w:r>
        <w:rPr>
          <w:spacing w:val="-3"/>
        </w:rPr>
        <w:t> </w:t>
      </w:r>
      <w:r>
        <w:rPr/>
        <w:t>Changes</w:t>
      </w:r>
      <w:r>
        <w:rPr>
          <w:spacing w:val="-3"/>
        </w:rPr>
        <w:t> </w:t>
      </w:r>
      <w:r>
        <w:rPr/>
        <w:t>in</w:t>
      </w:r>
      <w:r>
        <w:rPr>
          <w:spacing w:val="-3"/>
        </w:rPr>
        <w:t> </w:t>
      </w:r>
      <w:r>
        <w:rPr/>
        <w:t>foreign</w:t>
      </w:r>
      <w:r>
        <w:rPr>
          <w:spacing w:val="-3"/>
        </w:rPr>
        <w:t> </w:t>
      </w:r>
      <w:r>
        <w:rPr/>
        <w:t>exchange</w:t>
      </w:r>
      <w:r>
        <w:rPr>
          <w:spacing w:val="-3"/>
        </w:rPr>
        <w:t> </w:t>
      </w:r>
      <w:r>
        <w:rPr/>
        <w:t>rates</w:t>
      </w:r>
      <w:r>
        <w:rPr>
          <w:spacing w:val="-3"/>
        </w:rPr>
        <w:t> </w:t>
      </w:r>
      <w:r>
        <w:rPr/>
        <w:t>reduced</w:t>
      </w:r>
      <w:r>
        <w:rPr>
          <w:spacing w:val="-3"/>
        </w:rPr>
        <w:t> </w:t>
      </w:r>
      <w:r>
        <w:rPr/>
        <w:t>sales</w:t>
      </w:r>
      <w:r>
        <w:rPr>
          <w:spacing w:val="-3"/>
        </w:rPr>
        <w:t> </w:t>
      </w:r>
      <w:r>
        <w:rPr/>
        <w:t>and</w:t>
      </w:r>
      <w:r>
        <w:rPr>
          <w:spacing w:val="-3"/>
        </w:rPr>
        <w:t> </w:t>
      </w:r>
      <w:r>
        <w:rPr/>
        <w:t>marketing costs by $263 million in 2024.</w:t>
      </w:r>
    </w:p>
    <w:p>
      <w:pPr>
        <w:pStyle w:val="BodyText"/>
        <w:spacing w:line="249" w:lineRule="auto" w:before="97"/>
        <w:ind w:right="122" w:firstLine="445"/>
      </w:pPr>
      <w:r>
        <w:rPr/>
        <w:t>While</w:t>
      </w:r>
      <w:r>
        <w:rPr>
          <w:spacing w:val="-3"/>
        </w:rPr>
        <w:t> </w:t>
      </w:r>
      <w:r>
        <w:rPr/>
        <w:t>costs</w:t>
      </w:r>
      <w:r>
        <w:rPr>
          <w:spacing w:val="-3"/>
        </w:rPr>
        <w:t> </w:t>
      </w:r>
      <w:r>
        <w:rPr/>
        <w:t>associated</w:t>
      </w:r>
      <w:r>
        <w:rPr>
          <w:spacing w:val="-3"/>
        </w:rPr>
        <w:t> </w:t>
      </w:r>
      <w:r>
        <w:rPr/>
        <w:t>with</w:t>
      </w:r>
      <w:r>
        <w:rPr>
          <w:spacing w:val="-11"/>
        </w:rPr>
        <w:t> </w:t>
      </w:r>
      <w:r>
        <w:rPr/>
        <w:t>Amazon</w:t>
      </w:r>
      <w:r>
        <w:rPr>
          <w:spacing w:val="-3"/>
        </w:rPr>
        <w:t> </w:t>
      </w:r>
      <w:r>
        <w:rPr/>
        <w:t>Prime</w:t>
      </w:r>
      <w:r>
        <w:rPr>
          <w:spacing w:val="-3"/>
        </w:rPr>
        <w:t> </w:t>
      </w:r>
      <w:r>
        <w:rPr/>
        <w:t>membership</w:t>
      </w:r>
      <w:r>
        <w:rPr>
          <w:spacing w:val="-3"/>
        </w:rPr>
        <w:t> </w:t>
      </w:r>
      <w:r>
        <w:rPr/>
        <w:t>benefits</w:t>
      </w:r>
      <w:r>
        <w:rPr>
          <w:spacing w:val="-3"/>
        </w:rPr>
        <w:t> </w:t>
      </w:r>
      <w:r>
        <w:rPr/>
        <w:t>and</w:t>
      </w:r>
      <w:r>
        <w:rPr>
          <w:spacing w:val="-3"/>
        </w:rPr>
        <w:t> </w:t>
      </w:r>
      <w:r>
        <w:rPr/>
        <w:t>other</w:t>
      </w:r>
      <w:r>
        <w:rPr>
          <w:spacing w:val="-3"/>
        </w:rPr>
        <w:t> </w:t>
      </w:r>
      <w:r>
        <w:rPr/>
        <w:t>shipping</w:t>
      </w:r>
      <w:r>
        <w:rPr>
          <w:spacing w:val="-3"/>
        </w:rPr>
        <w:t> </w:t>
      </w:r>
      <w:r>
        <w:rPr/>
        <w:t>offers</w:t>
      </w:r>
      <w:r>
        <w:rPr>
          <w:spacing w:val="-3"/>
        </w:rPr>
        <w:t> </w:t>
      </w:r>
      <w:r>
        <w:rPr/>
        <w:t>are</w:t>
      </w:r>
      <w:r>
        <w:rPr>
          <w:spacing w:val="-3"/>
        </w:rPr>
        <w:t> </w:t>
      </w:r>
      <w:r>
        <w:rPr/>
        <w:t>not</w:t>
      </w:r>
      <w:r>
        <w:rPr>
          <w:spacing w:val="-3"/>
        </w:rPr>
        <w:t> </w:t>
      </w:r>
      <w:r>
        <w:rPr/>
        <w:t>included</w:t>
      </w:r>
      <w:r>
        <w:rPr>
          <w:spacing w:val="-3"/>
        </w:rPr>
        <w:t> </w:t>
      </w:r>
      <w:r>
        <w:rPr/>
        <w:t>in</w:t>
      </w:r>
      <w:r>
        <w:rPr>
          <w:spacing w:val="-3"/>
        </w:rPr>
        <w:t> </w:t>
      </w:r>
      <w:r>
        <w:rPr/>
        <w:t>sales</w:t>
      </w:r>
      <w:r>
        <w:rPr>
          <w:spacing w:val="-3"/>
        </w:rPr>
        <w:t> </w:t>
      </w:r>
      <w:r>
        <w:rPr/>
        <w:t>and</w:t>
      </w:r>
      <w:r>
        <w:rPr>
          <w:spacing w:val="-3"/>
        </w:rPr>
        <w:t> </w:t>
      </w:r>
      <w:r>
        <w:rPr/>
        <w:t>marketing</w:t>
      </w:r>
      <w:r>
        <w:rPr>
          <w:spacing w:val="-3"/>
        </w:rPr>
        <w:t> </w:t>
      </w:r>
      <w:r>
        <w:rPr/>
        <w:t>expense,</w:t>
      </w:r>
      <w:r>
        <w:rPr>
          <w:spacing w:val="-3"/>
        </w:rPr>
        <w:t> </w:t>
      </w:r>
      <w:r>
        <w:rPr/>
        <w:t>we</w:t>
      </w:r>
      <w:r>
        <w:rPr>
          <w:spacing w:val="-3"/>
        </w:rPr>
        <w:t> </w:t>
      </w:r>
      <w:r>
        <w:rPr/>
        <w:t>view these offers as effective worldwide marketing tools, and intend to continue offering them indefinitely.</w:t>
      </w:r>
    </w:p>
    <w:p>
      <w:pPr>
        <w:pStyle w:val="BodyText"/>
        <w:ind w:left="0"/>
      </w:pPr>
    </w:p>
    <w:p>
      <w:pPr>
        <w:pStyle w:val="BodyText"/>
        <w:spacing w:before="140"/>
        <w:ind w:left="0"/>
      </w:pPr>
    </w:p>
    <w:p>
      <w:pPr>
        <w:pStyle w:val="BodyText"/>
        <w:spacing w:before="1"/>
        <w:jc w:val="center"/>
      </w:pPr>
      <w:r>
        <w:rPr/>
        <mc:AlternateContent>
          <mc:Choice Requires="wps">
            <w:drawing>
              <wp:anchor distT="0" distB="0" distL="0" distR="0" allowOverlap="1" layoutInCell="1" locked="0" behindDoc="0" simplePos="0" relativeHeight="15736832">
                <wp:simplePos x="0" y="0"/>
                <wp:positionH relativeFrom="page">
                  <wp:posOffset>231457</wp:posOffset>
                </wp:positionH>
                <wp:positionV relativeFrom="paragraph">
                  <wp:posOffset>193058</wp:posOffset>
                </wp:positionV>
                <wp:extent cx="7312659" cy="1714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312659" cy="17145"/>
                          <a:chExt cx="7312659" cy="17145"/>
                        </a:xfrm>
                      </wpg:grpSpPr>
                      <wps:wsp>
                        <wps:cNvPr id="42" name="Graphic 4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201473pt;width:575.8pt;height:1.35pt;mso-position-horizontal-relative:page;mso-position-vertical-relative:paragraph;z-index:15736832" id="docshapegroup41" coordorigin="364,304" coordsize="11516,27">
                <v:rect style="position:absolute;left:364;top:304;width:11516;height:14" id="docshape42" filled="true" fillcolor="#999999" stroked="false">
                  <v:fill type="solid"/>
                </v:rect>
                <v:shape style="position:absolute;left:364;top:304;width:11516;height:27" id="docshape43" coordorigin="364,304" coordsize="11516,27" path="m11880,304l11866,318,364,318,364,331,11866,331,11880,331,11880,318,11880,304xe" filled="true" fillcolor="#ededed" stroked="false">
                  <v:path arrowok="t"/>
                  <v:fill type="solid"/>
                </v:shape>
                <v:shape style="position:absolute;left:364;top:304;width:14;height:27" id="docshape44" coordorigin="364,304" coordsize="14,27" path="m364,331l364,304,378,304,378,318,364,331xe" filled="true" fillcolor="#999999" stroked="false">
                  <v:path arrowok="t"/>
                  <v:fill type="solid"/>
                </v:shape>
                <w10:wrap type="none"/>
              </v:group>
            </w:pict>
          </mc:Fallback>
        </mc:AlternateContent>
      </w:r>
      <w:r>
        <w:rPr>
          <w:spacing w:val="-5"/>
        </w:rPr>
        <w:t>26</w:t>
      </w:r>
    </w:p>
    <w:p>
      <w:pPr>
        <w:pStyle w:val="BodyText"/>
        <w:spacing w:after="0"/>
        <w:jc w:val="center"/>
        <w:sectPr>
          <w:pgSz w:w="12240" w:h="15840"/>
          <w:pgMar w:header="460" w:footer="0" w:top="1180" w:bottom="280" w:left="360" w:right="360"/>
        </w:sectPr>
      </w:pPr>
    </w:p>
    <w:p>
      <w:pPr>
        <w:pStyle w:val="BodyText"/>
        <w:spacing w:before="77"/>
        <w:ind w:left="0"/>
      </w:pPr>
    </w:p>
    <w:p>
      <w:pPr>
        <w:spacing w:before="1"/>
        <w:ind w:left="206" w:right="0" w:firstLine="0"/>
        <w:jc w:val="left"/>
        <w:rPr>
          <w:i/>
          <w:sz w:val="18"/>
        </w:rPr>
      </w:pPr>
      <w:r>
        <w:rPr>
          <w:i/>
          <w:sz w:val="18"/>
        </w:rPr>
        <w:t>General</w:t>
      </w:r>
      <w:r>
        <w:rPr>
          <w:i/>
          <w:spacing w:val="-1"/>
          <w:sz w:val="18"/>
        </w:rPr>
        <w:t> </w:t>
      </w:r>
      <w:r>
        <w:rPr>
          <w:i/>
          <w:sz w:val="18"/>
        </w:rPr>
        <w:t>and</w:t>
      </w:r>
      <w:r>
        <w:rPr>
          <w:i/>
          <w:spacing w:val="-4"/>
          <w:sz w:val="18"/>
        </w:rPr>
        <w:t> </w:t>
      </w:r>
      <w:r>
        <w:rPr>
          <w:i/>
          <w:spacing w:val="-2"/>
          <w:sz w:val="18"/>
        </w:rPr>
        <w:t>Administrative</w:t>
      </w:r>
    </w:p>
    <w:p>
      <w:pPr>
        <w:pStyle w:val="BodyText"/>
        <w:spacing w:before="90"/>
        <w:ind w:left="449"/>
      </w:pPr>
      <w:r>
        <w:rPr/>
        <w:t>The</w:t>
      </w:r>
      <w:r>
        <w:rPr>
          <w:spacing w:val="-2"/>
        </w:rPr>
        <w:t> </w:t>
      </w:r>
      <w:r>
        <w:rPr/>
        <w:t>decrease</w:t>
      </w:r>
      <w:r>
        <w:rPr>
          <w:spacing w:val="-1"/>
        </w:rPr>
        <w:t> </w:t>
      </w:r>
      <w:r>
        <w:rPr/>
        <w:t>in</w:t>
      </w:r>
      <w:r>
        <w:rPr>
          <w:spacing w:val="-1"/>
        </w:rPr>
        <w:t> </w:t>
      </w:r>
      <w:r>
        <w:rPr/>
        <w:t>general</w:t>
      </w:r>
      <w:r>
        <w:rPr>
          <w:spacing w:val="-2"/>
        </w:rPr>
        <w:t> </w:t>
      </w:r>
      <w:r>
        <w:rPr/>
        <w:t>and</w:t>
      </w:r>
      <w:r>
        <w:rPr>
          <w:spacing w:val="-1"/>
        </w:rPr>
        <w:t> </w:t>
      </w:r>
      <w:r>
        <w:rPr/>
        <w:t>administrative</w:t>
      </w:r>
      <w:r>
        <w:rPr>
          <w:spacing w:val="-1"/>
        </w:rPr>
        <w:t> </w:t>
      </w:r>
      <w:r>
        <w:rPr/>
        <w:t>costs</w:t>
      </w:r>
      <w:r>
        <w:rPr>
          <w:spacing w:val="-2"/>
        </w:rPr>
        <w:t> </w:t>
      </w:r>
      <w:r>
        <w:rPr/>
        <w:t>in</w:t>
      </w:r>
      <w:r>
        <w:rPr>
          <w:spacing w:val="-1"/>
        </w:rPr>
        <w:t> </w:t>
      </w:r>
      <w:r>
        <w:rPr/>
        <w:t>2024,</w:t>
      </w:r>
      <w:r>
        <w:rPr>
          <w:spacing w:val="-1"/>
        </w:rPr>
        <w:t> </w:t>
      </w:r>
      <w:r>
        <w:rPr/>
        <w:t>compared</w:t>
      </w:r>
      <w:r>
        <w:rPr>
          <w:spacing w:val="-2"/>
        </w:rPr>
        <w:t> </w:t>
      </w:r>
      <w:r>
        <w:rPr/>
        <w:t>to</w:t>
      </w:r>
      <w:r>
        <w:rPr>
          <w:spacing w:val="-1"/>
        </w:rPr>
        <w:t> </w:t>
      </w:r>
      <w:r>
        <w:rPr/>
        <w:t>the</w:t>
      </w:r>
      <w:r>
        <w:rPr>
          <w:spacing w:val="-1"/>
        </w:rPr>
        <w:t> </w:t>
      </w:r>
      <w:r>
        <w:rPr/>
        <w:t>prior</w:t>
      </w:r>
      <w:r>
        <w:rPr>
          <w:spacing w:val="-2"/>
        </w:rPr>
        <w:t> </w:t>
      </w:r>
      <w:r>
        <w:rPr/>
        <w:t>year,</w:t>
      </w:r>
      <w:r>
        <w:rPr>
          <w:spacing w:val="-1"/>
        </w:rPr>
        <w:t> </w:t>
      </w:r>
      <w:r>
        <w:rPr/>
        <w:t>is</w:t>
      </w:r>
      <w:r>
        <w:rPr>
          <w:spacing w:val="-1"/>
        </w:rPr>
        <w:t> </w:t>
      </w:r>
      <w:r>
        <w:rPr/>
        <w:t>primarily</w:t>
      </w:r>
      <w:r>
        <w:rPr>
          <w:spacing w:val="-2"/>
        </w:rPr>
        <w:t> </w:t>
      </w:r>
      <w:r>
        <w:rPr/>
        <w:t>due</w:t>
      </w:r>
      <w:r>
        <w:rPr>
          <w:spacing w:val="-1"/>
        </w:rPr>
        <w:t> </w:t>
      </w:r>
      <w:r>
        <w:rPr/>
        <w:t>to</w:t>
      </w:r>
      <w:r>
        <w:rPr>
          <w:spacing w:val="-1"/>
        </w:rPr>
        <w:t> </w:t>
      </w:r>
      <w:r>
        <w:rPr/>
        <w:t>a</w:t>
      </w:r>
      <w:r>
        <w:rPr>
          <w:spacing w:val="-2"/>
        </w:rPr>
        <w:t> </w:t>
      </w:r>
      <w:r>
        <w:rPr/>
        <w:t>decrease</w:t>
      </w:r>
      <w:r>
        <w:rPr>
          <w:spacing w:val="-1"/>
        </w:rPr>
        <w:t> </w:t>
      </w:r>
      <w:r>
        <w:rPr/>
        <w:t>in</w:t>
      </w:r>
      <w:r>
        <w:rPr>
          <w:spacing w:val="-1"/>
        </w:rPr>
        <w:t> </w:t>
      </w:r>
      <w:r>
        <w:rPr/>
        <w:t>payroll</w:t>
      </w:r>
      <w:r>
        <w:rPr>
          <w:spacing w:val="-2"/>
        </w:rPr>
        <w:t> </w:t>
      </w:r>
      <w:r>
        <w:rPr/>
        <w:t>and</w:t>
      </w:r>
      <w:r>
        <w:rPr>
          <w:spacing w:val="-1"/>
        </w:rPr>
        <w:t> </w:t>
      </w:r>
      <w:r>
        <w:rPr/>
        <w:t>related</w:t>
      </w:r>
      <w:r>
        <w:rPr>
          <w:spacing w:val="-1"/>
        </w:rPr>
        <w:t> </w:t>
      </w:r>
      <w:r>
        <w:rPr>
          <w:spacing w:val="-2"/>
        </w:rPr>
        <w:t>expenses.</w:t>
      </w:r>
    </w:p>
    <w:p>
      <w:pPr>
        <w:pStyle w:val="BodyText"/>
        <w:spacing w:before="58"/>
        <w:ind w:left="0"/>
      </w:pPr>
    </w:p>
    <w:p>
      <w:pPr>
        <w:spacing w:before="0"/>
        <w:ind w:left="206" w:right="0" w:firstLine="0"/>
        <w:jc w:val="left"/>
        <w:rPr>
          <w:i/>
          <w:sz w:val="18"/>
        </w:rPr>
      </w:pPr>
      <w:r>
        <w:rPr>
          <w:i/>
          <w:sz w:val="18"/>
        </w:rPr>
        <w:t>Other</w:t>
      </w:r>
      <w:r>
        <w:rPr>
          <w:i/>
          <w:spacing w:val="-1"/>
          <w:sz w:val="18"/>
        </w:rPr>
        <w:t> </w:t>
      </w:r>
      <w:r>
        <w:rPr>
          <w:i/>
          <w:sz w:val="18"/>
        </w:rPr>
        <w:t>Operating</w:t>
      </w:r>
      <w:r>
        <w:rPr>
          <w:i/>
          <w:spacing w:val="-1"/>
          <w:sz w:val="18"/>
        </w:rPr>
        <w:t> </w:t>
      </w:r>
      <w:r>
        <w:rPr>
          <w:i/>
          <w:sz w:val="18"/>
        </w:rPr>
        <w:t>Expense</w:t>
      </w:r>
      <w:r>
        <w:rPr>
          <w:i/>
          <w:spacing w:val="-1"/>
          <w:sz w:val="18"/>
        </w:rPr>
        <w:t> </w:t>
      </w:r>
      <w:r>
        <w:rPr>
          <w:i/>
          <w:sz w:val="18"/>
        </w:rPr>
        <w:t>(Income),</w:t>
      </w:r>
      <w:r>
        <w:rPr>
          <w:i/>
          <w:spacing w:val="-1"/>
          <w:sz w:val="18"/>
        </w:rPr>
        <w:t> </w:t>
      </w:r>
      <w:r>
        <w:rPr>
          <w:i/>
          <w:spacing w:val="-5"/>
          <w:sz w:val="18"/>
        </w:rPr>
        <w:t>Net</w:t>
      </w:r>
    </w:p>
    <w:p>
      <w:pPr>
        <w:pStyle w:val="BodyText"/>
        <w:spacing w:line="249" w:lineRule="auto" w:before="104"/>
        <w:ind w:firstLine="445"/>
      </w:pPr>
      <w:r>
        <w:rPr/>
        <w:t>Other</w:t>
      </w:r>
      <w:r>
        <w:rPr>
          <w:spacing w:val="-2"/>
        </w:rPr>
        <w:t> </w:t>
      </w:r>
      <w:r>
        <w:rPr/>
        <w:t>operating</w:t>
      </w:r>
      <w:r>
        <w:rPr>
          <w:spacing w:val="-2"/>
        </w:rPr>
        <w:t> </w:t>
      </w:r>
      <w:r>
        <w:rPr/>
        <w:t>expense</w:t>
      </w:r>
      <w:r>
        <w:rPr>
          <w:spacing w:val="-2"/>
        </w:rPr>
        <w:t> </w:t>
      </w:r>
      <w:r>
        <w:rPr/>
        <w:t>(income),</w:t>
      </w:r>
      <w:r>
        <w:rPr>
          <w:spacing w:val="-2"/>
        </w:rPr>
        <w:t> </w:t>
      </w:r>
      <w:r>
        <w:rPr/>
        <w:t>net</w:t>
      </w:r>
      <w:r>
        <w:rPr>
          <w:spacing w:val="-2"/>
        </w:rPr>
        <w:t> </w:t>
      </w:r>
      <w:r>
        <w:rPr/>
        <w:t>was</w:t>
      </w:r>
      <w:r>
        <w:rPr>
          <w:spacing w:val="-2"/>
        </w:rPr>
        <w:t> </w:t>
      </w:r>
      <w:r>
        <w:rPr/>
        <w:t>$767</w:t>
      </w:r>
      <w:r>
        <w:rPr>
          <w:spacing w:val="-2"/>
        </w:rPr>
        <w:t> </w:t>
      </w:r>
      <w:r>
        <w:rPr/>
        <w:t>million</w:t>
      </w:r>
      <w:r>
        <w:rPr>
          <w:spacing w:val="-2"/>
        </w:rPr>
        <w:t> </w:t>
      </w:r>
      <w:r>
        <w:rPr/>
        <w:t>and</w:t>
      </w:r>
      <w:r>
        <w:rPr>
          <w:spacing w:val="-2"/>
        </w:rPr>
        <w:t> </w:t>
      </w:r>
      <w:r>
        <w:rPr/>
        <w:t>$763</w:t>
      </w:r>
      <w:r>
        <w:rPr>
          <w:spacing w:val="-2"/>
        </w:rPr>
        <w:t> </w:t>
      </w:r>
      <w:r>
        <w:rPr/>
        <w:t>million</w:t>
      </w:r>
      <w:r>
        <w:rPr>
          <w:spacing w:val="-2"/>
        </w:rPr>
        <w:t> </w:t>
      </w:r>
      <w:r>
        <w:rPr/>
        <w:t>during</w:t>
      </w:r>
      <w:r>
        <w:rPr>
          <w:spacing w:val="-2"/>
        </w:rPr>
        <w:t> </w:t>
      </w:r>
      <w:r>
        <w:rPr/>
        <w:t>2023</w:t>
      </w:r>
      <w:r>
        <w:rPr>
          <w:spacing w:val="-2"/>
        </w:rPr>
        <w:t> </w:t>
      </w:r>
      <w:r>
        <w:rPr/>
        <w:t>and</w:t>
      </w:r>
      <w:r>
        <w:rPr>
          <w:spacing w:val="-2"/>
        </w:rPr>
        <w:t> </w:t>
      </w:r>
      <w:r>
        <w:rPr/>
        <w:t>2024,</w:t>
      </w:r>
      <w:r>
        <w:rPr>
          <w:spacing w:val="-2"/>
        </w:rPr>
        <w:t> </w:t>
      </w:r>
      <w:r>
        <w:rPr/>
        <w:t>and</w:t>
      </w:r>
      <w:r>
        <w:rPr>
          <w:spacing w:val="-2"/>
        </w:rPr>
        <w:t> </w:t>
      </w:r>
      <w:r>
        <w:rPr/>
        <w:t>was</w:t>
      </w:r>
      <w:r>
        <w:rPr>
          <w:spacing w:val="-2"/>
        </w:rPr>
        <w:t> </w:t>
      </w:r>
      <w:r>
        <w:rPr/>
        <w:t>primarily</w:t>
      </w:r>
      <w:r>
        <w:rPr>
          <w:spacing w:val="-2"/>
        </w:rPr>
        <w:t> </w:t>
      </w:r>
      <w:r>
        <w:rPr/>
        <w:t>related</w:t>
      </w:r>
      <w:r>
        <w:rPr>
          <w:spacing w:val="-2"/>
        </w:rPr>
        <w:t> </w:t>
      </w:r>
      <w:r>
        <w:rPr/>
        <w:t>to</w:t>
      </w:r>
      <w:r>
        <w:rPr>
          <w:spacing w:val="-2"/>
        </w:rPr>
        <w:t> </w:t>
      </w:r>
      <w:r>
        <w:rPr/>
        <w:t>asset</w:t>
      </w:r>
      <w:r>
        <w:rPr>
          <w:spacing w:val="-2"/>
        </w:rPr>
        <w:t> </w:t>
      </w:r>
      <w:r>
        <w:rPr/>
        <w:t>impairments</w:t>
      </w:r>
      <w:r>
        <w:rPr>
          <w:spacing w:val="-2"/>
        </w:rPr>
        <w:t> </w:t>
      </w:r>
      <w:r>
        <w:rPr/>
        <w:t>and</w:t>
      </w:r>
      <w:r>
        <w:rPr>
          <w:spacing w:val="-2"/>
        </w:rPr>
        <w:t> </w:t>
      </w:r>
      <w:r>
        <w:rPr/>
        <w:t>the amortization of intangible assets.</w:t>
      </w:r>
    </w:p>
    <w:p>
      <w:pPr>
        <w:pStyle w:val="BodyText"/>
        <w:spacing w:before="37"/>
        <w:ind w:left="0"/>
      </w:pPr>
    </w:p>
    <w:p>
      <w:pPr>
        <w:spacing w:before="0"/>
        <w:ind w:left="206" w:right="0" w:firstLine="0"/>
        <w:jc w:val="left"/>
        <w:rPr>
          <w:i/>
          <w:sz w:val="18"/>
        </w:rPr>
      </w:pPr>
      <w:r>
        <w:rPr>
          <w:i/>
          <w:sz w:val="18"/>
        </w:rPr>
        <w:t>Operating</w:t>
      </w:r>
      <w:r>
        <w:rPr>
          <w:i/>
          <w:spacing w:val="-1"/>
          <w:sz w:val="18"/>
        </w:rPr>
        <w:t> </w:t>
      </w:r>
      <w:r>
        <w:rPr>
          <w:i/>
          <w:sz w:val="18"/>
        </w:rPr>
        <w:t>Income</w:t>
      </w:r>
      <w:r>
        <w:rPr>
          <w:i/>
          <w:spacing w:val="-1"/>
          <w:sz w:val="18"/>
        </w:rPr>
        <w:t> </w:t>
      </w:r>
      <w:r>
        <w:rPr>
          <w:i/>
          <w:spacing w:val="-2"/>
          <w:sz w:val="18"/>
        </w:rPr>
        <w:t>(Loss)</w:t>
      </w:r>
    </w:p>
    <w:p>
      <w:pPr>
        <w:pStyle w:val="BodyText"/>
        <w:spacing w:before="104"/>
        <w:ind w:left="449"/>
      </w:pPr>
      <w:r>
        <w:rPr/>
        <w:t>Operating</w:t>
      </w:r>
      <w:r>
        <w:rPr>
          <w:spacing w:val="-1"/>
        </w:rPr>
        <w:t> </w:t>
      </w:r>
      <w:r>
        <w:rPr/>
        <w:t>income</w:t>
      </w:r>
      <w:r>
        <w:rPr>
          <w:spacing w:val="-1"/>
        </w:rPr>
        <w:t> </w:t>
      </w:r>
      <w:r>
        <w:rPr/>
        <w:t>(loss)</w:t>
      </w:r>
      <w:r>
        <w:rPr>
          <w:spacing w:val="-1"/>
        </w:rPr>
        <w:t> </w:t>
      </w:r>
      <w:r>
        <w:rPr/>
        <w:t>by</w:t>
      </w:r>
      <w:r>
        <w:rPr>
          <w:spacing w:val="-1"/>
        </w:rPr>
        <w:t> </w:t>
      </w:r>
      <w:r>
        <w:rPr/>
        <w:t>segment</w:t>
      </w:r>
      <w:r>
        <w:rPr>
          <w:spacing w:val="-1"/>
        </w:rPr>
        <w:t> </w:t>
      </w:r>
      <w:r>
        <w:rPr/>
        <w:t>is</w:t>
      </w:r>
      <w:r>
        <w:rPr>
          <w:spacing w:val="-1"/>
        </w:rPr>
        <w:t> </w:t>
      </w:r>
      <w:r>
        <w:rPr/>
        <w:t>as</w:t>
      </w:r>
      <w:r>
        <w:rPr>
          <w:spacing w:val="-1"/>
        </w:rPr>
        <w:t> </w:t>
      </w:r>
      <w:r>
        <w:rPr/>
        <w:t>follows</w:t>
      </w:r>
      <w:r>
        <w:rPr>
          <w:spacing w:val="-1"/>
        </w:rPr>
        <w:t> </w:t>
      </w:r>
      <w:r>
        <w:rPr/>
        <w:t>(in</w:t>
      </w:r>
      <w:r>
        <w:rPr>
          <w:spacing w:val="-1"/>
        </w:rPr>
        <w:t> </w:t>
      </w:r>
      <w:r>
        <w:rPr>
          <w:spacing w:val="-2"/>
        </w:rPr>
        <w:t>millions):</w:t>
      </w:r>
    </w:p>
    <w:p>
      <w:pPr>
        <w:spacing w:before="59" w:after="58"/>
        <w:ind w:left="0" w:right="614" w:firstLine="0"/>
        <w:jc w:val="right"/>
        <w:rPr>
          <w:b/>
          <w:sz w:val="14"/>
        </w:rPr>
      </w:pPr>
      <w:r>
        <w:rPr>
          <w:b/>
          <w:sz w:val="14"/>
        </w:rPr>
        <w:t>Year</w:t>
      </w:r>
      <w:r>
        <w:rPr>
          <w:b/>
          <w:spacing w:val="1"/>
          <w:sz w:val="14"/>
        </w:rPr>
        <w:t> </w:t>
      </w:r>
      <w:r>
        <w:rPr>
          <w:b/>
          <w:sz w:val="14"/>
        </w:rPr>
        <w:t>Ended</w:t>
      </w:r>
      <w:r>
        <w:rPr>
          <w:b/>
          <w:spacing w:val="3"/>
          <w:sz w:val="14"/>
        </w:rPr>
        <w:t> </w:t>
      </w:r>
      <w:r>
        <w:rPr>
          <w:b/>
          <w:sz w:val="14"/>
        </w:rPr>
        <w:t>December</w:t>
      </w:r>
      <w:r>
        <w:rPr>
          <w:b/>
          <w:spacing w:val="1"/>
          <w:sz w:val="14"/>
        </w:rPr>
        <w:t> </w:t>
      </w:r>
      <w:r>
        <w:rPr>
          <w:b/>
          <w:spacing w:val="-5"/>
          <w:sz w:val="14"/>
        </w:rPr>
        <w:t>31,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94"/>
        <w:gridCol w:w="1403"/>
        <w:gridCol w:w="1418"/>
      </w:tblGrid>
      <w:tr>
        <w:trPr>
          <w:trHeight w:val="227" w:hRule="atLeast"/>
        </w:trPr>
        <w:tc>
          <w:tcPr>
            <w:tcW w:w="8694" w:type="dxa"/>
          </w:tcPr>
          <w:p>
            <w:pPr>
              <w:pStyle w:val="TableParagraph"/>
              <w:jc w:val="left"/>
              <w:rPr>
                <w:sz w:val="16"/>
              </w:rPr>
            </w:pPr>
          </w:p>
        </w:tc>
        <w:tc>
          <w:tcPr>
            <w:tcW w:w="1403" w:type="dxa"/>
            <w:tcBorders>
              <w:top w:val="single" w:sz="6" w:space="0" w:color="000000"/>
              <w:bottom w:val="single" w:sz="6" w:space="0" w:color="000000"/>
            </w:tcBorders>
          </w:tcPr>
          <w:p>
            <w:pPr>
              <w:pStyle w:val="TableParagraph"/>
              <w:spacing w:before="17"/>
              <w:ind w:right="55"/>
              <w:jc w:val="center"/>
              <w:rPr>
                <w:b/>
                <w:sz w:val="14"/>
              </w:rPr>
            </w:pPr>
            <w:r>
              <w:rPr>
                <w:b/>
                <w:spacing w:val="-4"/>
                <w:sz w:val="14"/>
              </w:rPr>
              <w:t>2023</w:t>
            </w:r>
          </w:p>
        </w:tc>
        <w:tc>
          <w:tcPr>
            <w:tcW w:w="1418" w:type="dxa"/>
            <w:tcBorders>
              <w:top w:val="single" w:sz="6" w:space="0" w:color="000000"/>
              <w:bottom w:val="single" w:sz="6" w:space="0" w:color="000000"/>
            </w:tcBorders>
          </w:tcPr>
          <w:p>
            <w:pPr>
              <w:pStyle w:val="TableParagraph"/>
              <w:spacing w:before="17"/>
              <w:ind w:left="62"/>
              <w:jc w:val="center"/>
              <w:rPr>
                <w:b/>
                <w:sz w:val="14"/>
              </w:rPr>
            </w:pPr>
            <w:r>
              <w:rPr>
                <w:b/>
                <w:spacing w:val="-4"/>
                <w:sz w:val="14"/>
              </w:rPr>
              <w:t>2024</w:t>
            </w:r>
          </w:p>
        </w:tc>
      </w:tr>
      <w:tr>
        <w:trPr>
          <w:trHeight w:val="269" w:hRule="atLeast"/>
        </w:trPr>
        <w:tc>
          <w:tcPr>
            <w:tcW w:w="8694" w:type="dxa"/>
            <w:shd w:val="clear" w:color="auto" w:fill="CCEDFF"/>
          </w:tcPr>
          <w:p>
            <w:pPr>
              <w:pStyle w:val="TableParagraph"/>
              <w:spacing w:before="20"/>
              <w:ind w:left="17"/>
              <w:jc w:val="left"/>
              <w:rPr>
                <w:sz w:val="18"/>
              </w:rPr>
            </w:pPr>
            <w:r>
              <w:rPr>
                <w:sz w:val="18"/>
              </w:rPr>
              <w:t>Operating</w:t>
            </w:r>
            <w:r>
              <w:rPr>
                <w:spacing w:val="-1"/>
                <w:sz w:val="18"/>
              </w:rPr>
              <w:t> </w:t>
            </w:r>
            <w:r>
              <w:rPr>
                <w:sz w:val="18"/>
              </w:rPr>
              <w:t>Income</w:t>
            </w:r>
            <w:r>
              <w:rPr>
                <w:spacing w:val="-1"/>
                <w:sz w:val="18"/>
              </w:rPr>
              <w:t> </w:t>
            </w:r>
            <w:r>
              <w:rPr>
                <w:spacing w:val="-2"/>
                <w:sz w:val="18"/>
              </w:rPr>
              <w:t>(Loss)</w:t>
            </w:r>
          </w:p>
        </w:tc>
        <w:tc>
          <w:tcPr>
            <w:tcW w:w="1403" w:type="dxa"/>
            <w:tcBorders>
              <w:top w:val="single" w:sz="6" w:space="0" w:color="000000"/>
            </w:tcBorders>
            <w:shd w:val="clear" w:color="auto" w:fill="CCEDFF"/>
          </w:tcPr>
          <w:p>
            <w:pPr>
              <w:pStyle w:val="TableParagraph"/>
              <w:jc w:val="left"/>
              <w:rPr>
                <w:sz w:val="16"/>
              </w:rPr>
            </w:pPr>
          </w:p>
        </w:tc>
        <w:tc>
          <w:tcPr>
            <w:tcW w:w="1418" w:type="dxa"/>
            <w:tcBorders>
              <w:top w:val="single" w:sz="6" w:space="0" w:color="000000"/>
            </w:tcBorders>
            <w:shd w:val="clear" w:color="auto" w:fill="CCEDFF"/>
          </w:tcPr>
          <w:p>
            <w:pPr>
              <w:pStyle w:val="TableParagraph"/>
              <w:jc w:val="left"/>
              <w:rPr>
                <w:sz w:val="16"/>
              </w:rPr>
            </w:pPr>
          </w:p>
        </w:tc>
      </w:tr>
      <w:tr>
        <w:trPr>
          <w:trHeight w:val="269" w:hRule="atLeast"/>
        </w:trPr>
        <w:tc>
          <w:tcPr>
            <w:tcW w:w="8694" w:type="dxa"/>
          </w:tcPr>
          <w:p>
            <w:pPr>
              <w:pStyle w:val="TableParagraph"/>
              <w:spacing w:before="21"/>
              <w:ind w:left="341"/>
              <w:jc w:val="left"/>
              <w:rPr>
                <w:sz w:val="18"/>
              </w:rPr>
            </w:pPr>
            <w:r>
              <w:rPr>
                <w:sz w:val="18"/>
              </w:rPr>
              <w:t>North</w:t>
            </w:r>
            <w:r>
              <w:rPr>
                <w:spacing w:val="-10"/>
                <w:sz w:val="18"/>
              </w:rPr>
              <w:t> </w:t>
            </w:r>
            <w:r>
              <w:rPr>
                <w:spacing w:val="-2"/>
                <w:sz w:val="18"/>
              </w:rPr>
              <w:t>America</w:t>
            </w:r>
          </w:p>
        </w:tc>
        <w:tc>
          <w:tcPr>
            <w:tcW w:w="1403" w:type="dxa"/>
          </w:tcPr>
          <w:p>
            <w:pPr>
              <w:pStyle w:val="TableParagraph"/>
              <w:tabs>
                <w:tab w:pos="770" w:val="left" w:leader="none"/>
              </w:tabs>
              <w:spacing w:before="21"/>
              <w:ind w:right="122"/>
              <w:rPr>
                <w:sz w:val="18"/>
              </w:rPr>
            </w:pPr>
            <w:r>
              <w:rPr>
                <w:spacing w:val="-10"/>
                <w:sz w:val="18"/>
              </w:rPr>
              <w:t>$</w:t>
            </w:r>
            <w:r>
              <w:rPr>
                <w:sz w:val="18"/>
              </w:rPr>
              <w:tab/>
            </w:r>
            <w:r>
              <w:rPr>
                <w:spacing w:val="-2"/>
                <w:sz w:val="18"/>
              </w:rPr>
              <w:t>14,877</w:t>
            </w:r>
          </w:p>
        </w:tc>
        <w:tc>
          <w:tcPr>
            <w:tcW w:w="1418" w:type="dxa"/>
          </w:tcPr>
          <w:p>
            <w:pPr>
              <w:pStyle w:val="TableParagraph"/>
              <w:tabs>
                <w:tab w:pos="770" w:val="left" w:leader="none"/>
              </w:tabs>
              <w:spacing w:before="21"/>
              <w:ind w:right="70"/>
              <w:rPr>
                <w:sz w:val="18"/>
              </w:rPr>
            </w:pPr>
            <w:r>
              <w:rPr>
                <w:spacing w:val="-10"/>
                <w:sz w:val="18"/>
              </w:rPr>
              <w:t>$</w:t>
            </w:r>
            <w:r>
              <w:rPr>
                <w:sz w:val="18"/>
              </w:rPr>
              <w:tab/>
            </w:r>
            <w:r>
              <w:rPr>
                <w:spacing w:val="-2"/>
                <w:sz w:val="18"/>
              </w:rPr>
              <w:t>24,967</w:t>
            </w:r>
          </w:p>
        </w:tc>
      </w:tr>
      <w:tr>
        <w:trPr>
          <w:trHeight w:val="269" w:hRule="atLeast"/>
        </w:trPr>
        <w:tc>
          <w:tcPr>
            <w:tcW w:w="8694" w:type="dxa"/>
            <w:shd w:val="clear" w:color="auto" w:fill="CCEDFF"/>
          </w:tcPr>
          <w:p>
            <w:pPr>
              <w:pStyle w:val="TableParagraph"/>
              <w:spacing w:before="21"/>
              <w:ind w:left="341"/>
              <w:jc w:val="left"/>
              <w:rPr>
                <w:sz w:val="18"/>
              </w:rPr>
            </w:pPr>
            <w:r>
              <w:rPr>
                <w:spacing w:val="-2"/>
                <w:sz w:val="18"/>
              </w:rPr>
              <w:t>International</w:t>
            </w:r>
          </w:p>
        </w:tc>
        <w:tc>
          <w:tcPr>
            <w:tcW w:w="1403" w:type="dxa"/>
            <w:shd w:val="clear" w:color="auto" w:fill="CCEDFF"/>
          </w:tcPr>
          <w:p>
            <w:pPr>
              <w:pStyle w:val="TableParagraph"/>
              <w:spacing w:before="21"/>
              <w:ind w:right="77"/>
              <w:rPr>
                <w:sz w:val="18"/>
              </w:rPr>
            </w:pPr>
            <w:r>
              <w:rPr>
                <w:spacing w:val="-2"/>
                <w:sz w:val="18"/>
              </w:rPr>
              <w:t>(2,656)</w:t>
            </w:r>
          </w:p>
        </w:tc>
        <w:tc>
          <w:tcPr>
            <w:tcW w:w="1418" w:type="dxa"/>
            <w:shd w:val="clear" w:color="auto" w:fill="CCEDFF"/>
          </w:tcPr>
          <w:p>
            <w:pPr>
              <w:pStyle w:val="TableParagraph"/>
              <w:spacing w:before="21"/>
              <w:ind w:right="70"/>
              <w:rPr>
                <w:sz w:val="18"/>
              </w:rPr>
            </w:pPr>
            <w:r>
              <w:rPr>
                <w:spacing w:val="-2"/>
                <w:sz w:val="18"/>
              </w:rPr>
              <w:t>3,792</w:t>
            </w:r>
          </w:p>
        </w:tc>
      </w:tr>
      <w:tr>
        <w:trPr>
          <w:trHeight w:val="269" w:hRule="atLeast"/>
        </w:trPr>
        <w:tc>
          <w:tcPr>
            <w:tcW w:w="8694" w:type="dxa"/>
          </w:tcPr>
          <w:p>
            <w:pPr>
              <w:pStyle w:val="TableParagraph"/>
              <w:spacing w:before="21"/>
              <w:ind w:left="341"/>
              <w:jc w:val="left"/>
              <w:rPr>
                <w:sz w:val="18"/>
              </w:rPr>
            </w:pPr>
            <w:r>
              <w:rPr>
                <w:spacing w:val="-5"/>
                <w:sz w:val="18"/>
              </w:rPr>
              <w:t>AWS</w:t>
            </w:r>
          </w:p>
        </w:tc>
        <w:tc>
          <w:tcPr>
            <w:tcW w:w="1403" w:type="dxa"/>
            <w:tcBorders>
              <w:bottom w:val="single" w:sz="6" w:space="0" w:color="000000"/>
            </w:tcBorders>
          </w:tcPr>
          <w:p>
            <w:pPr>
              <w:pStyle w:val="TableParagraph"/>
              <w:spacing w:before="21"/>
              <w:ind w:right="122"/>
              <w:rPr>
                <w:sz w:val="18"/>
              </w:rPr>
            </w:pPr>
            <w:r>
              <w:rPr>
                <w:spacing w:val="-2"/>
                <w:sz w:val="18"/>
              </w:rPr>
              <w:t>24,631</w:t>
            </w:r>
          </w:p>
        </w:tc>
        <w:tc>
          <w:tcPr>
            <w:tcW w:w="1418" w:type="dxa"/>
            <w:tcBorders>
              <w:bottom w:val="single" w:sz="6" w:space="0" w:color="000000"/>
            </w:tcBorders>
          </w:tcPr>
          <w:p>
            <w:pPr>
              <w:pStyle w:val="TableParagraph"/>
              <w:spacing w:before="21"/>
              <w:ind w:right="70"/>
              <w:rPr>
                <w:sz w:val="18"/>
              </w:rPr>
            </w:pPr>
            <w:r>
              <w:rPr>
                <w:spacing w:val="-2"/>
                <w:sz w:val="18"/>
              </w:rPr>
              <w:t>39,834</w:t>
            </w:r>
          </w:p>
        </w:tc>
      </w:tr>
      <w:tr>
        <w:trPr>
          <w:trHeight w:val="273" w:hRule="atLeast"/>
        </w:trPr>
        <w:tc>
          <w:tcPr>
            <w:tcW w:w="8694" w:type="dxa"/>
            <w:shd w:val="clear" w:color="auto" w:fill="CCEDFF"/>
          </w:tcPr>
          <w:p>
            <w:pPr>
              <w:pStyle w:val="TableParagraph"/>
              <w:spacing w:before="6"/>
              <w:ind w:left="665"/>
              <w:jc w:val="left"/>
              <w:rPr>
                <w:sz w:val="18"/>
              </w:rPr>
            </w:pPr>
            <w:r>
              <w:rPr>
                <w:spacing w:val="-2"/>
                <w:sz w:val="18"/>
              </w:rPr>
              <w:t>Consolidated</w:t>
            </w:r>
          </w:p>
        </w:tc>
        <w:tc>
          <w:tcPr>
            <w:tcW w:w="1403" w:type="dxa"/>
            <w:tcBorders>
              <w:top w:val="single" w:sz="6" w:space="0" w:color="000000"/>
            </w:tcBorders>
            <w:shd w:val="clear" w:color="auto" w:fill="CCEDFF"/>
          </w:tcPr>
          <w:p>
            <w:pPr>
              <w:pStyle w:val="TableParagraph"/>
              <w:tabs>
                <w:tab w:pos="770" w:val="left" w:leader="none"/>
              </w:tabs>
              <w:spacing w:before="20"/>
              <w:ind w:right="122"/>
              <w:rPr>
                <w:sz w:val="18"/>
              </w:rPr>
            </w:pPr>
            <w:r>
              <w:rPr>
                <w:sz w:val="18"/>
              </w:rPr>
              <mc:AlternateContent>
                <mc:Choice Requires="wps">
                  <w:drawing>
                    <wp:anchor distT="0" distB="0" distL="0" distR="0" allowOverlap="1" layoutInCell="1" locked="0" behindDoc="1" simplePos="0" relativeHeight="487031808">
                      <wp:simplePos x="0" y="0"/>
                      <wp:positionH relativeFrom="column">
                        <wp:posOffset>0</wp:posOffset>
                      </wp:positionH>
                      <wp:positionV relativeFrom="paragraph">
                        <wp:posOffset>170853</wp:posOffset>
                      </wp:positionV>
                      <wp:extent cx="857250" cy="3429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857250" cy="34290"/>
                                <a:chExt cx="857250" cy="34290"/>
                              </a:xfrm>
                            </wpg:grpSpPr>
                            <wps:wsp>
                              <wps:cNvPr id="46" name="Graphic 46"/>
                              <wps:cNvSpPr/>
                              <wps:spPr>
                                <a:xfrm>
                                  <a:off x="-12" y="8"/>
                                  <a:ext cx="857250" cy="34290"/>
                                </a:xfrm>
                                <a:custGeom>
                                  <a:avLst/>
                                  <a:gdLst/>
                                  <a:ahLst/>
                                  <a:cxnLst/>
                                  <a:rect l="l" t="t" r="r" b="b"/>
                                  <a:pathLst>
                                    <a:path w="857250" h="34290">
                                      <a:moveTo>
                                        <a:pt x="857250" y="25717"/>
                                      </a:moveTo>
                                      <a:lnTo>
                                        <a:pt x="840105" y="25717"/>
                                      </a:lnTo>
                                      <a:lnTo>
                                        <a:pt x="68580" y="25717"/>
                                      </a:lnTo>
                                      <a:lnTo>
                                        <a:pt x="0" y="25717"/>
                                      </a:lnTo>
                                      <a:lnTo>
                                        <a:pt x="0" y="34290"/>
                                      </a:lnTo>
                                      <a:lnTo>
                                        <a:pt x="68580" y="34290"/>
                                      </a:lnTo>
                                      <a:lnTo>
                                        <a:pt x="840105" y="34290"/>
                                      </a:lnTo>
                                      <a:lnTo>
                                        <a:pt x="857250" y="34290"/>
                                      </a:lnTo>
                                      <a:lnTo>
                                        <a:pt x="857250" y="25717"/>
                                      </a:lnTo>
                                      <a:close/>
                                    </a:path>
                                    <a:path w="857250" h="34290">
                                      <a:moveTo>
                                        <a:pt x="857250" y="0"/>
                                      </a:moveTo>
                                      <a:lnTo>
                                        <a:pt x="840105" y="0"/>
                                      </a:lnTo>
                                      <a:lnTo>
                                        <a:pt x="68580" y="0"/>
                                      </a:lnTo>
                                      <a:lnTo>
                                        <a:pt x="0" y="0"/>
                                      </a:lnTo>
                                      <a:lnTo>
                                        <a:pt x="0" y="8572"/>
                                      </a:lnTo>
                                      <a:lnTo>
                                        <a:pt x="68580" y="8572"/>
                                      </a:lnTo>
                                      <a:lnTo>
                                        <a:pt x="840105" y="8572"/>
                                      </a:lnTo>
                                      <a:lnTo>
                                        <a:pt x="857250" y="8572"/>
                                      </a:lnTo>
                                      <a:lnTo>
                                        <a:pt x="8572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3.453017pt;width:67.5pt;height:2.7pt;mso-position-horizontal-relative:column;mso-position-vertical-relative:paragraph;z-index:-16284672" id="docshapegroup45" coordorigin="0,269" coordsize="1350,54">
                      <v:shape style="position:absolute;left:-1;top:269;width:1350;height:54" id="docshape46" coordorigin="0,269" coordsize="1350,54" path="m1350,310l1323,310,108,310,0,310,0,323,108,323,1323,323,1350,323,1350,310xm1350,269l1323,269,108,269,0,269,0,283,108,283,1323,283,1350,283,1350,269xe" filled="true" fillcolor="#000000" stroked="false">
                        <v:path arrowok="t"/>
                        <v:fill type="solid"/>
                      </v:shape>
                      <w10:wrap type="none"/>
                    </v:group>
                  </w:pict>
                </mc:Fallback>
              </mc:AlternateContent>
            </w:r>
            <w:r>
              <w:rPr>
                <w:spacing w:val="-10"/>
                <w:sz w:val="18"/>
              </w:rPr>
              <w:t>$</w:t>
            </w:r>
            <w:r>
              <w:rPr>
                <w:sz w:val="18"/>
              </w:rPr>
              <w:tab/>
            </w:r>
            <w:r>
              <w:rPr>
                <w:spacing w:val="-2"/>
                <w:sz w:val="18"/>
              </w:rPr>
              <w:t>36,852</w:t>
            </w:r>
          </w:p>
        </w:tc>
        <w:tc>
          <w:tcPr>
            <w:tcW w:w="1418" w:type="dxa"/>
            <w:tcBorders>
              <w:top w:val="single" w:sz="6" w:space="0" w:color="000000"/>
              <w:bottom w:val="double" w:sz="6" w:space="0" w:color="000000"/>
            </w:tcBorders>
            <w:shd w:val="clear" w:color="auto" w:fill="CCEDFF"/>
          </w:tcPr>
          <w:p>
            <w:pPr>
              <w:pStyle w:val="TableParagraph"/>
              <w:tabs>
                <w:tab w:pos="770" w:val="left" w:leader="none"/>
              </w:tabs>
              <w:spacing w:before="20"/>
              <w:ind w:right="70"/>
              <w:rPr>
                <w:sz w:val="18"/>
              </w:rPr>
            </w:pPr>
            <w:r>
              <w:rPr>
                <w:spacing w:val="-10"/>
                <w:sz w:val="18"/>
              </w:rPr>
              <w:t>$</w:t>
            </w:r>
            <w:r>
              <w:rPr>
                <w:sz w:val="18"/>
              </w:rPr>
              <w:tab/>
            </w:r>
            <w:r>
              <w:rPr>
                <w:spacing w:val="-2"/>
                <w:sz w:val="18"/>
              </w:rPr>
              <w:t>68,593</w:t>
            </w:r>
          </w:p>
        </w:tc>
      </w:tr>
    </w:tbl>
    <w:p>
      <w:pPr>
        <w:pStyle w:val="BodyText"/>
        <w:spacing w:line="249" w:lineRule="auto" w:before="170"/>
        <w:ind w:right="122" w:firstLine="445"/>
      </w:pPr>
      <w:r>
        <w:rPr/>
        <w:t>Operating</w:t>
      </w:r>
      <w:r>
        <w:rPr>
          <w:spacing w:val="-3"/>
        </w:rPr>
        <w:t> </w:t>
      </w:r>
      <w:r>
        <w:rPr/>
        <w:t>income</w:t>
      </w:r>
      <w:r>
        <w:rPr>
          <w:spacing w:val="-3"/>
        </w:rPr>
        <w:t> </w:t>
      </w:r>
      <w:r>
        <w:rPr/>
        <w:t>was</w:t>
      </w:r>
      <w:r>
        <w:rPr>
          <w:spacing w:val="-3"/>
        </w:rPr>
        <w:t> </w:t>
      </w:r>
      <w:r>
        <w:rPr/>
        <w:t>$36.9</w:t>
      </w:r>
      <w:r>
        <w:rPr>
          <w:spacing w:val="-3"/>
        </w:rPr>
        <w:t> </w:t>
      </w:r>
      <w:r>
        <w:rPr/>
        <w:t>billion</w:t>
      </w:r>
      <w:r>
        <w:rPr>
          <w:spacing w:val="-3"/>
        </w:rPr>
        <w:t> </w:t>
      </w:r>
      <w:r>
        <w:rPr/>
        <w:t>and</w:t>
      </w:r>
      <w:r>
        <w:rPr>
          <w:spacing w:val="-3"/>
        </w:rPr>
        <w:t> </w:t>
      </w:r>
      <w:r>
        <w:rPr/>
        <w:t>$68.6</w:t>
      </w:r>
      <w:r>
        <w:rPr>
          <w:spacing w:val="-3"/>
        </w:rPr>
        <w:t> </w:t>
      </w:r>
      <w:r>
        <w:rPr/>
        <w:t>billion</w:t>
      </w:r>
      <w:r>
        <w:rPr>
          <w:spacing w:val="-3"/>
        </w:rPr>
        <w:t> </w:t>
      </w:r>
      <w:r>
        <w:rPr/>
        <w:t>for</w:t>
      </w:r>
      <w:r>
        <w:rPr>
          <w:spacing w:val="-3"/>
        </w:rPr>
        <w:t> </w:t>
      </w:r>
      <w:r>
        <w:rPr/>
        <w:t>2023</w:t>
      </w:r>
      <w:r>
        <w:rPr>
          <w:spacing w:val="-3"/>
        </w:rPr>
        <w:t> </w:t>
      </w:r>
      <w:r>
        <w:rPr/>
        <w:t>and</w:t>
      </w:r>
      <w:r>
        <w:rPr>
          <w:spacing w:val="-3"/>
        </w:rPr>
        <w:t> </w:t>
      </w:r>
      <w:r>
        <w:rPr/>
        <w:t>2024.</w:t>
      </w:r>
      <w:r>
        <w:rPr>
          <w:spacing w:val="-6"/>
        </w:rPr>
        <w:t> </w:t>
      </w:r>
      <w:r>
        <w:rPr/>
        <w:t>We</w:t>
      </w:r>
      <w:r>
        <w:rPr>
          <w:spacing w:val="-3"/>
        </w:rPr>
        <w:t> </w:t>
      </w:r>
      <w:r>
        <w:rPr/>
        <w:t>believe</w:t>
      </w:r>
      <w:r>
        <w:rPr>
          <w:spacing w:val="-3"/>
        </w:rPr>
        <w:t> </w:t>
      </w:r>
      <w:r>
        <w:rPr/>
        <w:t>that</w:t>
      </w:r>
      <w:r>
        <w:rPr>
          <w:spacing w:val="-3"/>
        </w:rPr>
        <w:t> </w:t>
      </w:r>
      <w:r>
        <w:rPr/>
        <w:t>operating</w:t>
      </w:r>
      <w:r>
        <w:rPr>
          <w:spacing w:val="-3"/>
        </w:rPr>
        <w:t> </w:t>
      </w:r>
      <w:r>
        <w:rPr/>
        <w:t>income</w:t>
      </w:r>
      <w:r>
        <w:rPr>
          <w:spacing w:val="-3"/>
        </w:rPr>
        <w:t> </w:t>
      </w:r>
      <w:r>
        <w:rPr/>
        <w:t>is</w:t>
      </w:r>
      <w:r>
        <w:rPr>
          <w:spacing w:val="-3"/>
        </w:rPr>
        <w:t> </w:t>
      </w:r>
      <w:r>
        <w:rPr/>
        <w:t>a</w:t>
      </w:r>
      <w:r>
        <w:rPr>
          <w:spacing w:val="-3"/>
        </w:rPr>
        <w:t> </w:t>
      </w:r>
      <w:r>
        <w:rPr/>
        <w:t>more</w:t>
      </w:r>
      <w:r>
        <w:rPr>
          <w:spacing w:val="-3"/>
        </w:rPr>
        <w:t> </w:t>
      </w:r>
      <w:r>
        <w:rPr/>
        <w:t>meaningful</w:t>
      </w:r>
      <w:r>
        <w:rPr>
          <w:spacing w:val="-3"/>
        </w:rPr>
        <w:t> </w:t>
      </w:r>
      <w:r>
        <w:rPr/>
        <w:t>measure</w:t>
      </w:r>
      <w:r>
        <w:rPr>
          <w:spacing w:val="-3"/>
        </w:rPr>
        <w:t> </w:t>
      </w:r>
      <w:r>
        <w:rPr/>
        <w:t>than</w:t>
      </w:r>
      <w:r>
        <w:rPr>
          <w:spacing w:val="-3"/>
        </w:rPr>
        <w:t> </w:t>
      </w:r>
      <w:r>
        <w:rPr/>
        <w:t>gross profit and gross margin due to the diversity of our product categories and services. For more information on the operating expenses that impact segment operating income, see “Operating Expenses” and the descriptions of operating expense line item changes on pages 25 to 27, and “Note 10 — Segment Information” on page 65.</w:t>
      </w:r>
    </w:p>
    <w:p>
      <w:pPr>
        <w:pStyle w:val="BodyText"/>
        <w:spacing w:line="249" w:lineRule="auto" w:before="98"/>
        <w:ind w:firstLine="445"/>
      </w:pPr>
      <w:r>
        <w:rPr/>
        <w:t>The</w:t>
      </w:r>
      <w:r>
        <w:rPr>
          <w:spacing w:val="-3"/>
        </w:rPr>
        <w:t> </w:t>
      </w:r>
      <w:r>
        <w:rPr/>
        <w:t>increase</w:t>
      </w:r>
      <w:r>
        <w:rPr>
          <w:spacing w:val="-3"/>
        </w:rPr>
        <w:t> </w:t>
      </w:r>
      <w:r>
        <w:rPr/>
        <w:t>in</w:t>
      </w:r>
      <w:r>
        <w:rPr>
          <w:spacing w:val="-3"/>
        </w:rPr>
        <w:t> </w:t>
      </w:r>
      <w:r>
        <w:rPr/>
        <w:t>North</w:t>
      </w:r>
      <w:r>
        <w:rPr>
          <w:spacing w:val="-11"/>
        </w:rPr>
        <w:t> </w:t>
      </w:r>
      <w:r>
        <w:rPr/>
        <w:t>America</w:t>
      </w:r>
      <w:r>
        <w:rPr>
          <w:spacing w:val="-3"/>
        </w:rPr>
        <w:t> </w:t>
      </w:r>
      <w:r>
        <w:rPr/>
        <w:t>operating</w:t>
      </w:r>
      <w:r>
        <w:rPr>
          <w:spacing w:val="-3"/>
        </w:rPr>
        <w:t> </w:t>
      </w:r>
      <w:r>
        <w:rPr/>
        <w:t>income</w:t>
      </w:r>
      <w:r>
        <w:rPr>
          <w:spacing w:val="-3"/>
        </w:rPr>
        <w:t> </w:t>
      </w:r>
      <w:r>
        <w:rPr/>
        <w:t>in</w:t>
      </w:r>
      <w:r>
        <w:rPr>
          <w:spacing w:val="-3"/>
        </w:rPr>
        <w:t> </w:t>
      </w:r>
      <w:r>
        <w:rPr/>
        <w:t>2024,</w:t>
      </w:r>
      <w:r>
        <w:rPr>
          <w:spacing w:val="-3"/>
        </w:rPr>
        <w:t> </w:t>
      </w:r>
      <w:r>
        <w:rPr/>
        <w:t>compared</w:t>
      </w:r>
      <w:r>
        <w:rPr>
          <w:spacing w:val="-3"/>
        </w:rPr>
        <w:t> </w:t>
      </w:r>
      <w:r>
        <w:rPr/>
        <w:t>to</w:t>
      </w:r>
      <w:r>
        <w:rPr>
          <w:spacing w:val="-3"/>
        </w:rPr>
        <w:t> </w:t>
      </w:r>
      <w:r>
        <w:rPr/>
        <w:t>the</w:t>
      </w:r>
      <w:r>
        <w:rPr>
          <w:spacing w:val="-3"/>
        </w:rPr>
        <w:t> </w:t>
      </w:r>
      <w:r>
        <w:rPr/>
        <w:t>prior</w:t>
      </w:r>
      <w:r>
        <w:rPr>
          <w:spacing w:val="-3"/>
        </w:rPr>
        <w:t> </w:t>
      </w:r>
      <w:r>
        <w:rPr/>
        <w:t>year,</w:t>
      </w:r>
      <w:r>
        <w:rPr>
          <w:spacing w:val="-3"/>
        </w:rPr>
        <w:t> </w:t>
      </w:r>
      <w:r>
        <w:rPr/>
        <w:t>is</w:t>
      </w:r>
      <w:r>
        <w:rPr>
          <w:spacing w:val="-3"/>
        </w:rPr>
        <w:t> </w:t>
      </w:r>
      <w:r>
        <w:rPr/>
        <w:t>primarily</w:t>
      </w:r>
      <w:r>
        <w:rPr>
          <w:spacing w:val="-3"/>
        </w:rPr>
        <w:t> </w:t>
      </w:r>
      <w:r>
        <w:rPr/>
        <w:t>due</w:t>
      </w:r>
      <w:r>
        <w:rPr>
          <w:spacing w:val="-3"/>
        </w:rPr>
        <w:t> </w:t>
      </w:r>
      <w:r>
        <w:rPr/>
        <w:t>to</w:t>
      </w:r>
      <w:r>
        <w:rPr>
          <w:spacing w:val="-3"/>
        </w:rPr>
        <w:t> </w:t>
      </w:r>
      <w:r>
        <w:rPr/>
        <w:t>increased</w:t>
      </w:r>
      <w:r>
        <w:rPr>
          <w:spacing w:val="-3"/>
        </w:rPr>
        <w:t> </w:t>
      </w:r>
      <w:r>
        <w:rPr/>
        <w:t>unit</w:t>
      </w:r>
      <w:r>
        <w:rPr>
          <w:spacing w:val="-3"/>
        </w:rPr>
        <w:t> </w:t>
      </w:r>
      <w:r>
        <w:rPr/>
        <w:t>sales</w:t>
      </w:r>
      <w:r>
        <w:rPr>
          <w:spacing w:val="-3"/>
        </w:rPr>
        <w:t> </w:t>
      </w:r>
      <w:r>
        <w:rPr/>
        <w:t>and</w:t>
      </w:r>
      <w:r>
        <w:rPr>
          <w:spacing w:val="-3"/>
        </w:rPr>
        <w:t> </w:t>
      </w:r>
      <w:r>
        <w:rPr/>
        <w:t>increased</w:t>
      </w:r>
      <w:r>
        <w:rPr>
          <w:spacing w:val="-3"/>
        </w:rPr>
        <w:t> </w:t>
      </w:r>
      <w:r>
        <w:rPr/>
        <w:t>advertising sales, partially offset by increased fulfillment and shipping costs.</w:t>
      </w:r>
    </w:p>
    <w:p>
      <w:pPr>
        <w:pStyle w:val="BodyText"/>
        <w:spacing w:line="249" w:lineRule="auto" w:before="96"/>
        <w:ind w:right="122" w:firstLine="445"/>
      </w:pPr>
      <w:r>
        <w:rPr/>
        <w:t>The International operating income in 2024, as compared to the operating loss in the prior year, is primarily due to increased unit sales and increased advertising</w:t>
      </w:r>
      <w:r>
        <w:rPr>
          <w:spacing w:val="-3"/>
        </w:rPr>
        <w:t> </w:t>
      </w:r>
      <w:r>
        <w:rPr/>
        <w:t>sales,</w:t>
      </w:r>
      <w:r>
        <w:rPr>
          <w:spacing w:val="-3"/>
        </w:rPr>
        <w:t> </w:t>
      </w:r>
      <w:r>
        <w:rPr/>
        <w:t>partially</w:t>
      </w:r>
      <w:r>
        <w:rPr>
          <w:spacing w:val="-3"/>
        </w:rPr>
        <w:t> </w:t>
      </w:r>
      <w:r>
        <w:rPr/>
        <w:t>offset</w:t>
      </w:r>
      <w:r>
        <w:rPr>
          <w:spacing w:val="-3"/>
        </w:rPr>
        <w:t> </w:t>
      </w:r>
      <w:r>
        <w:rPr/>
        <w:t>by</w:t>
      </w:r>
      <w:r>
        <w:rPr>
          <w:spacing w:val="-3"/>
        </w:rPr>
        <w:t> </w:t>
      </w:r>
      <w:r>
        <w:rPr/>
        <w:t>increased</w:t>
      </w:r>
      <w:r>
        <w:rPr>
          <w:spacing w:val="-3"/>
        </w:rPr>
        <w:t> </w:t>
      </w:r>
      <w:r>
        <w:rPr/>
        <w:t>shipping</w:t>
      </w:r>
      <w:r>
        <w:rPr>
          <w:spacing w:val="-3"/>
        </w:rPr>
        <w:t> </w:t>
      </w:r>
      <w:r>
        <w:rPr/>
        <w:t>and</w:t>
      </w:r>
      <w:r>
        <w:rPr>
          <w:spacing w:val="-3"/>
        </w:rPr>
        <w:t> </w:t>
      </w:r>
      <w:r>
        <w:rPr/>
        <w:t>fulfillment</w:t>
      </w:r>
      <w:r>
        <w:rPr>
          <w:spacing w:val="-3"/>
        </w:rPr>
        <w:t> </w:t>
      </w:r>
      <w:r>
        <w:rPr/>
        <w:t>costs.</w:t>
      </w:r>
      <w:r>
        <w:rPr>
          <w:spacing w:val="-3"/>
        </w:rPr>
        <w:t> </w:t>
      </w:r>
      <w:r>
        <w:rPr/>
        <w:t>Changes</w:t>
      </w:r>
      <w:r>
        <w:rPr>
          <w:spacing w:val="-3"/>
        </w:rPr>
        <w:t> </w:t>
      </w:r>
      <w:r>
        <w:rPr/>
        <w:t>in</w:t>
      </w:r>
      <w:r>
        <w:rPr>
          <w:spacing w:val="-3"/>
        </w:rPr>
        <w:t> </w:t>
      </w:r>
      <w:r>
        <w:rPr/>
        <w:t>foreign</w:t>
      </w:r>
      <w:r>
        <w:rPr>
          <w:spacing w:val="-3"/>
        </w:rPr>
        <w:t> </w:t>
      </w:r>
      <w:r>
        <w:rPr/>
        <w:t>exchange</w:t>
      </w:r>
      <w:r>
        <w:rPr>
          <w:spacing w:val="-3"/>
        </w:rPr>
        <w:t> </w:t>
      </w:r>
      <w:r>
        <w:rPr/>
        <w:t>rates</w:t>
      </w:r>
      <w:r>
        <w:rPr>
          <w:spacing w:val="-3"/>
        </w:rPr>
        <w:t> </w:t>
      </w:r>
      <w:r>
        <w:rPr/>
        <w:t>did</w:t>
      </w:r>
      <w:r>
        <w:rPr>
          <w:spacing w:val="-3"/>
        </w:rPr>
        <w:t> </w:t>
      </w:r>
      <w:r>
        <w:rPr/>
        <w:t>not</w:t>
      </w:r>
      <w:r>
        <w:rPr>
          <w:spacing w:val="-3"/>
        </w:rPr>
        <w:t> </w:t>
      </w:r>
      <w:r>
        <w:rPr/>
        <w:t>significantly</w:t>
      </w:r>
      <w:r>
        <w:rPr>
          <w:spacing w:val="-3"/>
        </w:rPr>
        <w:t> </w:t>
      </w:r>
      <w:r>
        <w:rPr/>
        <w:t>impact</w:t>
      </w:r>
      <w:r>
        <w:rPr>
          <w:spacing w:val="-3"/>
        </w:rPr>
        <w:t> </w:t>
      </w:r>
      <w:r>
        <w:rPr/>
        <w:t>operating</w:t>
      </w:r>
      <w:r>
        <w:rPr>
          <w:spacing w:val="-3"/>
        </w:rPr>
        <w:t> </w:t>
      </w:r>
      <w:r>
        <w:rPr/>
        <w:t>income in 2024.</w:t>
      </w:r>
    </w:p>
    <w:p>
      <w:pPr>
        <w:pStyle w:val="BodyText"/>
        <w:spacing w:line="249" w:lineRule="auto" w:before="83"/>
        <w:ind w:right="20" w:firstLine="445"/>
      </w:pPr>
      <w:r>
        <w:rPr/>
        <w:t>The</w:t>
      </w:r>
      <w:r>
        <w:rPr>
          <w:spacing w:val="-3"/>
        </w:rPr>
        <w:t> </w:t>
      </w:r>
      <w:r>
        <w:rPr/>
        <w:t>increase</w:t>
      </w:r>
      <w:r>
        <w:rPr>
          <w:spacing w:val="-3"/>
        </w:rPr>
        <w:t> </w:t>
      </w:r>
      <w:r>
        <w:rPr/>
        <w:t>in</w:t>
      </w:r>
      <w:r>
        <w:rPr>
          <w:spacing w:val="-12"/>
        </w:rPr>
        <w:t> </w:t>
      </w:r>
      <w:r>
        <w:rPr/>
        <w:t>AWS</w:t>
      </w:r>
      <w:r>
        <w:rPr>
          <w:spacing w:val="-2"/>
        </w:rPr>
        <w:t> </w:t>
      </w:r>
      <w:r>
        <w:rPr/>
        <w:t>operating</w:t>
      </w:r>
      <w:r>
        <w:rPr>
          <w:spacing w:val="-3"/>
        </w:rPr>
        <w:t> </w:t>
      </w:r>
      <w:r>
        <w:rPr/>
        <w:t>income</w:t>
      </w:r>
      <w:r>
        <w:rPr>
          <w:spacing w:val="-3"/>
        </w:rPr>
        <w:t> </w:t>
      </w:r>
      <w:r>
        <w:rPr/>
        <w:t>in</w:t>
      </w:r>
      <w:r>
        <w:rPr>
          <w:spacing w:val="-3"/>
        </w:rPr>
        <w:t> </w:t>
      </w:r>
      <w:r>
        <w:rPr/>
        <w:t>2024,</w:t>
      </w:r>
      <w:r>
        <w:rPr>
          <w:spacing w:val="-3"/>
        </w:rPr>
        <w:t> </w:t>
      </w:r>
      <w:r>
        <w:rPr/>
        <w:t>compared</w:t>
      </w:r>
      <w:r>
        <w:rPr>
          <w:spacing w:val="-3"/>
        </w:rPr>
        <w:t> </w:t>
      </w:r>
      <w:r>
        <w:rPr/>
        <w:t>to</w:t>
      </w:r>
      <w:r>
        <w:rPr>
          <w:spacing w:val="-3"/>
        </w:rPr>
        <w:t> </w:t>
      </w:r>
      <w:r>
        <w:rPr/>
        <w:t>the</w:t>
      </w:r>
      <w:r>
        <w:rPr>
          <w:spacing w:val="-3"/>
        </w:rPr>
        <w:t> </w:t>
      </w:r>
      <w:r>
        <w:rPr/>
        <w:t>prior</w:t>
      </w:r>
      <w:r>
        <w:rPr>
          <w:spacing w:val="-3"/>
        </w:rPr>
        <w:t> </w:t>
      </w:r>
      <w:r>
        <w:rPr/>
        <w:t>year,</w:t>
      </w:r>
      <w:r>
        <w:rPr>
          <w:spacing w:val="-3"/>
        </w:rPr>
        <w:t> </w:t>
      </w:r>
      <w:r>
        <w:rPr/>
        <w:t>is</w:t>
      </w:r>
      <w:r>
        <w:rPr>
          <w:spacing w:val="-3"/>
        </w:rPr>
        <w:t> </w:t>
      </w:r>
      <w:r>
        <w:rPr/>
        <w:t>primarily</w:t>
      </w:r>
      <w:r>
        <w:rPr>
          <w:spacing w:val="-3"/>
        </w:rPr>
        <w:t> </w:t>
      </w:r>
      <w:r>
        <w:rPr/>
        <w:t>due</w:t>
      </w:r>
      <w:r>
        <w:rPr>
          <w:spacing w:val="-3"/>
        </w:rPr>
        <w:t> </w:t>
      </w:r>
      <w:r>
        <w:rPr/>
        <w:t>to</w:t>
      </w:r>
      <w:r>
        <w:rPr>
          <w:spacing w:val="-3"/>
        </w:rPr>
        <w:t> </w:t>
      </w:r>
      <w:r>
        <w:rPr/>
        <w:t>increased</w:t>
      </w:r>
      <w:r>
        <w:rPr>
          <w:spacing w:val="-3"/>
        </w:rPr>
        <w:t> </w:t>
      </w:r>
      <w:r>
        <w:rPr/>
        <w:t>sales,</w:t>
      </w:r>
      <w:r>
        <w:rPr>
          <w:spacing w:val="-3"/>
        </w:rPr>
        <w:t> </w:t>
      </w:r>
      <w:r>
        <w:rPr/>
        <w:t>decreased</w:t>
      </w:r>
      <w:r>
        <w:rPr>
          <w:spacing w:val="-3"/>
        </w:rPr>
        <w:t> </w:t>
      </w:r>
      <w:r>
        <w:rPr/>
        <w:t>payroll</w:t>
      </w:r>
      <w:r>
        <w:rPr>
          <w:spacing w:val="-3"/>
        </w:rPr>
        <w:t> </w:t>
      </w:r>
      <w:r>
        <w:rPr/>
        <w:t>and</w:t>
      </w:r>
      <w:r>
        <w:rPr>
          <w:spacing w:val="-3"/>
        </w:rPr>
        <w:t> </w:t>
      </w:r>
      <w:r>
        <w:rPr/>
        <w:t>related</w:t>
      </w:r>
      <w:r>
        <w:rPr>
          <w:spacing w:val="-3"/>
        </w:rPr>
        <w:t> </w:t>
      </w:r>
      <w:r>
        <w:rPr/>
        <w:t>expenses, and a reduction in depreciation and amortization expense from our change in the estimated useful lives of our servers, partially offset by spending on technology</w:t>
      </w:r>
      <w:r>
        <w:rPr>
          <w:spacing w:val="-2"/>
        </w:rPr>
        <w:t> </w:t>
      </w:r>
      <w:r>
        <w:rPr/>
        <w:t>infrastructure</w:t>
      </w:r>
      <w:r>
        <w:rPr>
          <w:spacing w:val="-2"/>
        </w:rPr>
        <w:t> </w:t>
      </w:r>
      <w:r>
        <w:rPr/>
        <w:t>that</w:t>
      </w:r>
      <w:r>
        <w:rPr>
          <w:spacing w:val="-2"/>
        </w:rPr>
        <w:t> </w:t>
      </w:r>
      <w:r>
        <w:rPr/>
        <w:t>was</w:t>
      </w:r>
      <w:r>
        <w:rPr>
          <w:spacing w:val="-2"/>
        </w:rPr>
        <w:t> </w:t>
      </w:r>
      <w:r>
        <w:rPr/>
        <w:t>primarily</w:t>
      </w:r>
      <w:r>
        <w:rPr>
          <w:spacing w:val="-2"/>
        </w:rPr>
        <w:t> </w:t>
      </w:r>
      <w:r>
        <w:rPr/>
        <w:t>driven</w:t>
      </w:r>
      <w:r>
        <w:rPr>
          <w:spacing w:val="-2"/>
        </w:rPr>
        <w:t> </w:t>
      </w:r>
      <w:r>
        <w:rPr/>
        <w:t>by</w:t>
      </w:r>
      <w:r>
        <w:rPr>
          <w:spacing w:val="-2"/>
        </w:rPr>
        <w:t> </w:t>
      </w:r>
      <w:r>
        <w:rPr/>
        <w:t>additional</w:t>
      </w:r>
      <w:r>
        <w:rPr>
          <w:spacing w:val="-2"/>
        </w:rPr>
        <w:t> </w:t>
      </w:r>
      <w:r>
        <w:rPr/>
        <w:t>investments</w:t>
      </w:r>
      <w:r>
        <w:rPr>
          <w:spacing w:val="-2"/>
        </w:rPr>
        <w:t> </w:t>
      </w:r>
      <w:r>
        <w:rPr/>
        <w:t>to</w:t>
      </w:r>
      <w:r>
        <w:rPr>
          <w:spacing w:val="-2"/>
        </w:rPr>
        <w:t> </w:t>
      </w:r>
      <w:r>
        <w:rPr/>
        <w:t>support</w:t>
      </w:r>
      <w:r>
        <w:rPr>
          <w:spacing w:val="-11"/>
        </w:rPr>
        <w:t> </w:t>
      </w:r>
      <w:r>
        <w:rPr/>
        <w:t>AWS</w:t>
      </w:r>
      <w:r>
        <w:rPr>
          <w:spacing w:val="-2"/>
        </w:rPr>
        <w:t> </w:t>
      </w:r>
      <w:r>
        <w:rPr/>
        <w:t>business</w:t>
      </w:r>
      <w:r>
        <w:rPr>
          <w:spacing w:val="-2"/>
        </w:rPr>
        <w:t> </w:t>
      </w:r>
      <w:r>
        <w:rPr/>
        <w:t>growth.</w:t>
      </w:r>
      <w:r>
        <w:rPr>
          <w:spacing w:val="-2"/>
        </w:rPr>
        <w:t> </w:t>
      </w:r>
      <w:r>
        <w:rPr/>
        <w:t>Changes</w:t>
      </w:r>
      <w:r>
        <w:rPr>
          <w:spacing w:val="-2"/>
        </w:rPr>
        <w:t> </w:t>
      </w:r>
      <w:r>
        <w:rPr/>
        <w:t>in</w:t>
      </w:r>
      <w:r>
        <w:rPr>
          <w:spacing w:val="-2"/>
        </w:rPr>
        <w:t> </w:t>
      </w:r>
      <w:r>
        <w:rPr/>
        <w:t>foreign</w:t>
      </w:r>
      <w:r>
        <w:rPr>
          <w:spacing w:val="-2"/>
        </w:rPr>
        <w:t> </w:t>
      </w:r>
      <w:r>
        <w:rPr/>
        <w:t>exchange</w:t>
      </w:r>
      <w:r>
        <w:rPr>
          <w:spacing w:val="-2"/>
        </w:rPr>
        <w:t> </w:t>
      </w:r>
      <w:r>
        <w:rPr/>
        <w:t>rates</w:t>
      </w:r>
      <w:r>
        <w:rPr>
          <w:spacing w:val="-2"/>
        </w:rPr>
        <w:t> </w:t>
      </w:r>
      <w:r>
        <w:rPr/>
        <w:t>positively impacted operating income by $240 million in 2024.</w:t>
      </w:r>
    </w:p>
    <w:p>
      <w:pPr>
        <w:pStyle w:val="BodyText"/>
        <w:spacing w:before="52"/>
        <w:ind w:left="0"/>
      </w:pPr>
    </w:p>
    <w:p>
      <w:pPr>
        <w:spacing w:before="1"/>
        <w:ind w:left="206" w:right="0" w:firstLine="0"/>
        <w:jc w:val="left"/>
        <w:rPr>
          <w:i/>
          <w:sz w:val="18"/>
        </w:rPr>
      </w:pPr>
      <w:r>
        <w:rPr>
          <w:i/>
          <w:sz w:val="18"/>
        </w:rPr>
        <w:t>Interest</w:t>
      </w:r>
      <w:r>
        <w:rPr>
          <w:i/>
          <w:spacing w:val="-4"/>
          <w:sz w:val="18"/>
        </w:rPr>
        <w:t> </w:t>
      </w:r>
      <w:r>
        <w:rPr>
          <w:i/>
          <w:sz w:val="18"/>
        </w:rPr>
        <w:t>Income</w:t>
      </w:r>
      <w:r>
        <w:rPr>
          <w:i/>
          <w:spacing w:val="-3"/>
          <w:sz w:val="18"/>
        </w:rPr>
        <w:t> </w:t>
      </w:r>
      <w:r>
        <w:rPr>
          <w:i/>
          <w:sz w:val="18"/>
        </w:rPr>
        <w:t>and</w:t>
      </w:r>
      <w:r>
        <w:rPr>
          <w:i/>
          <w:spacing w:val="-3"/>
          <w:sz w:val="18"/>
        </w:rPr>
        <w:t> </w:t>
      </w:r>
      <w:r>
        <w:rPr>
          <w:i/>
          <w:spacing w:val="-2"/>
          <w:sz w:val="18"/>
        </w:rPr>
        <w:t>Expense</w:t>
      </w:r>
    </w:p>
    <w:p>
      <w:pPr>
        <w:pStyle w:val="BodyText"/>
        <w:spacing w:line="249" w:lineRule="auto" w:before="103"/>
        <w:ind w:right="20" w:firstLine="445"/>
      </w:pPr>
      <w:r>
        <w:rPr/>
        <w:t>Our interest income was $2.9 billion and $4.7 billion during 2023 and 2024, primarily due to a higher average balance of invested funds at prevailing rates.</w:t>
      </w:r>
      <w:r>
        <w:rPr>
          <w:spacing w:val="-6"/>
        </w:rPr>
        <w:t> </w:t>
      </w:r>
      <w:r>
        <w:rPr/>
        <w:t>We</w:t>
      </w:r>
      <w:r>
        <w:rPr>
          <w:spacing w:val="-3"/>
        </w:rPr>
        <w:t> </w:t>
      </w:r>
      <w:r>
        <w:rPr/>
        <w:t>generally</w:t>
      </w:r>
      <w:r>
        <w:rPr>
          <w:spacing w:val="-3"/>
        </w:rPr>
        <w:t> </w:t>
      </w:r>
      <w:r>
        <w:rPr/>
        <w:t>invest</w:t>
      </w:r>
      <w:r>
        <w:rPr>
          <w:spacing w:val="-3"/>
        </w:rPr>
        <w:t> </w:t>
      </w:r>
      <w:r>
        <w:rPr/>
        <w:t>our</w:t>
      </w:r>
      <w:r>
        <w:rPr>
          <w:spacing w:val="-3"/>
        </w:rPr>
        <w:t> </w:t>
      </w:r>
      <w:r>
        <w:rPr/>
        <w:t>excess</w:t>
      </w:r>
      <w:r>
        <w:rPr>
          <w:spacing w:val="-3"/>
        </w:rPr>
        <w:t> </w:t>
      </w:r>
      <w:r>
        <w:rPr/>
        <w:t>cash</w:t>
      </w:r>
      <w:r>
        <w:rPr>
          <w:spacing w:val="-3"/>
        </w:rPr>
        <w:t> </w:t>
      </w:r>
      <w:r>
        <w:rPr/>
        <w:t>in</w:t>
      </w:r>
      <w:r>
        <w:rPr>
          <w:spacing w:val="-3"/>
        </w:rPr>
        <w:t> </w:t>
      </w:r>
      <w:r>
        <w:rPr/>
        <w:t>investment</w:t>
      </w:r>
      <w:r>
        <w:rPr>
          <w:spacing w:val="-3"/>
        </w:rPr>
        <w:t> </w:t>
      </w:r>
      <w:r>
        <w:rPr/>
        <w:t>grade</w:t>
      </w:r>
      <w:r>
        <w:rPr>
          <w:spacing w:val="-3"/>
        </w:rPr>
        <w:t> </w:t>
      </w:r>
      <w:r>
        <w:rPr/>
        <w:t>short-</w:t>
      </w:r>
      <w:r>
        <w:rPr>
          <w:spacing w:val="-3"/>
        </w:rPr>
        <w:t> </w:t>
      </w:r>
      <w:r>
        <w:rPr/>
        <w:t>to</w:t>
      </w:r>
      <w:r>
        <w:rPr>
          <w:spacing w:val="-3"/>
        </w:rPr>
        <w:t> </w:t>
      </w:r>
      <w:r>
        <w:rPr/>
        <w:t>intermediate-term</w:t>
      </w:r>
      <w:r>
        <w:rPr>
          <w:spacing w:val="-3"/>
        </w:rPr>
        <w:t> </w:t>
      </w:r>
      <w:r>
        <w:rPr/>
        <w:t>marketable</w:t>
      </w:r>
      <w:r>
        <w:rPr>
          <w:spacing w:val="-3"/>
        </w:rPr>
        <w:t> </w:t>
      </w:r>
      <w:r>
        <w:rPr/>
        <w:t>debt</w:t>
      </w:r>
      <w:r>
        <w:rPr>
          <w:spacing w:val="-3"/>
        </w:rPr>
        <w:t> </w:t>
      </w:r>
      <w:r>
        <w:rPr/>
        <w:t>securities</w:t>
      </w:r>
      <w:r>
        <w:rPr>
          <w:spacing w:val="-3"/>
        </w:rPr>
        <w:t> </w:t>
      </w:r>
      <w:r>
        <w:rPr/>
        <w:t>and</w:t>
      </w:r>
      <w:r>
        <w:rPr>
          <w:spacing w:val="-12"/>
        </w:rPr>
        <w:t> </w:t>
      </w:r>
      <w:r>
        <w:rPr/>
        <w:t>AAA-rated</w:t>
      </w:r>
      <w:r>
        <w:rPr>
          <w:spacing w:val="-2"/>
        </w:rPr>
        <w:t> </w:t>
      </w:r>
      <w:r>
        <w:rPr/>
        <w:t>money</w:t>
      </w:r>
      <w:r>
        <w:rPr>
          <w:spacing w:val="-3"/>
        </w:rPr>
        <w:t> </w:t>
      </w:r>
      <w:r>
        <w:rPr/>
        <w:t>market</w:t>
      </w:r>
      <w:r>
        <w:rPr>
          <w:spacing w:val="-3"/>
        </w:rPr>
        <w:t> </w:t>
      </w:r>
      <w:r>
        <w:rPr/>
        <w:t>funds.</w:t>
      </w:r>
      <w:r>
        <w:rPr>
          <w:spacing w:val="-3"/>
        </w:rPr>
        <w:t> </w:t>
      </w:r>
      <w:r>
        <w:rPr/>
        <w:t>Our interest</w:t>
      </w:r>
      <w:r>
        <w:rPr>
          <w:spacing w:val="-2"/>
        </w:rPr>
        <w:t> </w:t>
      </w:r>
      <w:r>
        <w:rPr/>
        <w:t>income</w:t>
      </w:r>
      <w:r>
        <w:rPr>
          <w:spacing w:val="-2"/>
        </w:rPr>
        <w:t> </w:t>
      </w:r>
      <w:r>
        <w:rPr/>
        <w:t>corresponds</w:t>
      </w:r>
      <w:r>
        <w:rPr>
          <w:spacing w:val="-2"/>
        </w:rPr>
        <w:t> </w:t>
      </w:r>
      <w:r>
        <w:rPr/>
        <w:t>with</w:t>
      </w:r>
      <w:r>
        <w:rPr>
          <w:spacing w:val="-2"/>
        </w:rPr>
        <w:t> </w:t>
      </w:r>
      <w:r>
        <w:rPr/>
        <w:t>the</w:t>
      </w:r>
      <w:r>
        <w:rPr>
          <w:spacing w:val="-2"/>
        </w:rPr>
        <w:t> </w:t>
      </w:r>
      <w:r>
        <w:rPr/>
        <w:t>average</w:t>
      </w:r>
      <w:r>
        <w:rPr>
          <w:spacing w:val="-2"/>
        </w:rPr>
        <w:t> </w:t>
      </w:r>
      <w:r>
        <w:rPr/>
        <w:t>balance</w:t>
      </w:r>
      <w:r>
        <w:rPr>
          <w:spacing w:val="-2"/>
        </w:rPr>
        <w:t> </w:t>
      </w:r>
      <w:r>
        <w:rPr/>
        <w:t>of</w:t>
      </w:r>
      <w:r>
        <w:rPr>
          <w:spacing w:val="-2"/>
        </w:rPr>
        <w:t> </w:t>
      </w:r>
      <w:r>
        <w:rPr/>
        <w:t>invested</w:t>
      </w:r>
      <w:r>
        <w:rPr>
          <w:spacing w:val="-2"/>
        </w:rPr>
        <w:t> </w:t>
      </w:r>
      <w:r>
        <w:rPr/>
        <w:t>funds</w:t>
      </w:r>
      <w:r>
        <w:rPr>
          <w:spacing w:val="-2"/>
        </w:rPr>
        <w:t> </w:t>
      </w:r>
      <w:r>
        <w:rPr/>
        <w:t>based</w:t>
      </w:r>
      <w:r>
        <w:rPr>
          <w:spacing w:val="-2"/>
        </w:rPr>
        <w:t> </w:t>
      </w:r>
      <w:r>
        <w:rPr/>
        <w:t>on</w:t>
      </w:r>
      <w:r>
        <w:rPr>
          <w:spacing w:val="-2"/>
        </w:rPr>
        <w:t> </w:t>
      </w:r>
      <w:r>
        <w:rPr/>
        <w:t>the</w:t>
      </w:r>
      <w:r>
        <w:rPr>
          <w:spacing w:val="-2"/>
        </w:rPr>
        <w:t> </w:t>
      </w:r>
      <w:r>
        <w:rPr/>
        <w:t>prevailing</w:t>
      </w:r>
      <w:r>
        <w:rPr>
          <w:spacing w:val="-2"/>
        </w:rPr>
        <w:t> </w:t>
      </w:r>
      <w:r>
        <w:rPr/>
        <w:t>rates,</w:t>
      </w:r>
      <w:r>
        <w:rPr>
          <w:spacing w:val="-2"/>
        </w:rPr>
        <w:t> </w:t>
      </w:r>
      <w:r>
        <w:rPr/>
        <w:t>which</w:t>
      </w:r>
      <w:r>
        <w:rPr>
          <w:spacing w:val="-2"/>
        </w:rPr>
        <w:t> </w:t>
      </w:r>
      <w:r>
        <w:rPr/>
        <w:t>vary</w:t>
      </w:r>
      <w:r>
        <w:rPr>
          <w:spacing w:val="-2"/>
        </w:rPr>
        <w:t> </w:t>
      </w:r>
      <w:r>
        <w:rPr/>
        <w:t>depending</w:t>
      </w:r>
      <w:r>
        <w:rPr>
          <w:spacing w:val="-2"/>
        </w:rPr>
        <w:t> </w:t>
      </w:r>
      <w:r>
        <w:rPr/>
        <w:t>on</w:t>
      </w:r>
      <w:r>
        <w:rPr>
          <w:spacing w:val="-2"/>
        </w:rPr>
        <w:t> </w:t>
      </w:r>
      <w:r>
        <w:rPr/>
        <w:t>the</w:t>
      </w:r>
      <w:r>
        <w:rPr>
          <w:spacing w:val="-2"/>
        </w:rPr>
        <w:t> </w:t>
      </w:r>
      <w:r>
        <w:rPr/>
        <w:t>geographies</w:t>
      </w:r>
      <w:r>
        <w:rPr>
          <w:spacing w:val="-2"/>
        </w:rPr>
        <w:t> </w:t>
      </w:r>
      <w:r>
        <w:rPr/>
        <w:t>and</w:t>
      </w:r>
      <w:r>
        <w:rPr>
          <w:spacing w:val="-2"/>
        </w:rPr>
        <w:t> </w:t>
      </w:r>
      <w:r>
        <w:rPr/>
        <w:t>currencies in which they are invested.</w:t>
      </w:r>
    </w:p>
    <w:p>
      <w:pPr>
        <w:pStyle w:val="BodyText"/>
        <w:spacing w:line="249" w:lineRule="auto" w:before="84"/>
        <w:ind w:firstLine="445"/>
      </w:pPr>
      <w:r>
        <w:rPr/>
        <w:t>Interest</w:t>
      </w:r>
      <w:r>
        <w:rPr>
          <w:spacing w:val="-2"/>
        </w:rPr>
        <w:t> </w:t>
      </w:r>
      <w:r>
        <w:rPr/>
        <w:t>expense</w:t>
      </w:r>
      <w:r>
        <w:rPr>
          <w:spacing w:val="-2"/>
        </w:rPr>
        <w:t> </w:t>
      </w:r>
      <w:r>
        <w:rPr/>
        <w:t>was</w:t>
      </w:r>
      <w:r>
        <w:rPr>
          <w:spacing w:val="-2"/>
        </w:rPr>
        <w:t> </w:t>
      </w:r>
      <w:r>
        <w:rPr/>
        <w:t>$3.2</w:t>
      </w:r>
      <w:r>
        <w:rPr>
          <w:spacing w:val="-2"/>
        </w:rPr>
        <w:t> </w:t>
      </w:r>
      <w:r>
        <w:rPr/>
        <w:t>billion</w:t>
      </w:r>
      <w:r>
        <w:rPr>
          <w:spacing w:val="-2"/>
        </w:rPr>
        <w:t> </w:t>
      </w:r>
      <w:r>
        <w:rPr/>
        <w:t>and</w:t>
      </w:r>
      <w:r>
        <w:rPr>
          <w:spacing w:val="-2"/>
        </w:rPr>
        <w:t> </w:t>
      </w:r>
      <w:r>
        <w:rPr/>
        <w:t>$2.4</w:t>
      </w:r>
      <w:r>
        <w:rPr>
          <w:spacing w:val="-2"/>
        </w:rPr>
        <w:t> </w:t>
      </w:r>
      <w:r>
        <w:rPr/>
        <w:t>billion</w:t>
      </w:r>
      <w:r>
        <w:rPr>
          <w:spacing w:val="-2"/>
        </w:rPr>
        <w:t> </w:t>
      </w:r>
      <w:r>
        <w:rPr/>
        <w:t>in</w:t>
      </w:r>
      <w:r>
        <w:rPr>
          <w:spacing w:val="-2"/>
        </w:rPr>
        <w:t> </w:t>
      </w:r>
      <w:r>
        <w:rPr/>
        <w:t>2023</w:t>
      </w:r>
      <w:r>
        <w:rPr>
          <w:spacing w:val="-2"/>
        </w:rPr>
        <w:t> </w:t>
      </w:r>
      <w:r>
        <w:rPr/>
        <w:t>and</w:t>
      </w:r>
      <w:r>
        <w:rPr>
          <w:spacing w:val="-2"/>
        </w:rPr>
        <w:t> </w:t>
      </w:r>
      <w:r>
        <w:rPr/>
        <w:t>2024</w:t>
      </w:r>
      <w:r>
        <w:rPr>
          <w:spacing w:val="-2"/>
        </w:rPr>
        <w:t> </w:t>
      </w:r>
      <w:r>
        <w:rPr/>
        <w:t>and</w:t>
      </w:r>
      <w:r>
        <w:rPr>
          <w:spacing w:val="-2"/>
        </w:rPr>
        <w:t> </w:t>
      </w:r>
      <w:r>
        <w:rPr/>
        <w:t>was</w:t>
      </w:r>
      <w:r>
        <w:rPr>
          <w:spacing w:val="-2"/>
        </w:rPr>
        <w:t> </w:t>
      </w:r>
      <w:r>
        <w:rPr/>
        <w:t>primarily</w:t>
      </w:r>
      <w:r>
        <w:rPr>
          <w:spacing w:val="-2"/>
        </w:rPr>
        <w:t> </w:t>
      </w:r>
      <w:r>
        <w:rPr/>
        <w:t>related</w:t>
      </w:r>
      <w:r>
        <w:rPr>
          <w:spacing w:val="-2"/>
        </w:rPr>
        <w:t> </w:t>
      </w:r>
      <w:r>
        <w:rPr/>
        <w:t>to</w:t>
      </w:r>
      <w:r>
        <w:rPr>
          <w:spacing w:val="-2"/>
        </w:rPr>
        <w:t> </w:t>
      </w:r>
      <w:r>
        <w:rPr/>
        <w:t>debt</w:t>
      </w:r>
      <w:r>
        <w:rPr>
          <w:spacing w:val="-2"/>
        </w:rPr>
        <w:t> </w:t>
      </w:r>
      <w:r>
        <w:rPr/>
        <w:t>and</w:t>
      </w:r>
      <w:r>
        <w:rPr>
          <w:spacing w:val="-2"/>
        </w:rPr>
        <w:t> </w:t>
      </w:r>
      <w:r>
        <w:rPr/>
        <w:t>finance</w:t>
      </w:r>
      <w:r>
        <w:rPr>
          <w:spacing w:val="-2"/>
        </w:rPr>
        <w:t> </w:t>
      </w:r>
      <w:r>
        <w:rPr/>
        <w:t>leases.</w:t>
      </w:r>
      <w:r>
        <w:rPr>
          <w:spacing w:val="-2"/>
        </w:rPr>
        <w:t> </w:t>
      </w:r>
      <w:r>
        <w:rPr/>
        <w:t>See</w:t>
      </w:r>
      <w:r>
        <w:rPr>
          <w:spacing w:val="-2"/>
        </w:rPr>
        <w:t> </w:t>
      </w:r>
      <w:r>
        <w:rPr/>
        <w:t>Item</w:t>
      </w:r>
      <w:r>
        <w:rPr>
          <w:spacing w:val="-2"/>
        </w:rPr>
        <w:t> </w:t>
      </w:r>
      <w:r>
        <w:rPr/>
        <w:t>8</w:t>
      </w:r>
      <w:r>
        <w:rPr>
          <w:spacing w:val="-2"/>
        </w:rPr>
        <w:t> </w:t>
      </w:r>
      <w:r>
        <w:rPr/>
        <w:t>of</w:t>
      </w:r>
      <w:r>
        <w:rPr>
          <w:spacing w:val="-2"/>
        </w:rPr>
        <w:t> </w:t>
      </w:r>
      <w:r>
        <w:rPr/>
        <w:t>Part</w:t>
      </w:r>
      <w:r>
        <w:rPr>
          <w:spacing w:val="-2"/>
        </w:rPr>
        <w:t> </w:t>
      </w:r>
      <w:r>
        <w:rPr/>
        <w:t>II,</w:t>
      </w:r>
      <w:r>
        <w:rPr>
          <w:spacing w:val="-2"/>
        </w:rPr>
        <w:t> </w:t>
      </w:r>
      <w:r>
        <w:rPr/>
        <w:t>“Financial Statements and Supplementary Data — Note 4 — Leases and Note 6 — Debt” for additional information.</w:t>
      </w:r>
    </w:p>
    <w:p>
      <w:pPr>
        <w:pStyle w:val="BodyText"/>
        <w:spacing w:line="249" w:lineRule="auto" w:before="96"/>
        <w:ind w:firstLine="445"/>
      </w:pPr>
      <w:r>
        <w:rPr/>
        <w:t>Our long-term lease liabilities were $77.3 billion and $78.3 billion as of December 31, 2023 and 2024. Our long-term debt was $58.3 billion and $52.6 billion</w:t>
      </w:r>
      <w:r>
        <w:rPr>
          <w:spacing w:val="-2"/>
        </w:rPr>
        <w:t> </w:t>
      </w:r>
      <w:r>
        <w:rPr/>
        <w:t>as</w:t>
      </w:r>
      <w:r>
        <w:rPr>
          <w:spacing w:val="-2"/>
        </w:rPr>
        <w:t> </w:t>
      </w:r>
      <w:r>
        <w:rPr/>
        <w:t>of</w:t>
      </w:r>
      <w:r>
        <w:rPr>
          <w:spacing w:val="-2"/>
        </w:rPr>
        <w:t> </w:t>
      </w:r>
      <w:r>
        <w:rPr/>
        <w:t>December</w:t>
      </w:r>
      <w:r>
        <w:rPr>
          <w:spacing w:val="-2"/>
        </w:rPr>
        <w:t> </w:t>
      </w:r>
      <w:r>
        <w:rPr/>
        <w:t>31,</w:t>
      </w:r>
      <w:r>
        <w:rPr>
          <w:spacing w:val="-2"/>
        </w:rPr>
        <w:t> </w:t>
      </w:r>
      <w:r>
        <w:rPr/>
        <w:t>2023</w:t>
      </w:r>
      <w:r>
        <w:rPr>
          <w:spacing w:val="-2"/>
        </w:rPr>
        <w:t> </w:t>
      </w:r>
      <w:r>
        <w:rPr/>
        <w:t>and</w:t>
      </w:r>
      <w:r>
        <w:rPr>
          <w:spacing w:val="-2"/>
        </w:rPr>
        <w:t> </w:t>
      </w:r>
      <w:r>
        <w:rPr/>
        <w:t>2024.</w:t>
      </w:r>
      <w:r>
        <w:rPr>
          <w:spacing w:val="-2"/>
        </w:rPr>
        <w:t> </w:t>
      </w:r>
      <w:r>
        <w:rPr/>
        <w:t>See</w:t>
      </w:r>
      <w:r>
        <w:rPr>
          <w:spacing w:val="-2"/>
        </w:rPr>
        <w:t> </w:t>
      </w:r>
      <w:r>
        <w:rPr/>
        <w:t>Item</w:t>
      </w:r>
      <w:r>
        <w:rPr>
          <w:spacing w:val="-2"/>
        </w:rPr>
        <w:t> </w:t>
      </w:r>
      <w:r>
        <w:rPr/>
        <w:t>8</w:t>
      </w:r>
      <w:r>
        <w:rPr>
          <w:spacing w:val="-2"/>
        </w:rPr>
        <w:t> </w:t>
      </w:r>
      <w:r>
        <w:rPr/>
        <w:t>of</w:t>
      </w:r>
      <w:r>
        <w:rPr>
          <w:spacing w:val="-2"/>
        </w:rPr>
        <w:t> </w:t>
      </w:r>
      <w:r>
        <w:rPr/>
        <w:t>Part</w:t>
      </w:r>
      <w:r>
        <w:rPr>
          <w:spacing w:val="-2"/>
        </w:rPr>
        <w:t> </w:t>
      </w:r>
      <w:r>
        <w:rPr/>
        <w:t>II,</w:t>
      </w:r>
      <w:r>
        <w:rPr>
          <w:spacing w:val="-2"/>
        </w:rPr>
        <w:t> </w:t>
      </w:r>
      <w:r>
        <w:rPr/>
        <w:t>“Financial</w:t>
      </w:r>
      <w:r>
        <w:rPr>
          <w:spacing w:val="-2"/>
        </w:rPr>
        <w:t> </w:t>
      </w:r>
      <w:r>
        <w:rPr/>
        <w:t>Statements</w:t>
      </w:r>
      <w:r>
        <w:rPr>
          <w:spacing w:val="-2"/>
        </w:rPr>
        <w:t> </w:t>
      </w:r>
      <w:r>
        <w:rPr/>
        <w:t>and</w:t>
      </w:r>
      <w:r>
        <w:rPr>
          <w:spacing w:val="-2"/>
        </w:rPr>
        <w:t> </w:t>
      </w:r>
      <w:r>
        <w:rPr/>
        <w:t>Supplementary</w:t>
      </w:r>
      <w:r>
        <w:rPr>
          <w:spacing w:val="-2"/>
        </w:rPr>
        <w:t> </w:t>
      </w:r>
      <w:r>
        <w:rPr/>
        <w:t>Data</w:t>
      </w:r>
      <w:r>
        <w:rPr>
          <w:spacing w:val="-2"/>
        </w:rPr>
        <w:t> </w:t>
      </w:r>
      <w:r>
        <w:rPr/>
        <w:t>—</w:t>
      </w:r>
      <w:r>
        <w:rPr>
          <w:spacing w:val="-2"/>
        </w:rPr>
        <w:t> </w:t>
      </w:r>
      <w:r>
        <w:rPr/>
        <w:t>Note</w:t>
      </w:r>
      <w:r>
        <w:rPr>
          <w:spacing w:val="-2"/>
        </w:rPr>
        <w:t> </w:t>
      </w:r>
      <w:r>
        <w:rPr/>
        <w:t>4</w:t>
      </w:r>
      <w:r>
        <w:rPr>
          <w:spacing w:val="-2"/>
        </w:rPr>
        <w:t> </w:t>
      </w:r>
      <w:r>
        <w:rPr/>
        <w:t>—</w:t>
      </w:r>
      <w:r>
        <w:rPr>
          <w:spacing w:val="-2"/>
        </w:rPr>
        <w:t> </w:t>
      </w:r>
      <w:r>
        <w:rPr/>
        <w:t>Leases</w:t>
      </w:r>
      <w:r>
        <w:rPr>
          <w:spacing w:val="-2"/>
        </w:rPr>
        <w:t> </w:t>
      </w:r>
      <w:r>
        <w:rPr/>
        <w:t>and</w:t>
      </w:r>
      <w:r>
        <w:rPr>
          <w:spacing w:val="-2"/>
        </w:rPr>
        <w:t> </w:t>
      </w:r>
      <w:r>
        <w:rPr/>
        <w:t>Note</w:t>
      </w:r>
      <w:r>
        <w:rPr>
          <w:spacing w:val="-2"/>
        </w:rPr>
        <w:t> </w:t>
      </w:r>
      <w:r>
        <w:rPr/>
        <w:t>6</w:t>
      </w:r>
      <w:r>
        <w:rPr>
          <w:spacing w:val="-2"/>
        </w:rPr>
        <w:t> </w:t>
      </w:r>
      <w:r>
        <w:rPr/>
        <w:t>—</w:t>
      </w:r>
      <w:r>
        <w:rPr>
          <w:spacing w:val="-2"/>
        </w:rPr>
        <w:t> </w:t>
      </w:r>
      <w:r>
        <w:rPr/>
        <w:t>Debt”</w:t>
      </w:r>
      <w:r>
        <w:rPr>
          <w:spacing w:val="-2"/>
        </w:rPr>
        <w:t> </w:t>
      </w:r>
      <w:r>
        <w:rPr/>
        <w:t>for additional information.</w:t>
      </w:r>
    </w:p>
    <w:p>
      <w:pPr>
        <w:pStyle w:val="BodyText"/>
        <w:spacing w:before="51"/>
        <w:ind w:left="0"/>
      </w:pPr>
    </w:p>
    <w:p>
      <w:pPr>
        <w:spacing w:before="1"/>
        <w:ind w:left="206" w:right="0" w:firstLine="0"/>
        <w:jc w:val="left"/>
        <w:rPr>
          <w:i/>
          <w:sz w:val="18"/>
        </w:rPr>
      </w:pPr>
      <w:r>
        <w:rPr>
          <w:i/>
          <w:sz w:val="18"/>
        </w:rPr>
        <w:t>Other</w:t>
      </w:r>
      <w:r>
        <w:rPr>
          <w:i/>
          <w:spacing w:val="-1"/>
          <w:sz w:val="18"/>
        </w:rPr>
        <w:t> </w:t>
      </w:r>
      <w:r>
        <w:rPr>
          <w:i/>
          <w:sz w:val="18"/>
        </w:rPr>
        <w:t>Income</w:t>
      </w:r>
      <w:r>
        <w:rPr>
          <w:i/>
          <w:spacing w:val="-1"/>
          <w:sz w:val="18"/>
        </w:rPr>
        <w:t> </w:t>
      </w:r>
      <w:r>
        <w:rPr>
          <w:i/>
          <w:sz w:val="18"/>
        </w:rPr>
        <w:t>(Expense),</w:t>
      </w:r>
      <w:r>
        <w:rPr>
          <w:i/>
          <w:spacing w:val="-1"/>
          <w:sz w:val="18"/>
        </w:rPr>
        <w:t> </w:t>
      </w:r>
      <w:r>
        <w:rPr>
          <w:i/>
          <w:spacing w:val="-5"/>
          <w:sz w:val="18"/>
        </w:rPr>
        <w:t>Net</w:t>
      </w:r>
    </w:p>
    <w:p>
      <w:pPr>
        <w:pStyle w:val="BodyText"/>
        <w:spacing w:line="249" w:lineRule="auto" w:before="90"/>
        <w:ind w:firstLine="445"/>
      </w:pPr>
      <w:r>
        <w:rPr/>
        <w:t>Other income (expense), net was $938 million and $(2.3) billion during 2023 and 2024. The primary components of other income (expense), net are related</w:t>
      </w:r>
      <w:r>
        <w:rPr>
          <w:spacing w:val="-3"/>
        </w:rPr>
        <w:t> </w:t>
      </w:r>
      <w:r>
        <w:rPr/>
        <w:t>to</w:t>
      </w:r>
      <w:r>
        <w:rPr>
          <w:spacing w:val="-3"/>
        </w:rPr>
        <w:t> </w:t>
      </w:r>
      <w:r>
        <w:rPr/>
        <w:t>equity</w:t>
      </w:r>
      <w:r>
        <w:rPr>
          <w:spacing w:val="-3"/>
        </w:rPr>
        <w:t> </w:t>
      </w:r>
      <w:r>
        <w:rPr/>
        <w:t>securities</w:t>
      </w:r>
      <w:r>
        <w:rPr>
          <w:spacing w:val="-3"/>
        </w:rPr>
        <w:t> </w:t>
      </w:r>
      <w:r>
        <w:rPr/>
        <w:t>valuations</w:t>
      </w:r>
      <w:r>
        <w:rPr>
          <w:spacing w:val="-3"/>
        </w:rPr>
        <w:t> </w:t>
      </w:r>
      <w:r>
        <w:rPr/>
        <w:t>and</w:t>
      </w:r>
      <w:r>
        <w:rPr>
          <w:spacing w:val="-3"/>
        </w:rPr>
        <w:t> </w:t>
      </w:r>
      <w:r>
        <w:rPr/>
        <w:t>adjustments,</w:t>
      </w:r>
      <w:r>
        <w:rPr>
          <w:spacing w:val="-3"/>
        </w:rPr>
        <w:t> </w:t>
      </w:r>
      <w:r>
        <w:rPr/>
        <w:t>equity</w:t>
      </w:r>
      <w:r>
        <w:rPr>
          <w:spacing w:val="-3"/>
        </w:rPr>
        <w:t> </w:t>
      </w:r>
      <w:r>
        <w:rPr/>
        <w:t>warrant</w:t>
      </w:r>
      <w:r>
        <w:rPr>
          <w:spacing w:val="-3"/>
        </w:rPr>
        <w:t> </w:t>
      </w:r>
      <w:r>
        <w:rPr/>
        <w:t>valuations,</w:t>
      </w:r>
      <w:r>
        <w:rPr>
          <w:spacing w:val="-3"/>
        </w:rPr>
        <w:t> </w:t>
      </w:r>
      <w:r>
        <w:rPr/>
        <w:t>and</w:t>
      </w:r>
      <w:r>
        <w:rPr>
          <w:spacing w:val="-3"/>
        </w:rPr>
        <w:t> </w:t>
      </w:r>
      <w:r>
        <w:rPr/>
        <w:t>foreign</w:t>
      </w:r>
      <w:r>
        <w:rPr>
          <w:spacing w:val="-3"/>
        </w:rPr>
        <w:t> </w:t>
      </w:r>
      <w:r>
        <w:rPr/>
        <w:t>currency.</w:t>
      </w:r>
      <w:r>
        <w:rPr>
          <w:spacing w:val="-3"/>
        </w:rPr>
        <w:t> </w:t>
      </w:r>
      <w:r>
        <w:rPr/>
        <w:t>Included</w:t>
      </w:r>
      <w:r>
        <w:rPr>
          <w:spacing w:val="-3"/>
        </w:rPr>
        <w:t> </w:t>
      </w:r>
      <w:r>
        <w:rPr/>
        <w:t>in</w:t>
      </w:r>
      <w:r>
        <w:rPr>
          <w:spacing w:val="-3"/>
        </w:rPr>
        <w:t> </w:t>
      </w:r>
      <w:r>
        <w:rPr/>
        <w:t>other</w:t>
      </w:r>
      <w:r>
        <w:rPr>
          <w:spacing w:val="-3"/>
        </w:rPr>
        <w:t> </w:t>
      </w:r>
      <w:r>
        <w:rPr/>
        <w:t>income</w:t>
      </w:r>
      <w:r>
        <w:rPr>
          <w:spacing w:val="-3"/>
        </w:rPr>
        <w:t> </w:t>
      </w:r>
      <w:r>
        <w:rPr/>
        <w:t>(expense),</w:t>
      </w:r>
      <w:r>
        <w:rPr>
          <w:spacing w:val="-3"/>
        </w:rPr>
        <w:t> </w:t>
      </w:r>
      <w:r>
        <w:rPr/>
        <w:t>net</w:t>
      </w:r>
      <w:r>
        <w:rPr>
          <w:spacing w:val="-3"/>
        </w:rPr>
        <w:t> </w:t>
      </w:r>
      <w:r>
        <w:rPr/>
        <w:t>in</w:t>
      </w:r>
      <w:r>
        <w:rPr>
          <w:spacing w:val="-3"/>
        </w:rPr>
        <w:t> </w:t>
      </w:r>
      <w:r>
        <w:rPr/>
        <w:t>2023</w:t>
      </w:r>
      <w:r>
        <w:rPr>
          <w:spacing w:val="-3"/>
        </w:rPr>
        <w:t> </w:t>
      </w:r>
      <w:r>
        <w:rPr/>
        <w:t>and 2024 is a marketable equity securities valuation gain (loss) of $797 million and $(1.6) billion from our equity investment in Rivian.</w:t>
      </w:r>
    </w:p>
    <w:p>
      <w:pPr>
        <w:pStyle w:val="BodyText"/>
        <w:ind w:left="0"/>
      </w:pPr>
    </w:p>
    <w:p>
      <w:pPr>
        <w:pStyle w:val="BodyText"/>
        <w:spacing w:before="141"/>
        <w:ind w:left="0"/>
      </w:pPr>
    </w:p>
    <w:p>
      <w:pPr>
        <w:pStyle w:val="BodyText"/>
        <w:jc w:val="center"/>
      </w:pPr>
      <w:r>
        <w:rPr/>
        <mc:AlternateContent>
          <mc:Choice Requires="wps">
            <w:drawing>
              <wp:anchor distT="0" distB="0" distL="0" distR="0" allowOverlap="1" layoutInCell="1" locked="0" behindDoc="0" simplePos="0" relativeHeight="15737344">
                <wp:simplePos x="0" y="0"/>
                <wp:positionH relativeFrom="page">
                  <wp:posOffset>231457</wp:posOffset>
                </wp:positionH>
                <wp:positionV relativeFrom="paragraph">
                  <wp:posOffset>201493</wp:posOffset>
                </wp:positionV>
                <wp:extent cx="7312659" cy="1714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7312659" cy="17145"/>
                          <a:chExt cx="7312659" cy="17145"/>
                        </a:xfrm>
                      </wpg:grpSpPr>
                      <wps:wsp>
                        <wps:cNvPr id="48" name="Graphic 4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9" name="Graphic 49"/>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0" name="Graphic 5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65591pt;width:575.8pt;height:1.35pt;mso-position-horizontal-relative:page;mso-position-vertical-relative:paragraph;z-index:15737344" id="docshapegroup47" coordorigin="364,317" coordsize="11516,27">
                <v:rect style="position:absolute;left:364;top:317;width:11516;height:14" id="docshape48" filled="true" fillcolor="#999999" stroked="false">
                  <v:fill type="solid"/>
                </v:rect>
                <v:shape style="position:absolute;left:364;top:317;width:11516;height:27" id="docshape49" coordorigin="364,317" coordsize="11516,27" path="m11880,317l11866,331,364,331,364,344,11866,344,11880,344,11880,331,11880,317xe" filled="true" fillcolor="#ededed" stroked="false">
                  <v:path arrowok="t"/>
                  <v:fill type="solid"/>
                </v:shape>
                <v:shape style="position:absolute;left:364;top:317;width:14;height:27" id="docshape50" coordorigin="364,317" coordsize="14,27" path="m364,344l364,317,378,317,378,331,364,344xe" filled="true" fillcolor="#999999" stroked="false">
                  <v:path arrowok="t"/>
                  <v:fill type="solid"/>
                </v:shape>
                <w10:wrap type="none"/>
              </v:group>
            </w:pict>
          </mc:Fallback>
        </mc:AlternateContent>
      </w:r>
      <w:r>
        <w:rPr>
          <w:spacing w:val="-5"/>
        </w:rPr>
        <w:t>27</w:t>
      </w:r>
    </w:p>
    <w:p>
      <w:pPr>
        <w:pStyle w:val="BodyText"/>
        <w:spacing w:after="0"/>
        <w:jc w:val="center"/>
        <w:sectPr>
          <w:pgSz w:w="12240" w:h="15840"/>
          <w:pgMar w:header="460" w:footer="0" w:top="1180" w:bottom="280" w:left="360" w:right="360"/>
        </w:sectPr>
      </w:pPr>
    </w:p>
    <w:p>
      <w:pPr>
        <w:pStyle w:val="BodyText"/>
        <w:spacing w:before="64"/>
        <w:ind w:left="0"/>
      </w:pPr>
    </w:p>
    <w:p>
      <w:pPr>
        <w:spacing w:before="0"/>
        <w:ind w:left="206" w:right="0" w:firstLine="0"/>
        <w:jc w:val="left"/>
        <w:rPr>
          <w:i/>
          <w:sz w:val="18"/>
        </w:rPr>
      </w:pPr>
      <w:r>
        <w:rPr>
          <w:i/>
          <w:sz w:val="18"/>
        </w:rPr>
        <w:t>Income</w:t>
      </w:r>
      <w:r>
        <w:rPr>
          <w:i/>
          <w:spacing w:val="-1"/>
          <w:sz w:val="18"/>
        </w:rPr>
        <w:t> </w:t>
      </w:r>
      <w:r>
        <w:rPr>
          <w:i/>
          <w:spacing w:val="-2"/>
          <w:sz w:val="18"/>
        </w:rPr>
        <w:t>Taxes</w:t>
      </w:r>
    </w:p>
    <w:p>
      <w:pPr>
        <w:pStyle w:val="BodyText"/>
        <w:spacing w:line="249" w:lineRule="auto" w:before="104"/>
        <w:ind w:firstLine="445"/>
      </w:pPr>
      <w:r>
        <w:rPr/>
        <w:t>Our</w:t>
      </w:r>
      <w:r>
        <w:rPr>
          <w:spacing w:val="-2"/>
        </w:rPr>
        <w:t> </w:t>
      </w:r>
      <w:r>
        <w:rPr/>
        <w:t>effective</w:t>
      </w:r>
      <w:r>
        <w:rPr>
          <w:spacing w:val="-2"/>
        </w:rPr>
        <w:t> </w:t>
      </w:r>
      <w:r>
        <w:rPr/>
        <w:t>tax</w:t>
      </w:r>
      <w:r>
        <w:rPr>
          <w:spacing w:val="-2"/>
        </w:rPr>
        <w:t> </w:t>
      </w:r>
      <w:r>
        <w:rPr/>
        <w:t>rate</w:t>
      </w:r>
      <w:r>
        <w:rPr>
          <w:spacing w:val="-2"/>
        </w:rPr>
        <w:t> </w:t>
      </w:r>
      <w:r>
        <w:rPr/>
        <w:t>is</w:t>
      </w:r>
      <w:r>
        <w:rPr>
          <w:spacing w:val="-2"/>
        </w:rPr>
        <w:t> </w:t>
      </w:r>
      <w:r>
        <w:rPr/>
        <w:t>subject</w:t>
      </w:r>
      <w:r>
        <w:rPr>
          <w:spacing w:val="-2"/>
        </w:rPr>
        <w:t> </w:t>
      </w:r>
      <w:r>
        <w:rPr/>
        <w:t>to</w:t>
      </w:r>
      <w:r>
        <w:rPr>
          <w:spacing w:val="-2"/>
        </w:rPr>
        <w:t> </w:t>
      </w:r>
      <w:r>
        <w:rPr/>
        <w:t>significant</w:t>
      </w:r>
      <w:r>
        <w:rPr>
          <w:spacing w:val="-2"/>
        </w:rPr>
        <w:t> </w:t>
      </w:r>
      <w:r>
        <w:rPr/>
        <w:t>variation</w:t>
      </w:r>
      <w:r>
        <w:rPr>
          <w:spacing w:val="-2"/>
        </w:rPr>
        <w:t> </w:t>
      </w:r>
      <w:r>
        <w:rPr/>
        <w:t>due</w:t>
      </w:r>
      <w:r>
        <w:rPr>
          <w:spacing w:val="-2"/>
        </w:rPr>
        <w:t> </w:t>
      </w:r>
      <w:r>
        <w:rPr/>
        <w:t>to</w:t>
      </w:r>
      <w:r>
        <w:rPr>
          <w:spacing w:val="-2"/>
        </w:rPr>
        <w:t> </w:t>
      </w:r>
      <w:r>
        <w:rPr/>
        <w:t>several</w:t>
      </w:r>
      <w:r>
        <w:rPr>
          <w:spacing w:val="-2"/>
        </w:rPr>
        <w:t> </w:t>
      </w:r>
      <w:r>
        <w:rPr/>
        <w:t>factors,</w:t>
      </w:r>
      <w:r>
        <w:rPr>
          <w:spacing w:val="-2"/>
        </w:rPr>
        <w:t> </w:t>
      </w:r>
      <w:r>
        <w:rPr/>
        <w:t>including</w:t>
      </w:r>
      <w:r>
        <w:rPr>
          <w:spacing w:val="-2"/>
        </w:rPr>
        <w:t> </w:t>
      </w:r>
      <w:r>
        <w:rPr/>
        <w:t>variability</w:t>
      </w:r>
      <w:r>
        <w:rPr>
          <w:spacing w:val="-2"/>
        </w:rPr>
        <w:t> </w:t>
      </w:r>
      <w:r>
        <w:rPr/>
        <w:t>in</w:t>
      </w:r>
      <w:r>
        <w:rPr>
          <w:spacing w:val="-2"/>
        </w:rPr>
        <w:t> </w:t>
      </w:r>
      <w:r>
        <w:rPr/>
        <w:t>our</w:t>
      </w:r>
      <w:r>
        <w:rPr>
          <w:spacing w:val="-2"/>
        </w:rPr>
        <w:t> </w:t>
      </w:r>
      <w:r>
        <w:rPr/>
        <w:t>pre-tax</w:t>
      </w:r>
      <w:r>
        <w:rPr>
          <w:spacing w:val="-2"/>
        </w:rPr>
        <w:t> </w:t>
      </w:r>
      <w:r>
        <w:rPr/>
        <w:t>and</w:t>
      </w:r>
      <w:r>
        <w:rPr>
          <w:spacing w:val="-2"/>
        </w:rPr>
        <w:t> </w:t>
      </w:r>
      <w:r>
        <w:rPr/>
        <w:t>taxable</w:t>
      </w:r>
      <w:r>
        <w:rPr>
          <w:spacing w:val="-2"/>
        </w:rPr>
        <w:t> </w:t>
      </w:r>
      <w:r>
        <w:rPr/>
        <w:t>income</w:t>
      </w:r>
      <w:r>
        <w:rPr>
          <w:spacing w:val="-2"/>
        </w:rPr>
        <w:t> </w:t>
      </w:r>
      <w:r>
        <w:rPr/>
        <w:t>and</w:t>
      </w:r>
      <w:r>
        <w:rPr>
          <w:spacing w:val="-2"/>
        </w:rPr>
        <w:t> </w:t>
      </w:r>
      <w:r>
        <w:rPr/>
        <w:t>loss</w:t>
      </w:r>
      <w:r>
        <w:rPr>
          <w:spacing w:val="-2"/>
        </w:rPr>
        <w:t> </w:t>
      </w:r>
      <w:r>
        <w:rPr/>
        <w:t>and</w:t>
      </w:r>
      <w:r>
        <w:rPr>
          <w:spacing w:val="-2"/>
        </w:rPr>
        <w:t> </w:t>
      </w:r>
      <w:r>
        <w:rPr/>
        <w:t>the</w:t>
      </w:r>
      <w:r>
        <w:rPr>
          <w:spacing w:val="-2"/>
        </w:rPr>
        <w:t> </w:t>
      </w:r>
      <w:r>
        <w:rPr/>
        <w:t>mix of jurisdictions to which they relate, intercompany transactions, the applicability of special tax regimes, changes in how we do business, acquisitions, investments, developments in tax controversies, changes in our stock price, changes in our deferred tax assets and liabilities and their valuation, foreign currency gains (losses), changes in statutes, regulations, case law, and administrative practices, principles, and interpretations related to tax, including changes to the global tax framework, competition, and other laws and accounting rules in various jurisdictions, and relative changes of expenses or losses for which tax benefits are not recognized. Our effective tax rate can be more or less volatile based on the amount of pre-tax income or loss. For example, the impact of discrete items and non-deductible expenses on our effective tax rate is greater when our pre-tax income is lower. In addition, we record valuation allowances against deferred tax assets when there is uncertainty about our ability to generate future income in relevant jurisdictions.</w:t>
      </w:r>
    </w:p>
    <w:p>
      <w:pPr>
        <w:pStyle w:val="BodyText"/>
        <w:spacing w:line="249" w:lineRule="auto" w:before="86"/>
        <w:ind w:firstLine="445"/>
      </w:pPr>
      <w:r>
        <w:rPr/>
        <w:t>We</w:t>
      </w:r>
      <w:r>
        <w:rPr>
          <w:spacing w:val="-3"/>
        </w:rPr>
        <w:t> </w:t>
      </w:r>
      <w:r>
        <w:rPr/>
        <w:t>recorded</w:t>
      </w:r>
      <w:r>
        <w:rPr>
          <w:spacing w:val="-3"/>
        </w:rPr>
        <w:t> </w:t>
      </w:r>
      <w:r>
        <w:rPr/>
        <w:t>a</w:t>
      </w:r>
      <w:r>
        <w:rPr>
          <w:spacing w:val="-3"/>
        </w:rPr>
        <w:t> </w:t>
      </w:r>
      <w:r>
        <w:rPr/>
        <w:t>provision</w:t>
      </w:r>
      <w:r>
        <w:rPr>
          <w:spacing w:val="-3"/>
        </w:rPr>
        <w:t> </w:t>
      </w:r>
      <w:r>
        <w:rPr/>
        <w:t>(benefit)</w:t>
      </w:r>
      <w:r>
        <w:rPr>
          <w:spacing w:val="-3"/>
        </w:rPr>
        <w:t> </w:t>
      </w:r>
      <w:r>
        <w:rPr/>
        <w:t>for</w:t>
      </w:r>
      <w:r>
        <w:rPr>
          <w:spacing w:val="-3"/>
        </w:rPr>
        <w:t> </w:t>
      </w:r>
      <w:r>
        <w:rPr/>
        <w:t>income</w:t>
      </w:r>
      <w:r>
        <w:rPr>
          <w:spacing w:val="-3"/>
        </w:rPr>
        <w:t> </w:t>
      </w:r>
      <w:r>
        <w:rPr/>
        <w:t>taxes</w:t>
      </w:r>
      <w:r>
        <w:rPr>
          <w:spacing w:val="-3"/>
        </w:rPr>
        <w:t> </w:t>
      </w:r>
      <w:r>
        <w:rPr/>
        <w:t>of</w:t>
      </w:r>
      <w:r>
        <w:rPr>
          <w:spacing w:val="-3"/>
        </w:rPr>
        <w:t> </w:t>
      </w:r>
      <w:r>
        <w:rPr/>
        <w:t>$7.1</w:t>
      </w:r>
      <w:r>
        <w:rPr>
          <w:spacing w:val="-3"/>
        </w:rPr>
        <w:t> </w:t>
      </w:r>
      <w:r>
        <w:rPr/>
        <w:t>billion</w:t>
      </w:r>
      <w:r>
        <w:rPr>
          <w:spacing w:val="-3"/>
        </w:rPr>
        <w:t> </w:t>
      </w:r>
      <w:r>
        <w:rPr/>
        <w:t>and</w:t>
      </w:r>
      <w:r>
        <w:rPr>
          <w:spacing w:val="-3"/>
        </w:rPr>
        <w:t> </w:t>
      </w:r>
      <w:r>
        <w:rPr/>
        <w:t>$9.3</w:t>
      </w:r>
      <w:r>
        <w:rPr>
          <w:spacing w:val="-3"/>
        </w:rPr>
        <w:t> </w:t>
      </w:r>
      <w:r>
        <w:rPr/>
        <w:t>billion</w:t>
      </w:r>
      <w:r>
        <w:rPr>
          <w:spacing w:val="-3"/>
        </w:rPr>
        <w:t> </w:t>
      </w:r>
      <w:r>
        <w:rPr/>
        <w:t>in</w:t>
      </w:r>
      <w:r>
        <w:rPr>
          <w:spacing w:val="-3"/>
        </w:rPr>
        <w:t> </w:t>
      </w:r>
      <w:r>
        <w:rPr/>
        <w:t>2023</w:t>
      </w:r>
      <w:r>
        <w:rPr>
          <w:spacing w:val="-3"/>
        </w:rPr>
        <w:t> </w:t>
      </w:r>
      <w:r>
        <w:rPr/>
        <w:t>and</w:t>
      </w:r>
      <w:r>
        <w:rPr>
          <w:spacing w:val="-3"/>
        </w:rPr>
        <w:t> </w:t>
      </w:r>
      <w:r>
        <w:rPr/>
        <w:t>2024.</w:t>
      </w:r>
      <w:r>
        <w:rPr>
          <w:spacing w:val="-3"/>
        </w:rPr>
        <w:t> </w:t>
      </w:r>
      <w:r>
        <w:rPr/>
        <w:t>See</w:t>
      </w:r>
      <w:r>
        <w:rPr>
          <w:spacing w:val="-3"/>
        </w:rPr>
        <w:t> </w:t>
      </w:r>
      <w:r>
        <w:rPr/>
        <w:t>Item</w:t>
      </w:r>
      <w:r>
        <w:rPr>
          <w:spacing w:val="-3"/>
        </w:rPr>
        <w:t> </w:t>
      </w:r>
      <w:r>
        <w:rPr/>
        <w:t>8</w:t>
      </w:r>
      <w:r>
        <w:rPr>
          <w:spacing w:val="-3"/>
        </w:rPr>
        <w:t> </w:t>
      </w:r>
      <w:r>
        <w:rPr/>
        <w:t>of</w:t>
      </w:r>
      <w:r>
        <w:rPr>
          <w:spacing w:val="-3"/>
        </w:rPr>
        <w:t> </w:t>
      </w:r>
      <w:r>
        <w:rPr/>
        <w:t>Part</w:t>
      </w:r>
      <w:r>
        <w:rPr>
          <w:spacing w:val="-3"/>
        </w:rPr>
        <w:t> </w:t>
      </w:r>
      <w:r>
        <w:rPr/>
        <w:t>II,</w:t>
      </w:r>
      <w:r>
        <w:rPr>
          <w:spacing w:val="-3"/>
        </w:rPr>
        <w:t> </w:t>
      </w:r>
      <w:r>
        <w:rPr/>
        <w:t>“Financial</w:t>
      </w:r>
      <w:r>
        <w:rPr>
          <w:spacing w:val="-3"/>
        </w:rPr>
        <w:t> </w:t>
      </w:r>
      <w:r>
        <w:rPr/>
        <w:t>Statements</w:t>
      </w:r>
      <w:r>
        <w:rPr>
          <w:spacing w:val="-3"/>
        </w:rPr>
        <w:t> </w:t>
      </w:r>
      <w:r>
        <w:rPr/>
        <w:t>and Supplementary Data — Note 9 — Income Taxes” for additional information.</w:t>
      </w:r>
    </w:p>
    <w:p>
      <w:pPr>
        <w:pStyle w:val="BodyText"/>
        <w:spacing w:before="51"/>
        <w:ind w:left="0"/>
      </w:pPr>
    </w:p>
    <w:p>
      <w:pPr>
        <w:pStyle w:val="Heading2"/>
      </w:pPr>
      <w:r>
        <w:rPr/>
        <w:t>Non-GAAP</w:t>
      </w:r>
      <w:r>
        <w:rPr>
          <w:spacing w:val="-9"/>
        </w:rPr>
        <w:t> </w:t>
      </w:r>
      <w:r>
        <w:rPr/>
        <w:t>Financial</w:t>
      </w:r>
      <w:r>
        <w:rPr>
          <w:spacing w:val="-1"/>
        </w:rPr>
        <w:t> </w:t>
      </w:r>
      <w:r>
        <w:rPr>
          <w:spacing w:val="-2"/>
        </w:rPr>
        <w:t>Measures</w:t>
      </w:r>
    </w:p>
    <w:p>
      <w:pPr>
        <w:pStyle w:val="BodyText"/>
        <w:spacing w:line="249" w:lineRule="auto" w:before="104"/>
        <w:ind w:right="175" w:firstLine="445"/>
      </w:pPr>
      <w:r>
        <w:rPr/>
        <w:t>Regulation G, Conditions for Use of Non-GAAP</w:t>
      </w:r>
      <w:r>
        <w:rPr>
          <w:spacing w:val="-4"/>
        </w:rPr>
        <w:t> </w:t>
      </w:r>
      <w:r>
        <w:rPr/>
        <w:t>Financial Measures, and other SEC regulations define and prescribe the conditions for use of certain non-GAAP</w:t>
      </w:r>
      <w:r>
        <w:rPr>
          <w:spacing w:val="-8"/>
        </w:rPr>
        <w:t> </w:t>
      </w:r>
      <w:r>
        <w:rPr/>
        <w:t>financial</w:t>
      </w:r>
      <w:r>
        <w:rPr>
          <w:spacing w:val="-3"/>
        </w:rPr>
        <w:t> </w:t>
      </w:r>
      <w:r>
        <w:rPr/>
        <w:t>information.</w:t>
      </w:r>
      <w:r>
        <w:rPr>
          <w:spacing w:val="-3"/>
        </w:rPr>
        <w:t> </w:t>
      </w:r>
      <w:r>
        <w:rPr/>
        <w:t>Our</w:t>
      </w:r>
      <w:r>
        <w:rPr>
          <w:spacing w:val="-3"/>
        </w:rPr>
        <w:t> </w:t>
      </w:r>
      <w:r>
        <w:rPr/>
        <w:t>measures</w:t>
      </w:r>
      <w:r>
        <w:rPr>
          <w:spacing w:val="-3"/>
        </w:rPr>
        <w:t> </w:t>
      </w:r>
      <w:r>
        <w:rPr/>
        <w:t>of</w:t>
      </w:r>
      <w:r>
        <w:rPr>
          <w:spacing w:val="-3"/>
        </w:rPr>
        <w:t> </w:t>
      </w:r>
      <w:r>
        <w:rPr/>
        <w:t>free</w:t>
      </w:r>
      <w:r>
        <w:rPr>
          <w:spacing w:val="-3"/>
        </w:rPr>
        <w:t> </w:t>
      </w:r>
      <w:r>
        <w:rPr/>
        <w:t>cash</w:t>
      </w:r>
      <w:r>
        <w:rPr>
          <w:spacing w:val="-3"/>
        </w:rPr>
        <w:t> </w:t>
      </w:r>
      <w:r>
        <w:rPr/>
        <w:t>flows</w:t>
      </w:r>
      <w:r>
        <w:rPr>
          <w:spacing w:val="-3"/>
        </w:rPr>
        <w:t> </w:t>
      </w:r>
      <w:r>
        <w:rPr/>
        <w:t>and</w:t>
      </w:r>
      <w:r>
        <w:rPr>
          <w:spacing w:val="-3"/>
        </w:rPr>
        <w:t> </w:t>
      </w:r>
      <w:r>
        <w:rPr/>
        <w:t>the</w:t>
      </w:r>
      <w:r>
        <w:rPr>
          <w:spacing w:val="-3"/>
        </w:rPr>
        <w:t> </w:t>
      </w:r>
      <w:r>
        <w:rPr/>
        <w:t>effect</w:t>
      </w:r>
      <w:r>
        <w:rPr>
          <w:spacing w:val="-3"/>
        </w:rPr>
        <w:t> </w:t>
      </w:r>
      <w:r>
        <w:rPr/>
        <w:t>of</w:t>
      </w:r>
      <w:r>
        <w:rPr>
          <w:spacing w:val="-3"/>
        </w:rPr>
        <w:t> </w:t>
      </w:r>
      <w:r>
        <w:rPr/>
        <w:t>foreign</w:t>
      </w:r>
      <w:r>
        <w:rPr>
          <w:spacing w:val="-3"/>
        </w:rPr>
        <w:t> </w:t>
      </w:r>
      <w:r>
        <w:rPr/>
        <w:t>exchange</w:t>
      </w:r>
      <w:r>
        <w:rPr>
          <w:spacing w:val="-3"/>
        </w:rPr>
        <w:t> </w:t>
      </w:r>
      <w:r>
        <w:rPr/>
        <w:t>rates</w:t>
      </w:r>
      <w:r>
        <w:rPr>
          <w:spacing w:val="-3"/>
        </w:rPr>
        <w:t> </w:t>
      </w:r>
      <w:r>
        <w:rPr/>
        <w:t>on</w:t>
      </w:r>
      <w:r>
        <w:rPr>
          <w:spacing w:val="-3"/>
        </w:rPr>
        <w:t> </w:t>
      </w:r>
      <w:r>
        <w:rPr/>
        <w:t>our</w:t>
      </w:r>
      <w:r>
        <w:rPr>
          <w:spacing w:val="-3"/>
        </w:rPr>
        <w:t> </w:t>
      </w:r>
      <w:r>
        <w:rPr/>
        <w:t>consolidated</w:t>
      </w:r>
      <w:r>
        <w:rPr>
          <w:spacing w:val="-3"/>
        </w:rPr>
        <w:t> </w:t>
      </w:r>
      <w:r>
        <w:rPr/>
        <w:t>statements</w:t>
      </w:r>
      <w:r>
        <w:rPr>
          <w:spacing w:val="-3"/>
        </w:rPr>
        <w:t> </w:t>
      </w:r>
      <w:r>
        <w:rPr/>
        <w:t>of</w:t>
      </w:r>
      <w:r>
        <w:rPr>
          <w:spacing w:val="-3"/>
        </w:rPr>
        <w:t> </w:t>
      </w:r>
      <w:r>
        <w:rPr/>
        <w:t>operations</w:t>
      </w:r>
      <w:r>
        <w:rPr>
          <w:spacing w:val="-3"/>
        </w:rPr>
        <w:t> </w:t>
      </w:r>
      <w:r>
        <w:rPr/>
        <w:t>meet the definition of non-GAAP financial measures.</w:t>
      </w:r>
    </w:p>
    <w:p>
      <w:pPr>
        <w:pStyle w:val="BodyText"/>
        <w:spacing w:line="249" w:lineRule="auto" w:before="83"/>
        <w:ind w:firstLine="445"/>
      </w:pPr>
      <w:r>
        <w:rPr/>
        <w:t>We</w:t>
      </w:r>
      <w:r>
        <w:rPr>
          <w:spacing w:val="-3"/>
        </w:rPr>
        <w:t> </w:t>
      </w:r>
      <w:r>
        <w:rPr/>
        <w:t>provide</w:t>
      </w:r>
      <w:r>
        <w:rPr>
          <w:spacing w:val="-3"/>
        </w:rPr>
        <w:t> </w:t>
      </w:r>
      <w:r>
        <w:rPr/>
        <w:t>multiple</w:t>
      </w:r>
      <w:r>
        <w:rPr>
          <w:spacing w:val="-3"/>
        </w:rPr>
        <w:t> </w:t>
      </w:r>
      <w:r>
        <w:rPr/>
        <w:t>measures</w:t>
      </w:r>
      <w:r>
        <w:rPr>
          <w:spacing w:val="-3"/>
        </w:rPr>
        <w:t> </w:t>
      </w:r>
      <w:r>
        <w:rPr/>
        <w:t>of</w:t>
      </w:r>
      <w:r>
        <w:rPr>
          <w:spacing w:val="-3"/>
        </w:rPr>
        <w:t> </w:t>
      </w:r>
      <w:r>
        <w:rPr/>
        <w:t>free</w:t>
      </w:r>
      <w:r>
        <w:rPr>
          <w:spacing w:val="-3"/>
        </w:rPr>
        <w:t> </w:t>
      </w:r>
      <w:r>
        <w:rPr/>
        <w:t>cash</w:t>
      </w:r>
      <w:r>
        <w:rPr>
          <w:spacing w:val="-3"/>
        </w:rPr>
        <w:t> </w:t>
      </w:r>
      <w:r>
        <w:rPr/>
        <w:t>flows</w:t>
      </w:r>
      <w:r>
        <w:rPr>
          <w:spacing w:val="-3"/>
        </w:rPr>
        <w:t> </w:t>
      </w:r>
      <w:r>
        <w:rPr/>
        <w:t>because</w:t>
      </w:r>
      <w:r>
        <w:rPr>
          <w:spacing w:val="-3"/>
        </w:rPr>
        <w:t> </w:t>
      </w:r>
      <w:r>
        <w:rPr/>
        <w:t>we</w:t>
      </w:r>
      <w:r>
        <w:rPr>
          <w:spacing w:val="-3"/>
        </w:rPr>
        <w:t> </w:t>
      </w:r>
      <w:r>
        <w:rPr/>
        <w:t>believe</w:t>
      </w:r>
      <w:r>
        <w:rPr>
          <w:spacing w:val="-3"/>
        </w:rPr>
        <w:t> </w:t>
      </w:r>
      <w:r>
        <w:rPr/>
        <w:t>these</w:t>
      </w:r>
      <w:r>
        <w:rPr>
          <w:spacing w:val="-3"/>
        </w:rPr>
        <w:t> </w:t>
      </w:r>
      <w:r>
        <w:rPr/>
        <w:t>measures</w:t>
      </w:r>
      <w:r>
        <w:rPr>
          <w:spacing w:val="-3"/>
        </w:rPr>
        <w:t> </w:t>
      </w:r>
      <w:r>
        <w:rPr/>
        <w:t>provide</w:t>
      </w:r>
      <w:r>
        <w:rPr>
          <w:spacing w:val="-3"/>
        </w:rPr>
        <w:t> </w:t>
      </w:r>
      <w:r>
        <w:rPr/>
        <w:t>additional</w:t>
      </w:r>
      <w:r>
        <w:rPr>
          <w:spacing w:val="-3"/>
        </w:rPr>
        <w:t> </w:t>
      </w:r>
      <w:r>
        <w:rPr/>
        <w:t>perspective</w:t>
      </w:r>
      <w:r>
        <w:rPr>
          <w:spacing w:val="-3"/>
        </w:rPr>
        <w:t> </w:t>
      </w:r>
      <w:r>
        <w:rPr/>
        <w:t>on</w:t>
      </w:r>
      <w:r>
        <w:rPr>
          <w:spacing w:val="-3"/>
        </w:rPr>
        <w:t> </w:t>
      </w:r>
      <w:r>
        <w:rPr/>
        <w:t>the</w:t>
      </w:r>
      <w:r>
        <w:rPr>
          <w:spacing w:val="-3"/>
        </w:rPr>
        <w:t> </w:t>
      </w:r>
      <w:r>
        <w:rPr/>
        <w:t>impact</w:t>
      </w:r>
      <w:r>
        <w:rPr>
          <w:spacing w:val="-3"/>
        </w:rPr>
        <w:t> </w:t>
      </w:r>
      <w:r>
        <w:rPr/>
        <w:t>of</w:t>
      </w:r>
      <w:r>
        <w:rPr>
          <w:spacing w:val="-3"/>
        </w:rPr>
        <w:t> </w:t>
      </w:r>
      <w:r>
        <w:rPr/>
        <w:t>acquiring</w:t>
      </w:r>
      <w:r>
        <w:rPr>
          <w:spacing w:val="-3"/>
        </w:rPr>
        <w:t> </w:t>
      </w:r>
      <w:r>
        <w:rPr/>
        <w:t>property and equipment with cash and through finance leases and financing obligations.</w:t>
      </w:r>
    </w:p>
    <w:p>
      <w:pPr>
        <w:pStyle w:val="BodyText"/>
        <w:spacing w:before="51"/>
        <w:ind w:left="0"/>
      </w:pPr>
    </w:p>
    <w:p>
      <w:pPr>
        <w:spacing w:before="0"/>
        <w:ind w:left="206" w:right="0" w:firstLine="0"/>
        <w:jc w:val="both"/>
        <w:rPr>
          <w:i/>
          <w:sz w:val="18"/>
        </w:rPr>
      </w:pPr>
      <w:r>
        <w:rPr>
          <w:i/>
          <w:sz w:val="18"/>
        </w:rPr>
        <w:t>Free</w:t>
      </w:r>
      <w:r>
        <w:rPr>
          <w:i/>
          <w:spacing w:val="-5"/>
          <w:sz w:val="18"/>
        </w:rPr>
        <w:t> </w:t>
      </w:r>
      <w:r>
        <w:rPr>
          <w:i/>
          <w:sz w:val="18"/>
        </w:rPr>
        <w:t>Cash</w:t>
      </w:r>
      <w:r>
        <w:rPr>
          <w:i/>
          <w:spacing w:val="-4"/>
          <w:sz w:val="18"/>
        </w:rPr>
        <w:t> Flow</w:t>
      </w:r>
    </w:p>
    <w:p>
      <w:pPr>
        <w:pStyle w:val="BodyText"/>
        <w:spacing w:line="249" w:lineRule="auto" w:before="104"/>
        <w:ind w:right="22" w:firstLine="445"/>
        <w:jc w:val="both"/>
      </w:pPr>
      <w:r>
        <w:rPr/>
        <w:t>Free</w:t>
      </w:r>
      <w:r>
        <w:rPr>
          <w:spacing w:val="-2"/>
        </w:rPr>
        <w:t> </w:t>
      </w:r>
      <w:r>
        <w:rPr/>
        <w:t>cash</w:t>
      </w:r>
      <w:r>
        <w:rPr>
          <w:spacing w:val="-2"/>
        </w:rPr>
        <w:t> </w:t>
      </w:r>
      <w:r>
        <w:rPr/>
        <w:t>flow</w:t>
      </w:r>
      <w:r>
        <w:rPr>
          <w:spacing w:val="-2"/>
        </w:rPr>
        <w:t> </w:t>
      </w:r>
      <w:r>
        <w:rPr/>
        <w:t>is</w:t>
      </w:r>
      <w:r>
        <w:rPr>
          <w:spacing w:val="-2"/>
        </w:rPr>
        <w:t> </w:t>
      </w:r>
      <w:r>
        <w:rPr/>
        <w:t>cash</w:t>
      </w:r>
      <w:r>
        <w:rPr>
          <w:spacing w:val="-2"/>
        </w:rPr>
        <w:t> </w:t>
      </w:r>
      <w:r>
        <w:rPr/>
        <w:t>flow</w:t>
      </w:r>
      <w:r>
        <w:rPr>
          <w:spacing w:val="-2"/>
        </w:rPr>
        <w:t> </w:t>
      </w:r>
      <w:r>
        <w:rPr/>
        <w:t>from</w:t>
      </w:r>
      <w:r>
        <w:rPr>
          <w:spacing w:val="-2"/>
        </w:rPr>
        <w:t> </w:t>
      </w:r>
      <w:r>
        <w:rPr/>
        <w:t>operations</w:t>
      </w:r>
      <w:r>
        <w:rPr>
          <w:spacing w:val="-2"/>
        </w:rPr>
        <w:t> </w:t>
      </w:r>
      <w:r>
        <w:rPr/>
        <w:t>reduced</w:t>
      </w:r>
      <w:r>
        <w:rPr>
          <w:spacing w:val="-2"/>
        </w:rPr>
        <w:t> </w:t>
      </w:r>
      <w:r>
        <w:rPr/>
        <w:t>by</w:t>
      </w:r>
      <w:r>
        <w:rPr>
          <w:spacing w:val="-2"/>
        </w:rPr>
        <w:t> </w:t>
      </w:r>
      <w:r>
        <w:rPr/>
        <w:t>“Purchases</w:t>
      </w:r>
      <w:r>
        <w:rPr>
          <w:spacing w:val="-2"/>
        </w:rPr>
        <w:t> </w:t>
      </w:r>
      <w:r>
        <w:rPr/>
        <w:t>of</w:t>
      </w:r>
      <w:r>
        <w:rPr>
          <w:spacing w:val="-2"/>
        </w:rPr>
        <w:t> </w:t>
      </w:r>
      <w:r>
        <w:rPr/>
        <w:t>property</w:t>
      </w:r>
      <w:r>
        <w:rPr>
          <w:spacing w:val="-2"/>
        </w:rPr>
        <w:t> </w:t>
      </w:r>
      <w:r>
        <w:rPr/>
        <w:t>and</w:t>
      </w:r>
      <w:r>
        <w:rPr>
          <w:spacing w:val="-2"/>
        </w:rPr>
        <w:t> </w:t>
      </w:r>
      <w:r>
        <w:rPr/>
        <w:t>equipment,</w:t>
      </w:r>
      <w:r>
        <w:rPr>
          <w:spacing w:val="-2"/>
        </w:rPr>
        <w:t> </w:t>
      </w:r>
      <w:r>
        <w:rPr/>
        <w:t>net</w:t>
      </w:r>
      <w:r>
        <w:rPr>
          <w:spacing w:val="-2"/>
        </w:rPr>
        <w:t> </w:t>
      </w:r>
      <w:r>
        <w:rPr/>
        <w:t>of</w:t>
      </w:r>
      <w:r>
        <w:rPr>
          <w:spacing w:val="-2"/>
        </w:rPr>
        <w:t> </w:t>
      </w:r>
      <w:r>
        <w:rPr/>
        <w:t>proceeds</w:t>
      </w:r>
      <w:r>
        <w:rPr>
          <w:spacing w:val="-2"/>
        </w:rPr>
        <w:t> </w:t>
      </w:r>
      <w:r>
        <w:rPr/>
        <w:t>from</w:t>
      </w:r>
      <w:r>
        <w:rPr>
          <w:spacing w:val="-2"/>
        </w:rPr>
        <w:t> </w:t>
      </w:r>
      <w:r>
        <w:rPr/>
        <w:t>sales</w:t>
      </w:r>
      <w:r>
        <w:rPr>
          <w:spacing w:val="-2"/>
        </w:rPr>
        <w:t> </w:t>
      </w:r>
      <w:r>
        <w:rPr/>
        <w:t>and</w:t>
      </w:r>
      <w:r>
        <w:rPr>
          <w:spacing w:val="-2"/>
        </w:rPr>
        <w:t> </w:t>
      </w:r>
      <w:r>
        <w:rPr/>
        <w:t>incentives.”</w:t>
      </w:r>
      <w:r>
        <w:rPr>
          <w:spacing w:val="-5"/>
        </w:rPr>
        <w:t> </w:t>
      </w:r>
      <w:r>
        <w:rPr/>
        <w:t>The</w:t>
      </w:r>
      <w:r>
        <w:rPr>
          <w:spacing w:val="-2"/>
        </w:rPr>
        <w:t> </w:t>
      </w:r>
      <w:r>
        <w:rPr/>
        <w:t>following is</w:t>
      </w:r>
      <w:r>
        <w:rPr>
          <w:spacing w:val="-2"/>
        </w:rPr>
        <w:t> </w:t>
      </w:r>
      <w:r>
        <w:rPr/>
        <w:t>a</w:t>
      </w:r>
      <w:r>
        <w:rPr>
          <w:spacing w:val="-2"/>
        </w:rPr>
        <w:t> </w:t>
      </w:r>
      <w:r>
        <w:rPr/>
        <w:t>reconciliation</w:t>
      </w:r>
      <w:r>
        <w:rPr>
          <w:spacing w:val="-2"/>
        </w:rPr>
        <w:t> </w:t>
      </w:r>
      <w:r>
        <w:rPr/>
        <w:t>of</w:t>
      </w:r>
      <w:r>
        <w:rPr>
          <w:spacing w:val="-2"/>
        </w:rPr>
        <w:t> </w:t>
      </w:r>
      <w:r>
        <w:rPr/>
        <w:t>free</w:t>
      </w:r>
      <w:r>
        <w:rPr>
          <w:spacing w:val="-2"/>
        </w:rPr>
        <w:t> </w:t>
      </w:r>
      <w:r>
        <w:rPr/>
        <w:t>cash</w:t>
      </w:r>
      <w:r>
        <w:rPr>
          <w:spacing w:val="-2"/>
        </w:rPr>
        <w:t> </w:t>
      </w:r>
      <w:r>
        <w:rPr/>
        <w:t>flow</w:t>
      </w:r>
      <w:r>
        <w:rPr>
          <w:spacing w:val="-2"/>
        </w:rPr>
        <w:t> </w:t>
      </w:r>
      <w:r>
        <w:rPr/>
        <w:t>to</w:t>
      </w:r>
      <w:r>
        <w:rPr>
          <w:spacing w:val="-2"/>
        </w:rPr>
        <w:t> </w:t>
      </w:r>
      <w:r>
        <w:rPr/>
        <w:t>the</w:t>
      </w:r>
      <w:r>
        <w:rPr>
          <w:spacing w:val="-2"/>
        </w:rPr>
        <w:t> </w:t>
      </w:r>
      <w:r>
        <w:rPr/>
        <w:t>most</w:t>
      </w:r>
      <w:r>
        <w:rPr>
          <w:spacing w:val="-2"/>
        </w:rPr>
        <w:t> </w:t>
      </w:r>
      <w:r>
        <w:rPr/>
        <w:t>comparable</w:t>
      </w:r>
      <w:r>
        <w:rPr>
          <w:spacing w:val="-2"/>
        </w:rPr>
        <w:t> </w:t>
      </w:r>
      <w:r>
        <w:rPr/>
        <w:t>GAAP</w:t>
      </w:r>
      <w:r>
        <w:rPr>
          <w:spacing w:val="-8"/>
        </w:rPr>
        <w:t> </w:t>
      </w:r>
      <w:r>
        <w:rPr/>
        <w:t>cash</w:t>
      </w:r>
      <w:r>
        <w:rPr>
          <w:spacing w:val="-2"/>
        </w:rPr>
        <w:t> </w:t>
      </w:r>
      <w:r>
        <w:rPr/>
        <w:t>flow</w:t>
      </w:r>
      <w:r>
        <w:rPr>
          <w:spacing w:val="-2"/>
        </w:rPr>
        <w:t> </w:t>
      </w:r>
      <w:r>
        <w:rPr/>
        <w:t>measure,</w:t>
      </w:r>
      <w:r>
        <w:rPr>
          <w:spacing w:val="-2"/>
        </w:rPr>
        <w:t> </w:t>
      </w:r>
      <w:r>
        <w:rPr/>
        <w:t>“Net</w:t>
      </w:r>
      <w:r>
        <w:rPr>
          <w:spacing w:val="-2"/>
        </w:rPr>
        <w:t> </w:t>
      </w:r>
      <w:r>
        <w:rPr/>
        <w:t>cash</w:t>
      </w:r>
      <w:r>
        <w:rPr>
          <w:spacing w:val="-2"/>
        </w:rPr>
        <w:t> </w:t>
      </w:r>
      <w:r>
        <w:rPr/>
        <w:t>provided</w:t>
      </w:r>
      <w:r>
        <w:rPr>
          <w:spacing w:val="-2"/>
        </w:rPr>
        <w:t> </w:t>
      </w:r>
      <w:r>
        <w:rPr/>
        <w:t>by</w:t>
      </w:r>
      <w:r>
        <w:rPr>
          <w:spacing w:val="-2"/>
        </w:rPr>
        <w:t> </w:t>
      </w:r>
      <w:r>
        <w:rPr/>
        <w:t>(used</w:t>
      </w:r>
      <w:r>
        <w:rPr>
          <w:spacing w:val="-2"/>
        </w:rPr>
        <w:t> </w:t>
      </w:r>
      <w:r>
        <w:rPr/>
        <w:t>in)</w:t>
      </w:r>
      <w:r>
        <w:rPr>
          <w:spacing w:val="-2"/>
        </w:rPr>
        <w:t> </w:t>
      </w:r>
      <w:r>
        <w:rPr/>
        <w:t>operating</w:t>
      </w:r>
      <w:r>
        <w:rPr>
          <w:spacing w:val="-2"/>
        </w:rPr>
        <w:t> </w:t>
      </w:r>
      <w:r>
        <w:rPr/>
        <w:t>activities,”</w:t>
      </w:r>
      <w:r>
        <w:rPr>
          <w:spacing w:val="-2"/>
        </w:rPr>
        <w:t> </w:t>
      </w:r>
      <w:r>
        <w:rPr/>
        <w:t>for</w:t>
      </w:r>
      <w:r>
        <w:rPr>
          <w:spacing w:val="-2"/>
        </w:rPr>
        <w:t> </w:t>
      </w:r>
      <w:r>
        <w:rPr/>
        <w:t>2023</w:t>
      </w:r>
      <w:r>
        <w:rPr>
          <w:spacing w:val="-2"/>
        </w:rPr>
        <w:t> </w:t>
      </w:r>
      <w:r>
        <w:rPr/>
        <w:t>and</w:t>
      </w:r>
      <w:r>
        <w:rPr>
          <w:spacing w:val="-2"/>
        </w:rPr>
        <w:t> </w:t>
      </w:r>
      <w:r>
        <w:rPr/>
        <w:t>2024 (in millions):</w:t>
      </w:r>
    </w:p>
    <w:p>
      <w:pPr>
        <w:spacing w:before="53" w:after="58"/>
        <w:ind w:left="0" w:right="615" w:firstLine="0"/>
        <w:jc w:val="right"/>
        <w:rPr>
          <w:b/>
          <w:sz w:val="14"/>
        </w:rPr>
      </w:pPr>
      <w:r>
        <w:rPr>
          <w:b/>
          <w:sz w:val="14"/>
        </w:rPr>
        <w:t>Year</w:t>
      </w:r>
      <w:r>
        <w:rPr>
          <w:b/>
          <w:spacing w:val="1"/>
          <w:sz w:val="14"/>
        </w:rPr>
        <w:t> </w:t>
      </w:r>
      <w:r>
        <w:rPr>
          <w:b/>
          <w:sz w:val="14"/>
        </w:rPr>
        <w:t>Ended</w:t>
      </w:r>
      <w:r>
        <w:rPr>
          <w:b/>
          <w:spacing w:val="3"/>
          <w:sz w:val="14"/>
        </w:rPr>
        <w:t> </w:t>
      </w:r>
      <w:r>
        <w:rPr>
          <w:b/>
          <w:sz w:val="14"/>
        </w:rPr>
        <w:t>December</w:t>
      </w:r>
      <w:r>
        <w:rPr>
          <w:b/>
          <w:spacing w:val="1"/>
          <w:sz w:val="14"/>
        </w:rPr>
        <w:t> </w:t>
      </w:r>
      <w:r>
        <w:rPr>
          <w:b/>
          <w:spacing w:val="-5"/>
          <w:sz w:val="14"/>
        </w:rPr>
        <w:t>31,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80"/>
        <w:gridCol w:w="1363"/>
        <w:gridCol w:w="1471"/>
      </w:tblGrid>
      <w:tr>
        <w:trPr>
          <w:trHeight w:val="227" w:hRule="atLeast"/>
        </w:trPr>
        <w:tc>
          <w:tcPr>
            <w:tcW w:w="8680" w:type="dxa"/>
          </w:tcPr>
          <w:p>
            <w:pPr>
              <w:pStyle w:val="TableParagraph"/>
              <w:jc w:val="left"/>
              <w:rPr>
                <w:sz w:val="16"/>
              </w:rPr>
            </w:pPr>
          </w:p>
        </w:tc>
        <w:tc>
          <w:tcPr>
            <w:tcW w:w="1363" w:type="dxa"/>
            <w:tcBorders>
              <w:top w:val="single" w:sz="6" w:space="0" w:color="000000"/>
              <w:bottom w:val="single" w:sz="6" w:space="0" w:color="000000"/>
            </w:tcBorders>
          </w:tcPr>
          <w:p>
            <w:pPr>
              <w:pStyle w:val="TableParagraph"/>
              <w:spacing w:before="17"/>
              <w:ind w:left="6"/>
              <w:jc w:val="center"/>
              <w:rPr>
                <w:b/>
                <w:sz w:val="14"/>
              </w:rPr>
            </w:pPr>
            <w:r>
              <w:rPr>
                <w:b/>
                <w:spacing w:val="-4"/>
                <w:sz w:val="14"/>
              </w:rPr>
              <w:t>2023</w:t>
            </w:r>
          </w:p>
        </w:tc>
        <w:tc>
          <w:tcPr>
            <w:tcW w:w="1471" w:type="dxa"/>
            <w:tcBorders>
              <w:top w:val="single" w:sz="6" w:space="0" w:color="000000"/>
              <w:bottom w:val="single" w:sz="6" w:space="0" w:color="000000"/>
            </w:tcBorders>
          </w:tcPr>
          <w:p>
            <w:pPr>
              <w:pStyle w:val="TableParagraph"/>
              <w:spacing w:before="17"/>
              <w:ind w:left="116"/>
              <w:jc w:val="center"/>
              <w:rPr>
                <w:b/>
                <w:sz w:val="14"/>
              </w:rPr>
            </w:pPr>
            <w:r>
              <w:rPr>
                <w:b/>
                <w:spacing w:val="-4"/>
                <w:sz w:val="14"/>
              </w:rPr>
              <w:t>2024</w:t>
            </w:r>
          </w:p>
        </w:tc>
      </w:tr>
      <w:tr>
        <w:trPr>
          <w:trHeight w:val="269" w:hRule="atLeast"/>
        </w:trPr>
        <w:tc>
          <w:tcPr>
            <w:tcW w:w="8680" w:type="dxa"/>
            <w:shd w:val="clear" w:color="auto" w:fill="CCEDFF"/>
          </w:tcPr>
          <w:p>
            <w:pPr>
              <w:pStyle w:val="TableParagraph"/>
              <w:spacing w:before="6"/>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operating</w:t>
            </w:r>
            <w:r>
              <w:rPr>
                <w:spacing w:val="-1"/>
                <w:sz w:val="18"/>
              </w:rPr>
              <w:t> </w:t>
            </w:r>
            <w:r>
              <w:rPr>
                <w:spacing w:val="-2"/>
                <w:sz w:val="18"/>
              </w:rPr>
              <w:t>activities</w:t>
            </w:r>
          </w:p>
        </w:tc>
        <w:tc>
          <w:tcPr>
            <w:tcW w:w="1363" w:type="dxa"/>
            <w:tcBorders>
              <w:top w:val="single" w:sz="6" w:space="0" w:color="000000"/>
            </w:tcBorders>
            <w:shd w:val="clear" w:color="auto" w:fill="CCEDFF"/>
          </w:tcPr>
          <w:p>
            <w:pPr>
              <w:pStyle w:val="TableParagraph"/>
              <w:tabs>
                <w:tab w:pos="771" w:val="left" w:leader="none"/>
              </w:tabs>
              <w:spacing w:before="20"/>
              <w:ind w:right="69"/>
              <w:rPr>
                <w:sz w:val="18"/>
              </w:rPr>
            </w:pPr>
            <w:r>
              <w:rPr>
                <w:spacing w:val="-10"/>
                <w:sz w:val="18"/>
              </w:rPr>
              <w:t>$</w:t>
            </w:r>
            <w:r>
              <w:rPr>
                <w:sz w:val="18"/>
              </w:rPr>
              <w:tab/>
            </w:r>
            <w:r>
              <w:rPr>
                <w:spacing w:val="-2"/>
                <w:sz w:val="18"/>
              </w:rPr>
              <w:t>84,946</w:t>
            </w:r>
          </w:p>
        </w:tc>
        <w:tc>
          <w:tcPr>
            <w:tcW w:w="1471" w:type="dxa"/>
            <w:tcBorders>
              <w:top w:val="single" w:sz="6" w:space="0" w:color="000000"/>
            </w:tcBorders>
            <w:shd w:val="clear" w:color="auto" w:fill="CCEDFF"/>
          </w:tcPr>
          <w:p>
            <w:pPr>
              <w:pStyle w:val="TableParagraph"/>
              <w:tabs>
                <w:tab w:pos="688" w:val="left" w:leader="none"/>
              </w:tabs>
              <w:spacing w:before="20"/>
              <w:ind w:right="69"/>
              <w:rPr>
                <w:sz w:val="18"/>
              </w:rPr>
            </w:pPr>
            <w:r>
              <w:rPr>
                <w:spacing w:val="-10"/>
                <w:sz w:val="18"/>
              </w:rPr>
              <w:t>$</w:t>
            </w:r>
            <w:r>
              <w:rPr>
                <w:sz w:val="18"/>
              </w:rPr>
              <w:tab/>
            </w:r>
            <w:r>
              <w:rPr>
                <w:spacing w:val="-2"/>
                <w:sz w:val="18"/>
              </w:rPr>
              <w:t>115,877</w:t>
            </w:r>
          </w:p>
        </w:tc>
      </w:tr>
      <w:tr>
        <w:trPr>
          <w:trHeight w:val="269" w:hRule="atLeast"/>
        </w:trPr>
        <w:tc>
          <w:tcPr>
            <w:tcW w:w="8680" w:type="dxa"/>
          </w:tcPr>
          <w:p>
            <w:pPr>
              <w:pStyle w:val="TableParagraph"/>
              <w:spacing w:before="21"/>
              <w:ind w:left="17"/>
              <w:jc w:val="left"/>
              <w:rPr>
                <w:sz w:val="18"/>
              </w:rPr>
            </w:pPr>
            <w:r>
              <w:rPr>
                <w:sz w:val="18"/>
              </w:rPr>
              <w:t>Purchases</w:t>
            </w:r>
            <w:r>
              <w:rPr>
                <w:spacing w:val="-1"/>
                <w:sz w:val="18"/>
              </w:rPr>
              <w:t> </w:t>
            </w:r>
            <w:r>
              <w:rPr>
                <w:sz w:val="18"/>
              </w:rPr>
              <w:t>of</w:t>
            </w:r>
            <w:r>
              <w:rPr>
                <w:spacing w:val="-1"/>
                <w:sz w:val="18"/>
              </w:rPr>
              <w:t> </w:t>
            </w:r>
            <w:r>
              <w:rPr>
                <w:sz w:val="18"/>
              </w:rPr>
              <w:t>property</w:t>
            </w:r>
            <w:r>
              <w:rPr>
                <w:spacing w:val="-1"/>
                <w:sz w:val="18"/>
              </w:rPr>
              <w:t> </w:t>
            </w:r>
            <w:r>
              <w:rPr>
                <w:sz w:val="18"/>
              </w:rPr>
              <w:t>and</w:t>
            </w:r>
            <w:r>
              <w:rPr>
                <w:spacing w:val="-1"/>
                <w:sz w:val="18"/>
              </w:rPr>
              <w:t> </w:t>
            </w:r>
            <w:r>
              <w:rPr>
                <w:sz w:val="18"/>
              </w:rPr>
              <w:t>equipment,</w:t>
            </w:r>
            <w:r>
              <w:rPr>
                <w:spacing w:val="-1"/>
                <w:sz w:val="18"/>
              </w:rPr>
              <w:t> </w:t>
            </w:r>
            <w:r>
              <w:rPr>
                <w:sz w:val="18"/>
              </w:rPr>
              <w:t>net</w:t>
            </w:r>
            <w:r>
              <w:rPr>
                <w:spacing w:val="-1"/>
                <w:sz w:val="18"/>
              </w:rPr>
              <w:t> </w:t>
            </w:r>
            <w:r>
              <w:rPr>
                <w:sz w:val="18"/>
              </w:rPr>
              <w:t>of</w:t>
            </w:r>
            <w:r>
              <w:rPr>
                <w:spacing w:val="-1"/>
                <w:sz w:val="18"/>
              </w:rPr>
              <w:t> </w:t>
            </w:r>
            <w:r>
              <w:rPr>
                <w:sz w:val="18"/>
              </w:rPr>
              <w:t>proceeds</w:t>
            </w:r>
            <w:r>
              <w:rPr>
                <w:spacing w:val="-1"/>
                <w:sz w:val="18"/>
              </w:rPr>
              <w:t> </w:t>
            </w:r>
            <w:r>
              <w:rPr>
                <w:sz w:val="18"/>
              </w:rPr>
              <w:t>from</w:t>
            </w:r>
            <w:r>
              <w:rPr>
                <w:spacing w:val="-1"/>
                <w:sz w:val="18"/>
              </w:rPr>
              <w:t> </w:t>
            </w:r>
            <w:r>
              <w:rPr>
                <w:sz w:val="18"/>
              </w:rPr>
              <w:t>sales</w:t>
            </w:r>
            <w:r>
              <w:rPr>
                <w:spacing w:val="-1"/>
                <w:sz w:val="18"/>
              </w:rPr>
              <w:t> </w:t>
            </w:r>
            <w:r>
              <w:rPr>
                <w:sz w:val="18"/>
              </w:rPr>
              <w:t>and</w:t>
            </w:r>
            <w:r>
              <w:rPr>
                <w:spacing w:val="-1"/>
                <w:sz w:val="18"/>
              </w:rPr>
              <w:t> </w:t>
            </w:r>
            <w:r>
              <w:rPr>
                <w:spacing w:val="-2"/>
                <w:sz w:val="18"/>
              </w:rPr>
              <w:t>incentives</w:t>
            </w:r>
          </w:p>
        </w:tc>
        <w:tc>
          <w:tcPr>
            <w:tcW w:w="1363" w:type="dxa"/>
            <w:tcBorders>
              <w:bottom w:val="single" w:sz="6" w:space="0" w:color="000000"/>
            </w:tcBorders>
          </w:tcPr>
          <w:p>
            <w:pPr>
              <w:pStyle w:val="TableParagraph"/>
              <w:spacing w:before="21"/>
              <w:ind w:right="26"/>
              <w:rPr>
                <w:sz w:val="18"/>
              </w:rPr>
            </w:pPr>
            <w:r>
              <w:rPr>
                <w:spacing w:val="-2"/>
                <w:sz w:val="18"/>
              </w:rPr>
              <w:t>(48,133)</w:t>
            </w:r>
          </w:p>
        </w:tc>
        <w:tc>
          <w:tcPr>
            <w:tcW w:w="1471" w:type="dxa"/>
            <w:tcBorders>
              <w:bottom w:val="single" w:sz="6" w:space="0" w:color="000000"/>
            </w:tcBorders>
          </w:tcPr>
          <w:p>
            <w:pPr>
              <w:pStyle w:val="TableParagraph"/>
              <w:spacing w:before="21"/>
              <w:ind w:right="24"/>
              <w:rPr>
                <w:sz w:val="18"/>
              </w:rPr>
            </w:pPr>
            <w:r>
              <w:rPr>
                <w:spacing w:val="-2"/>
                <w:sz w:val="18"/>
              </w:rPr>
              <w:t>(77,658)</w:t>
            </w:r>
          </w:p>
        </w:tc>
      </w:tr>
      <w:tr>
        <w:trPr>
          <w:trHeight w:val="273" w:hRule="atLeast"/>
        </w:trPr>
        <w:tc>
          <w:tcPr>
            <w:tcW w:w="8680" w:type="dxa"/>
            <w:shd w:val="clear" w:color="auto" w:fill="CCEDFF"/>
          </w:tcPr>
          <w:p>
            <w:pPr>
              <w:pStyle w:val="TableParagraph"/>
              <w:spacing w:before="20"/>
              <w:ind w:left="17"/>
              <w:jc w:val="left"/>
              <w:rPr>
                <w:sz w:val="18"/>
              </w:rPr>
            </w:pPr>
            <w:r>
              <w:rPr>
                <w:sz w:val="18"/>
              </w:rPr>
              <w:t>Free</w:t>
            </w:r>
            <w:r>
              <w:rPr>
                <w:spacing w:val="-1"/>
                <w:sz w:val="18"/>
              </w:rPr>
              <w:t> </w:t>
            </w:r>
            <w:r>
              <w:rPr>
                <w:sz w:val="18"/>
              </w:rPr>
              <w:t>cash</w:t>
            </w:r>
            <w:r>
              <w:rPr>
                <w:spacing w:val="-1"/>
                <w:sz w:val="18"/>
              </w:rPr>
              <w:t> </w:t>
            </w:r>
            <w:r>
              <w:rPr>
                <w:spacing w:val="-4"/>
                <w:sz w:val="18"/>
              </w:rPr>
              <w:t>flow</w:t>
            </w:r>
          </w:p>
        </w:tc>
        <w:tc>
          <w:tcPr>
            <w:tcW w:w="1363" w:type="dxa"/>
            <w:tcBorders>
              <w:top w:val="single" w:sz="6" w:space="0" w:color="000000"/>
              <w:bottom w:val="double" w:sz="6" w:space="0" w:color="000000"/>
            </w:tcBorders>
            <w:shd w:val="clear" w:color="auto" w:fill="CCEDFF"/>
          </w:tcPr>
          <w:p>
            <w:pPr>
              <w:pStyle w:val="TableParagraph"/>
              <w:tabs>
                <w:tab w:pos="771" w:val="left" w:leader="none"/>
              </w:tabs>
              <w:spacing w:before="20"/>
              <w:ind w:right="69"/>
              <w:rPr>
                <w:sz w:val="18"/>
              </w:rPr>
            </w:pPr>
            <w:r>
              <w:rPr>
                <w:spacing w:val="-10"/>
                <w:sz w:val="18"/>
              </w:rPr>
              <w:t>$</w:t>
            </w:r>
            <w:r>
              <w:rPr>
                <w:sz w:val="18"/>
              </w:rPr>
              <w:tab/>
            </w:r>
            <w:r>
              <w:rPr>
                <w:spacing w:val="-2"/>
                <w:sz w:val="18"/>
              </w:rPr>
              <w:t>36,813</w:t>
            </w:r>
          </w:p>
        </w:tc>
        <w:tc>
          <w:tcPr>
            <w:tcW w:w="1471" w:type="dxa"/>
            <w:tcBorders>
              <w:top w:val="single" w:sz="6" w:space="0" w:color="000000"/>
              <w:bottom w:val="double" w:sz="6" w:space="0" w:color="000000"/>
            </w:tcBorders>
            <w:shd w:val="clear" w:color="auto" w:fill="CCEDFF"/>
          </w:tcPr>
          <w:p>
            <w:pPr>
              <w:pStyle w:val="TableParagraph"/>
              <w:tabs>
                <w:tab w:pos="771" w:val="left" w:leader="none"/>
              </w:tabs>
              <w:spacing w:before="20"/>
              <w:ind w:right="69"/>
              <w:rPr>
                <w:sz w:val="18"/>
              </w:rPr>
            </w:pPr>
            <w:r>
              <w:rPr>
                <w:spacing w:val="-10"/>
                <w:sz w:val="18"/>
              </w:rPr>
              <w:t>$</w:t>
            </w:r>
            <w:r>
              <w:rPr>
                <w:sz w:val="18"/>
              </w:rPr>
              <w:tab/>
            </w:r>
            <w:r>
              <w:rPr>
                <w:spacing w:val="-2"/>
                <w:sz w:val="18"/>
              </w:rPr>
              <w:t>38,219</w:t>
            </w:r>
          </w:p>
        </w:tc>
      </w:tr>
      <w:tr>
        <w:trPr>
          <w:trHeight w:val="247" w:hRule="atLeast"/>
        </w:trPr>
        <w:tc>
          <w:tcPr>
            <w:tcW w:w="8680" w:type="dxa"/>
          </w:tcPr>
          <w:p>
            <w:pPr>
              <w:pStyle w:val="TableParagraph"/>
              <w:jc w:val="left"/>
              <w:rPr>
                <w:sz w:val="16"/>
              </w:rPr>
            </w:pPr>
          </w:p>
        </w:tc>
        <w:tc>
          <w:tcPr>
            <w:tcW w:w="1363" w:type="dxa"/>
            <w:tcBorders>
              <w:top w:val="double" w:sz="6" w:space="0" w:color="000000"/>
            </w:tcBorders>
          </w:tcPr>
          <w:p>
            <w:pPr>
              <w:pStyle w:val="TableParagraph"/>
              <w:jc w:val="left"/>
              <w:rPr>
                <w:sz w:val="16"/>
              </w:rPr>
            </w:pPr>
          </w:p>
        </w:tc>
        <w:tc>
          <w:tcPr>
            <w:tcW w:w="1471" w:type="dxa"/>
            <w:tcBorders>
              <w:top w:val="double" w:sz="6" w:space="0" w:color="000000"/>
            </w:tcBorders>
          </w:tcPr>
          <w:p>
            <w:pPr>
              <w:pStyle w:val="TableParagraph"/>
              <w:jc w:val="left"/>
              <w:rPr>
                <w:sz w:val="16"/>
              </w:rPr>
            </w:pPr>
          </w:p>
        </w:tc>
      </w:tr>
      <w:tr>
        <w:trPr>
          <w:trHeight w:val="269" w:hRule="atLeast"/>
        </w:trPr>
        <w:tc>
          <w:tcPr>
            <w:tcW w:w="8680" w:type="dxa"/>
            <w:shd w:val="clear" w:color="auto" w:fill="CCEDFF"/>
          </w:tcPr>
          <w:p>
            <w:pPr>
              <w:pStyle w:val="TableParagraph"/>
              <w:spacing w:before="21"/>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investing</w:t>
            </w:r>
            <w:r>
              <w:rPr>
                <w:spacing w:val="-1"/>
                <w:sz w:val="18"/>
              </w:rPr>
              <w:t> </w:t>
            </w:r>
            <w:r>
              <w:rPr>
                <w:spacing w:val="-2"/>
                <w:sz w:val="18"/>
              </w:rPr>
              <w:t>activities</w:t>
            </w:r>
          </w:p>
        </w:tc>
        <w:tc>
          <w:tcPr>
            <w:tcW w:w="1363" w:type="dxa"/>
            <w:shd w:val="clear" w:color="auto" w:fill="CCEDFF"/>
          </w:tcPr>
          <w:p>
            <w:pPr>
              <w:pStyle w:val="TableParagraph"/>
              <w:tabs>
                <w:tab w:pos="696" w:val="left" w:leader="none"/>
              </w:tabs>
              <w:spacing w:before="21"/>
              <w:ind w:right="26"/>
              <w:rPr>
                <w:sz w:val="18"/>
              </w:rPr>
            </w:pPr>
            <w:r>
              <w:rPr>
                <w:spacing w:val="-10"/>
                <w:sz w:val="18"/>
              </w:rPr>
              <w:t>$</w:t>
            </w:r>
            <w:r>
              <w:rPr>
                <w:sz w:val="18"/>
              </w:rPr>
              <w:tab/>
            </w:r>
            <w:r>
              <w:rPr>
                <w:spacing w:val="-2"/>
                <w:sz w:val="18"/>
              </w:rPr>
              <w:t>(49,833)</w:t>
            </w:r>
          </w:p>
        </w:tc>
        <w:tc>
          <w:tcPr>
            <w:tcW w:w="1471" w:type="dxa"/>
            <w:shd w:val="clear" w:color="auto" w:fill="CCEDFF"/>
          </w:tcPr>
          <w:p>
            <w:pPr>
              <w:pStyle w:val="TableParagraph"/>
              <w:tabs>
                <w:tab w:pos="697" w:val="left" w:leader="none"/>
              </w:tabs>
              <w:spacing w:before="21"/>
              <w:ind w:right="24"/>
              <w:rPr>
                <w:sz w:val="18"/>
              </w:rPr>
            </w:pPr>
            <w:r>
              <w:rPr>
                <w:spacing w:val="-10"/>
                <w:sz w:val="18"/>
              </w:rPr>
              <w:t>$</w:t>
            </w:r>
            <w:r>
              <w:rPr>
                <w:sz w:val="18"/>
              </w:rPr>
              <w:tab/>
            </w:r>
            <w:r>
              <w:rPr>
                <w:spacing w:val="-2"/>
                <w:sz w:val="18"/>
              </w:rPr>
              <w:t>(94,342)</w:t>
            </w:r>
          </w:p>
        </w:tc>
      </w:tr>
      <w:tr>
        <w:trPr>
          <w:trHeight w:val="227" w:hRule="atLeast"/>
        </w:trPr>
        <w:tc>
          <w:tcPr>
            <w:tcW w:w="8680" w:type="dxa"/>
          </w:tcPr>
          <w:p>
            <w:pPr>
              <w:pStyle w:val="TableParagraph"/>
              <w:spacing w:line="187" w:lineRule="exact" w:before="21"/>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financing</w:t>
            </w:r>
            <w:r>
              <w:rPr>
                <w:spacing w:val="-1"/>
                <w:sz w:val="18"/>
              </w:rPr>
              <w:t> </w:t>
            </w:r>
            <w:r>
              <w:rPr>
                <w:spacing w:val="-2"/>
                <w:sz w:val="18"/>
              </w:rPr>
              <w:t>activities</w:t>
            </w:r>
          </w:p>
        </w:tc>
        <w:tc>
          <w:tcPr>
            <w:tcW w:w="1363" w:type="dxa"/>
          </w:tcPr>
          <w:p>
            <w:pPr>
              <w:pStyle w:val="TableParagraph"/>
              <w:tabs>
                <w:tab w:pos="696" w:val="left" w:leader="none"/>
              </w:tabs>
              <w:spacing w:line="187" w:lineRule="exact" w:before="21"/>
              <w:ind w:right="26"/>
              <w:rPr>
                <w:sz w:val="18"/>
              </w:rPr>
            </w:pPr>
            <w:r>
              <w:rPr>
                <w:spacing w:val="-10"/>
                <w:sz w:val="18"/>
              </w:rPr>
              <w:t>$</w:t>
            </w:r>
            <w:r>
              <w:rPr>
                <w:sz w:val="18"/>
              </w:rPr>
              <w:tab/>
            </w:r>
            <w:r>
              <w:rPr>
                <w:spacing w:val="-2"/>
                <w:sz w:val="18"/>
              </w:rPr>
              <w:t>(15,879)</w:t>
            </w:r>
          </w:p>
        </w:tc>
        <w:tc>
          <w:tcPr>
            <w:tcW w:w="1471" w:type="dxa"/>
          </w:tcPr>
          <w:p>
            <w:pPr>
              <w:pStyle w:val="TableParagraph"/>
              <w:tabs>
                <w:tab w:pos="703" w:val="left" w:leader="none"/>
              </w:tabs>
              <w:spacing w:line="187" w:lineRule="exact" w:before="21"/>
              <w:ind w:right="24"/>
              <w:rPr>
                <w:sz w:val="18"/>
              </w:rPr>
            </w:pPr>
            <w:r>
              <w:rPr>
                <w:spacing w:val="-10"/>
                <w:sz w:val="18"/>
              </w:rPr>
              <w:t>$</w:t>
            </w:r>
            <w:r>
              <w:rPr>
                <w:sz w:val="18"/>
              </w:rPr>
              <w:tab/>
            </w:r>
            <w:r>
              <w:rPr>
                <w:spacing w:val="-2"/>
                <w:sz w:val="18"/>
              </w:rPr>
              <w:t>(11,812)</w:t>
            </w:r>
          </w:p>
        </w:tc>
      </w:tr>
    </w:tbl>
    <w:p>
      <w:pPr>
        <w:pStyle w:val="BodyText"/>
        <w:ind w:left="0"/>
        <w:rPr>
          <w:b/>
          <w:sz w:val="14"/>
        </w:rPr>
      </w:pPr>
    </w:p>
    <w:p>
      <w:pPr>
        <w:pStyle w:val="BodyText"/>
        <w:spacing w:before="62"/>
        <w:ind w:left="0"/>
        <w:rPr>
          <w:b/>
          <w:sz w:val="14"/>
        </w:rPr>
      </w:pPr>
    </w:p>
    <w:p>
      <w:pPr>
        <w:spacing w:before="0"/>
        <w:ind w:left="206" w:right="0" w:firstLine="0"/>
        <w:jc w:val="left"/>
        <w:rPr>
          <w:i/>
          <w:sz w:val="18"/>
        </w:rPr>
      </w:pPr>
      <w:r>
        <w:rPr>
          <w:i/>
          <w:sz w:val="18"/>
        </w:rPr>
        <w:t>Free</w:t>
      </w:r>
      <w:r>
        <w:rPr>
          <w:i/>
          <w:spacing w:val="-2"/>
          <w:sz w:val="18"/>
        </w:rPr>
        <w:t> </w:t>
      </w:r>
      <w:r>
        <w:rPr>
          <w:i/>
          <w:sz w:val="18"/>
        </w:rPr>
        <w:t>Cash</w:t>
      </w:r>
      <w:r>
        <w:rPr>
          <w:i/>
          <w:spacing w:val="-2"/>
          <w:sz w:val="18"/>
        </w:rPr>
        <w:t> </w:t>
      </w:r>
      <w:r>
        <w:rPr>
          <w:i/>
          <w:sz w:val="18"/>
        </w:rPr>
        <w:t>Flow</w:t>
      </w:r>
      <w:r>
        <w:rPr>
          <w:i/>
          <w:spacing w:val="-1"/>
          <w:sz w:val="18"/>
        </w:rPr>
        <w:t> </w:t>
      </w:r>
      <w:r>
        <w:rPr>
          <w:i/>
          <w:sz w:val="18"/>
        </w:rPr>
        <w:t>Less</w:t>
      </w:r>
      <w:r>
        <w:rPr>
          <w:i/>
          <w:spacing w:val="-2"/>
          <w:sz w:val="18"/>
        </w:rPr>
        <w:t> </w:t>
      </w:r>
      <w:r>
        <w:rPr>
          <w:i/>
          <w:sz w:val="18"/>
        </w:rPr>
        <w:t>Principal</w:t>
      </w:r>
      <w:r>
        <w:rPr>
          <w:i/>
          <w:spacing w:val="-2"/>
          <w:sz w:val="18"/>
        </w:rPr>
        <w:t> </w:t>
      </w:r>
      <w:r>
        <w:rPr>
          <w:i/>
          <w:sz w:val="18"/>
        </w:rPr>
        <w:t>Repayments</w:t>
      </w:r>
      <w:r>
        <w:rPr>
          <w:i/>
          <w:spacing w:val="-1"/>
          <w:sz w:val="18"/>
        </w:rPr>
        <w:t> </w:t>
      </w:r>
      <w:r>
        <w:rPr>
          <w:i/>
          <w:sz w:val="18"/>
        </w:rPr>
        <w:t>of</w:t>
      </w:r>
      <w:r>
        <w:rPr>
          <w:i/>
          <w:spacing w:val="-2"/>
          <w:sz w:val="18"/>
        </w:rPr>
        <w:t> </w:t>
      </w:r>
      <w:r>
        <w:rPr>
          <w:i/>
          <w:sz w:val="18"/>
        </w:rPr>
        <w:t>Finance</w:t>
      </w:r>
      <w:r>
        <w:rPr>
          <w:i/>
          <w:spacing w:val="-2"/>
          <w:sz w:val="18"/>
        </w:rPr>
        <w:t> </w:t>
      </w:r>
      <w:r>
        <w:rPr>
          <w:i/>
          <w:sz w:val="18"/>
        </w:rPr>
        <w:t>Leases</w:t>
      </w:r>
      <w:r>
        <w:rPr>
          <w:i/>
          <w:spacing w:val="-1"/>
          <w:sz w:val="18"/>
        </w:rPr>
        <w:t> </w:t>
      </w:r>
      <w:r>
        <w:rPr>
          <w:i/>
          <w:sz w:val="18"/>
        </w:rPr>
        <w:t>and</w:t>
      </w:r>
      <w:r>
        <w:rPr>
          <w:i/>
          <w:spacing w:val="-2"/>
          <w:sz w:val="18"/>
        </w:rPr>
        <w:t> </w:t>
      </w:r>
      <w:r>
        <w:rPr>
          <w:i/>
          <w:sz w:val="18"/>
        </w:rPr>
        <w:t>Financing</w:t>
      </w:r>
      <w:r>
        <w:rPr>
          <w:i/>
          <w:spacing w:val="-1"/>
          <w:sz w:val="18"/>
        </w:rPr>
        <w:t> </w:t>
      </w:r>
      <w:r>
        <w:rPr>
          <w:i/>
          <w:spacing w:val="-2"/>
          <w:sz w:val="18"/>
        </w:rPr>
        <w:t>Obligations</w:t>
      </w:r>
    </w:p>
    <w:p>
      <w:pPr>
        <w:pStyle w:val="BodyText"/>
        <w:spacing w:line="249" w:lineRule="auto" w:before="90"/>
        <w:ind w:right="30" w:firstLine="445"/>
      </w:pPr>
      <w:r>
        <w:rPr/>
        <w:t>Free cash flow less principal repayments of finance leases and financing obligations is free cash flow reduced by “Principal repayments of finance leases” and “Principal repayments of financing obligations.” Principal repayments of finance leases and financing obligations approximates the actual payments of cash for our finance leases and financing obligations. The following is a reconciliation of free cash flow less principal repayments of finance leases</w:t>
      </w:r>
      <w:r>
        <w:rPr>
          <w:spacing w:val="-2"/>
        </w:rPr>
        <w:t> </w:t>
      </w:r>
      <w:r>
        <w:rPr/>
        <w:t>and</w:t>
      </w:r>
      <w:r>
        <w:rPr>
          <w:spacing w:val="-2"/>
        </w:rPr>
        <w:t> </w:t>
      </w:r>
      <w:r>
        <w:rPr/>
        <w:t>financing</w:t>
      </w:r>
      <w:r>
        <w:rPr>
          <w:spacing w:val="-2"/>
        </w:rPr>
        <w:t> </w:t>
      </w:r>
      <w:r>
        <w:rPr/>
        <w:t>obligations</w:t>
      </w:r>
      <w:r>
        <w:rPr>
          <w:spacing w:val="-2"/>
        </w:rPr>
        <w:t> </w:t>
      </w:r>
      <w:r>
        <w:rPr/>
        <w:t>to</w:t>
      </w:r>
      <w:r>
        <w:rPr>
          <w:spacing w:val="-2"/>
        </w:rPr>
        <w:t> </w:t>
      </w:r>
      <w:r>
        <w:rPr/>
        <w:t>the</w:t>
      </w:r>
      <w:r>
        <w:rPr>
          <w:spacing w:val="-2"/>
        </w:rPr>
        <w:t> </w:t>
      </w:r>
      <w:r>
        <w:rPr/>
        <w:t>most</w:t>
      </w:r>
      <w:r>
        <w:rPr>
          <w:spacing w:val="-2"/>
        </w:rPr>
        <w:t> </w:t>
      </w:r>
      <w:r>
        <w:rPr/>
        <w:t>comparable</w:t>
      </w:r>
      <w:r>
        <w:rPr>
          <w:spacing w:val="-2"/>
        </w:rPr>
        <w:t> </w:t>
      </w:r>
      <w:r>
        <w:rPr/>
        <w:t>GAAP</w:t>
      </w:r>
      <w:r>
        <w:rPr>
          <w:spacing w:val="-8"/>
        </w:rPr>
        <w:t> </w:t>
      </w:r>
      <w:r>
        <w:rPr/>
        <w:t>cash</w:t>
      </w:r>
      <w:r>
        <w:rPr>
          <w:spacing w:val="-2"/>
        </w:rPr>
        <w:t> </w:t>
      </w:r>
      <w:r>
        <w:rPr/>
        <w:t>flow</w:t>
      </w:r>
      <w:r>
        <w:rPr>
          <w:spacing w:val="-2"/>
        </w:rPr>
        <w:t> </w:t>
      </w:r>
      <w:r>
        <w:rPr/>
        <w:t>measure,</w:t>
      </w:r>
      <w:r>
        <w:rPr>
          <w:spacing w:val="-2"/>
        </w:rPr>
        <w:t> </w:t>
      </w:r>
      <w:r>
        <w:rPr/>
        <w:t>“Net</w:t>
      </w:r>
      <w:r>
        <w:rPr>
          <w:spacing w:val="-2"/>
        </w:rPr>
        <w:t> </w:t>
      </w:r>
      <w:r>
        <w:rPr/>
        <w:t>cash</w:t>
      </w:r>
      <w:r>
        <w:rPr>
          <w:spacing w:val="-2"/>
        </w:rPr>
        <w:t> </w:t>
      </w:r>
      <w:r>
        <w:rPr/>
        <w:t>provided</w:t>
      </w:r>
      <w:r>
        <w:rPr>
          <w:spacing w:val="-2"/>
        </w:rPr>
        <w:t> </w:t>
      </w:r>
      <w:r>
        <w:rPr/>
        <w:t>by</w:t>
      </w:r>
      <w:r>
        <w:rPr>
          <w:spacing w:val="-2"/>
        </w:rPr>
        <w:t> </w:t>
      </w:r>
      <w:r>
        <w:rPr/>
        <w:t>(used</w:t>
      </w:r>
      <w:r>
        <w:rPr>
          <w:spacing w:val="-2"/>
        </w:rPr>
        <w:t> </w:t>
      </w:r>
      <w:r>
        <w:rPr/>
        <w:t>in)</w:t>
      </w:r>
      <w:r>
        <w:rPr>
          <w:spacing w:val="-2"/>
        </w:rPr>
        <w:t> </w:t>
      </w:r>
      <w:r>
        <w:rPr/>
        <w:t>operating</w:t>
      </w:r>
      <w:r>
        <w:rPr>
          <w:spacing w:val="-2"/>
        </w:rPr>
        <w:t> </w:t>
      </w:r>
      <w:r>
        <w:rPr/>
        <w:t>activities,”</w:t>
      </w:r>
      <w:r>
        <w:rPr>
          <w:spacing w:val="-2"/>
        </w:rPr>
        <w:t> </w:t>
      </w:r>
      <w:r>
        <w:rPr/>
        <w:t>for</w:t>
      </w:r>
      <w:r>
        <w:rPr>
          <w:spacing w:val="-2"/>
        </w:rPr>
        <w:t> </w:t>
      </w:r>
      <w:r>
        <w:rPr/>
        <w:t>2023</w:t>
      </w:r>
      <w:r>
        <w:rPr>
          <w:spacing w:val="-2"/>
        </w:rPr>
        <w:t> </w:t>
      </w:r>
      <w:r>
        <w:rPr/>
        <w:t>and</w:t>
      </w:r>
      <w:r>
        <w:rPr>
          <w:spacing w:val="-2"/>
        </w:rPr>
        <w:t> </w:t>
      </w:r>
      <w:r>
        <w:rPr/>
        <w:t>2024</w:t>
      </w:r>
      <w:r>
        <w:rPr>
          <w:spacing w:val="-2"/>
        </w:rPr>
        <w:t> </w:t>
      </w:r>
      <w:r>
        <w:rPr/>
        <w:t>(in </w:t>
      </w:r>
      <w:r>
        <w:rPr>
          <w:spacing w:val="-2"/>
        </w:rPr>
        <w:t>millions):</w:t>
      </w:r>
    </w:p>
    <w:p>
      <w:pPr>
        <w:spacing w:before="54" w:after="58"/>
        <w:ind w:left="0" w:right="649" w:firstLine="0"/>
        <w:jc w:val="right"/>
        <w:rPr>
          <w:b/>
          <w:sz w:val="14"/>
        </w:rPr>
      </w:pPr>
      <w:r>
        <w:rPr>
          <w:b/>
          <w:sz w:val="14"/>
        </w:rPr>
        <w:t>Year</w:t>
      </w:r>
      <w:r>
        <w:rPr>
          <w:b/>
          <w:spacing w:val="1"/>
          <w:sz w:val="14"/>
        </w:rPr>
        <w:t> </w:t>
      </w:r>
      <w:r>
        <w:rPr>
          <w:b/>
          <w:sz w:val="14"/>
        </w:rPr>
        <w:t>Ended</w:t>
      </w:r>
      <w:r>
        <w:rPr>
          <w:b/>
          <w:spacing w:val="3"/>
          <w:sz w:val="14"/>
        </w:rPr>
        <w:t> </w:t>
      </w:r>
      <w:r>
        <w:rPr>
          <w:b/>
          <w:sz w:val="14"/>
        </w:rPr>
        <w:t>December</w:t>
      </w:r>
      <w:r>
        <w:rPr>
          <w:b/>
          <w:spacing w:val="1"/>
          <w:sz w:val="14"/>
        </w:rPr>
        <w:t> </w:t>
      </w:r>
      <w:r>
        <w:rPr>
          <w:b/>
          <w:spacing w:val="-5"/>
          <w:sz w:val="14"/>
        </w:rPr>
        <w:t>31,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53"/>
        <w:gridCol w:w="1350"/>
        <w:gridCol w:w="1512"/>
      </w:tblGrid>
      <w:tr>
        <w:trPr>
          <w:trHeight w:val="227" w:hRule="atLeast"/>
        </w:trPr>
        <w:tc>
          <w:tcPr>
            <w:tcW w:w="8653" w:type="dxa"/>
          </w:tcPr>
          <w:p>
            <w:pPr>
              <w:pStyle w:val="TableParagraph"/>
              <w:jc w:val="left"/>
              <w:rPr>
                <w:sz w:val="16"/>
              </w:rPr>
            </w:pPr>
          </w:p>
        </w:tc>
        <w:tc>
          <w:tcPr>
            <w:tcW w:w="1350" w:type="dxa"/>
            <w:tcBorders>
              <w:top w:val="single" w:sz="6" w:space="0" w:color="000000"/>
              <w:bottom w:val="single" w:sz="6" w:space="0" w:color="000000"/>
            </w:tcBorders>
          </w:tcPr>
          <w:p>
            <w:pPr>
              <w:pStyle w:val="TableParagraph"/>
              <w:spacing w:before="17"/>
              <w:ind w:left="5"/>
              <w:jc w:val="center"/>
              <w:rPr>
                <w:b/>
                <w:sz w:val="14"/>
              </w:rPr>
            </w:pPr>
            <w:r>
              <w:rPr>
                <w:b/>
                <w:spacing w:val="-4"/>
                <w:sz w:val="14"/>
              </w:rPr>
              <w:t>2023</w:t>
            </w:r>
          </w:p>
        </w:tc>
        <w:tc>
          <w:tcPr>
            <w:tcW w:w="1512" w:type="dxa"/>
            <w:tcBorders>
              <w:top w:val="single" w:sz="6" w:space="0" w:color="000000"/>
              <w:bottom w:val="single" w:sz="6" w:space="0" w:color="000000"/>
            </w:tcBorders>
          </w:tcPr>
          <w:p>
            <w:pPr>
              <w:pStyle w:val="TableParagraph"/>
              <w:spacing w:before="17"/>
              <w:ind w:left="87"/>
              <w:jc w:val="center"/>
              <w:rPr>
                <w:b/>
                <w:sz w:val="14"/>
              </w:rPr>
            </w:pPr>
            <w:r>
              <w:rPr>
                <w:b/>
                <w:spacing w:val="-4"/>
                <w:sz w:val="14"/>
              </w:rPr>
              <w:t>2024</w:t>
            </w:r>
          </w:p>
        </w:tc>
      </w:tr>
      <w:tr>
        <w:trPr>
          <w:trHeight w:val="269" w:hRule="atLeast"/>
        </w:trPr>
        <w:tc>
          <w:tcPr>
            <w:tcW w:w="8653" w:type="dxa"/>
            <w:shd w:val="clear" w:color="auto" w:fill="CCEDFF"/>
          </w:tcPr>
          <w:p>
            <w:pPr>
              <w:pStyle w:val="TableParagraph"/>
              <w:spacing w:before="20"/>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operating</w:t>
            </w:r>
            <w:r>
              <w:rPr>
                <w:spacing w:val="-1"/>
                <w:sz w:val="18"/>
              </w:rPr>
              <w:t> </w:t>
            </w:r>
            <w:r>
              <w:rPr>
                <w:spacing w:val="-2"/>
                <w:sz w:val="18"/>
              </w:rPr>
              <w:t>activities</w:t>
            </w:r>
          </w:p>
        </w:tc>
        <w:tc>
          <w:tcPr>
            <w:tcW w:w="1350" w:type="dxa"/>
            <w:tcBorders>
              <w:top w:val="single" w:sz="6" w:space="0" w:color="000000"/>
            </w:tcBorders>
            <w:shd w:val="clear" w:color="auto" w:fill="CCEDFF"/>
          </w:tcPr>
          <w:p>
            <w:pPr>
              <w:pStyle w:val="TableParagraph"/>
              <w:tabs>
                <w:tab w:pos="771" w:val="left" w:leader="none"/>
              </w:tabs>
              <w:spacing w:before="20"/>
              <w:ind w:right="63"/>
              <w:rPr>
                <w:sz w:val="18"/>
              </w:rPr>
            </w:pPr>
            <w:r>
              <w:rPr>
                <w:spacing w:val="-10"/>
                <w:sz w:val="18"/>
              </w:rPr>
              <w:t>$</w:t>
            </w:r>
            <w:r>
              <w:rPr>
                <w:sz w:val="18"/>
              </w:rPr>
              <w:tab/>
            </w:r>
            <w:r>
              <w:rPr>
                <w:spacing w:val="-2"/>
                <w:sz w:val="18"/>
              </w:rPr>
              <w:t>84,946</w:t>
            </w:r>
          </w:p>
        </w:tc>
        <w:tc>
          <w:tcPr>
            <w:tcW w:w="1512" w:type="dxa"/>
            <w:tcBorders>
              <w:top w:val="single" w:sz="6" w:space="0" w:color="000000"/>
            </w:tcBorders>
            <w:shd w:val="clear" w:color="auto" w:fill="CCEDFF"/>
          </w:tcPr>
          <w:p>
            <w:pPr>
              <w:pStyle w:val="TableParagraph"/>
              <w:tabs>
                <w:tab w:pos="688" w:val="left" w:leader="none"/>
              </w:tabs>
              <w:spacing w:before="20"/>
              <w:ind w:right="104"/>
              <w:rPr>
                <w:sz w:val="18"/>
              </w:rPr>
            </w:pPr>
            <w:r>
              <w:rPr>
                <w:spacing w:val="-10"/>
                <w:sz w:val="18"/>
              </w:rPr>
              <w:t>$</w:t>
            </w:r>
            <w:r>
              <w:rPr>
                <w:sz w:val="18"/>
              </w:rPr>
              <w:tab/>
            </w:r>
            <w:r>
              <w:rPr>
                <w:spacing w:val="-2"/>
                <w:sz w:val="18"/>
              </w:rPr>
              <w:t>115,877</w:t>
            </w:r>
          </w:p>
        </w:tc>
      </w:tr>
      <w:tr>
        <w:trPr>
          <w:trHeight w:val="268" w:hRule="atLeast"/>
        </w:trPr>
        <w:tc>
          <w:tcPr>
            <w:tcW w:w="8653" w:type="dxa"/>
          </w:tcPr>
          <w:p>
            <w:pPr>
              <w:pStyle w:val="TableParagraph"/>
              <w:spacing w:before="21"/>
              <w:ind w:left="17"/>
              <w:jc w:val="left"/>
              <w:rPr>
                <w:sz w:val="18"/>
              </w:rPr>
            </w:pPr>
            <w:r>
              <w:rPr>
                <w:sz w:val="18"/>
              </w:rPr>
              <w:t>Purchases</w:t>
            </w:r>
            <w:r>
              <w:rPr>
                <w:spacing w:val="-1"/>
                <w:sz w:val="18"/>
              </w:rPr>
              <w:t> </w:t>
            </w:r>
            <w:r>
              <w:rPr>
                <w:sz w:val="18"/>
              </w:rPr>
              <w:t>of</w:t>
            </w:r>
            <w:r>
              <w:rPr>
                <w:spacing w:val="-1"/>
                <w:sz w:val="18"/>
              </w:rPr>
              <w:t> </w:t>
            </w:r>
            <w:r>
              <w:rPr>
                <w:sz w:val="18"/>
              </w:rPr>
              <w:t>property</w:t>
            </w:r>
            <w:r>
              <w:rPr>
                <w:spacing w:val="-1"/>
                <w:sz w:val="18"/>
              </w:rPr>
              <w:t> </w:t>
            </w:r>
            <w:r>
              <w:rPr>
                <w:sz w:val="18"/>
              </w:rPr>
              <w:t>and</w:t>
            </w:r>
            <w:r>
              <w:rPr>
                <w:spacing w:val="-1"/>
                <w:sz w:val="18"/>
              </w:rPr>
              <w:t> </w:t>
            </w:r>
            <w:r>
              <w:rPr>
                <w:sz w:val="18"/>
              </w:rPr>
              <w:t>equipment,</w:t>
            </w:r>
            <w:r>
              <w:rPr>
                <w:spacing w:val="-1"/>
                <w:sz w:val="18"/>
              </w:rPr>
              <w:t> </w:t>
            </w:r>
            <w:r>
              <w:rPr>
                <w:sz w:val="18"/>
              </w:rPr>
              <w:t>net</w:t>
            </w:r>
            <w:r>
              <w:rPr>
                <w:spacing w:val="-1"/>
                <w:sz w:val="18"/>
              </w:rPr>
              <w:t> </w:t>
            </w:r>
            <w:r>
              <w:rPr>
                <w:sz w:val="18"/>
              </w:rPr>
              <w:t>of</w:t>
            </w:r>
            <w:r>
              <w:rPr>
                <w:spacing w:val="-1"/>
                <w:sz w:val="18"/>
              </w:rPr>
              <w:t> </w:t>
            </w:r>
            <w:r>
              <w:rPr>
                <w:sz w:val="18"/>
              </w:rPr>
              <w:t>proceeds</w:t>
            </w:r>
            <w:r>
              <w:rPr>
                <w:spacing w:val="-1"/>
                <w:sz w:val="18"/>
              </w:rPr>
              <w:t> </w:t>
            </w:r>
            <w:r>
              <w:rPr>
                <w:sz w:val="18"/>
              </w:rPr>
              <w:t>from</w:t>
            </w:r>
            <w:r>
              <w:rPr>
                <w:spacing w:val="-1"/>
                <w:sz w:val="18"/>
              </w:rPr>
              <w:t> </w:t>
            </w:r>
            <w:r>
              <w:rPr>
                <w:sz w:val="18"/>
              </w:rPr>
              <w:t>sales</w:t>
            </w:r>
            <w:r>
              <w:rPr>
                <w:spacing w:val="-1"/>
                <w:sz w:val="18"/>
              </w:rPr>
              <w:t> </w:t>
            </w:r>
            <w:r>
              <w:rPr>
                <w:sz w:val="18"/>
              </w:rPr>
              <w:t>and</w:t>
            </w:r>
            <w:r>
              <w:rPr>
                <w:spacing w:val="-1"/>
                <w:sz w:val="18"/>
              </w:rPr>
              <w:t> </w:t>
            </w:r>
            <w:r>
              <w:rPr>
                <w:spacing w:val="-2"/>
                <w:sz w:val="18"/>
              </w:rPr>
              <w:t>incentives</w:t>
            </w:r>
          </w:p>
        </w:tc>
        <w:tc>
          <w:tcPr>
            <w:tcW w:w="1350" w:type="dxa"/>
            <w:tcBorders>
              <w:bottom w:val="single" w:sz="12" w:space="0" w:color="000000"/>
            </w:tcBorders>
          </w:tcPr>
          <w:p>
            <w:pPr>
              <w:pStyle w:val="TableParagraph"/>
              <w:spacing w:before="21"/>
              <w:ind w:right="18"/>
              <w:rPr>
                <w:sz w:val="18"/>
              </w:rPr>
            </w:pPr>
            <w:r>
              <w:rPr>
                <w:spacing w:val="-2"/>
                <w:sz w:val="18"/>
              </w:rPr>
              <w:t>(48,133)</w:t>
            </w:r>
          </w:p>
        </w:tc>
        <w:tc>
          <w:tcPr>
            <w:tcW w:w="1512" w:type="dxa"/>
            <w:tcBorders>
              <w:bottom w:val="single" w:sz="12" w:space="0" w:color="000000"/>
            </w:tcBorders>
          </w:tcPr>
          <w:p>
            <w:pPr>
              <w:pStyle w:val="TableParagraph"/>
              <w:spacing w:before="21"/>
              <w:ind w:right="59"/>
              <w:rPr>
                <w:sz w:val="18"/>
              </w:rPr>
            </w:pPr>
            <w:r>
              <w:rPr>
                <w:spacing w:val="-2"/>
                <w:sz w:val="18"/>
              </w:rPr>
              <w:t>(77,658)</w:t>
            </w:r>
          </w:p>
        </w:tc>
      </w:tr>
      <w:tr>
        <w:trPr>
          <w:trHeight w:val="268" w:hRule="atLeast"/>
        </w:trPr>
        <w:tc>
          <w:tcPr>
            <w:tcW w:w="8653" w:type="dxa"/>
            <w:shd w:val="clear" w:color="auto" w:fill="CCEDFF"/>
          </w:tcPr>
          <w:p>
            <w:pPr>
              <w:pStyle w:val="TableParagraph"/>
              <w:spacing w:before="6"/>
              <w:ind w:left="17"/>
              <w:jc w:val="left"/>
              <w:rPr>
                <w:sz w:val="18"/>
              </w:rPr>
            </w:pPr>
            <w:r>
              <w:rPr>
                <w:sz w:val="18"/>
              </w:rPr>
              <w:t>Free</w:t>
            </w:r>
            <w:r>
              <w:rPr>
                <w:spacing w:val="-1"/>
                <w:sz w:val="18"/>
              </w:rPr>
              <w:t> </w:t>
            </w:r>
            <w:r>
              <w:rPr>
                <w:sz w:val="18"/>
              </w:rPr>
              <w:t>cash</w:t>
            </w:r>
            <w:r>
              <w:rPr>
                <w:spacing w:val="-1"/>
                <w:sz w:val="18"/>
              </w:rPr>
              <w:t> </w:t>
            </w:r>
            <w:r>
              <w:rPr>
                <w:spacing w:val="-4"/>
                <w:sz w:val="18"/>
              </w:rPr>
              <w:t>flow</w:t>
            </w:r>
          </w:p>
        </w:tc>
        <w:tc>
          <w:tcPr>
            <w:tcW w:w="1350" w:type="dxa"/>
            <w:tcBorders>
              <w:top w:val="single" w:sz="12" w:space="0" w:color="000000"/>
            </w:tcBorders>
            <w:shd w:val="clear" w:color="auto" w:fill="CCEDFF"/>
          </w:tcPr>
          <w:p>
            <w:pPr>
              <w:pStyle w:val="TableParagraph"/>
              <w:spacing w:before="19"/>
              <w:ind w:right="63"/>
              <w:rPr>
                <w:sz w:val="18"/>
              </w:rPr>
            </w:pPr>
            <w:r>
              <w:rPr>
                <w:spacing w:val="-2"/>
                <w:sz w:val="18"/>
              </w:rPr>
              <w:t>36,813</w:t>
            </w:r>
          </w:p>
        </w:tc>
        <w:tc>
          <w:tcPr>
            <w:tcW w:w="1512" w:type="dxa"/>
            <w:tcBorders>
              <w:top w:val="single" w:sz="12" w:space="0" w:color="000000"/>
            </w:tcBorders>
            <w:shd w:val="clear" w:color="auto" w:fill="CCEDFF"/>
          </w:tcPr>
          <w:p>
            <w:pPr>
              <w:pStyle w:val="TableParagraph"/>
              <w:spacing w:before="19"/>
              <w:ind w:right="104"/>
              <w:rPr>
                <w:sz w:val="18"/>
              </w:rPr>
            </w:pPr>
            <w:r>
              <w:rPr>
                <w:spacing w:val="-2"/>
                <w:sz w:val="18"/>
              </w:rPr>
              <w:t>38,219</w:t>
            </w:r>
          </w:p>
        </w:tc>
      </w:tr>
      <w:tr>
        <w:trPr>
          <w:trHeight w:val="269" w:hRule="atLeast"/>
        </w:trPr>
        <w:tc>
          <w:tcPr>
            <w:tcW w:w="8653" w:type="dxa"/>
          </w:tcPr>
          <w:p>
            <w:pPr>
              <w:pStyle w:val="TableParagraph"/>
              <w:spacing w:before="21"/>
              <w:ind w:left="17"/>
              <w:jc w:val="left"/>
              <w:rPr>
                <w:sz w:val="18"/>
              </w:rPr>
            </w:pPr>
            <w:r>
              <w:rPr>
                <w:sz w:val="18"/>
              </w:rPr>
              <w:t>Principal</w:t>
            </w:r>
            <w:r>
              <w:rPr>
                <w:spacing w:val="-1"/>
                <w:sz w:val="18"/>
              </w:rPr>
              <w:t> </w:t>
            </w:r>
            <w:r>
              <w:rPr>
                <w:sz w:val="18"/>
              </w:rPr>
              <w:t>repayments</w:t>
            </w:r>
            <w:r>
              <w:rPr>
                <w:spacing w:val="-1"/>
                <w:sz w:val="18"/>
              </w:rPr>
              <w:t> </w:t>
            </w:r>
            <w:r>
              <w:rPr>
                <w:sz w:val="18"/>
              </w:rPr>
              <w:t>of</w:t>
            </w:r>
            <w:r>
              <w:rPr>
                <w:spacing w:val="-1"/>
                <w:sz w:val="18"/>
              </w:rPr>
              <w:t> </w:t>
            </w:r>
            <w:r>
              <w:rPr>
                <w:sz w:val="18"/>
              </w:rPr>
              <w:t>finance</w:t>
            </w:r>
            <w:r>
              <w:rPr>
                <w:spacing w:val="-1"/>
                <w:sz w:val="18"/>
              </w:rPr>
              <w:t> </w:t>
            </w:r>
            <w:r>
              <w:rPr>
                <w:spacing w:val="-2"/>
                <w:sz w:val="18"/>
              </w:rPr>
              <w:t>leases</w:t>
            </w:r>
          </w:p>
        </w:tc>
        <w:tc>
          <w:tcPr>
            <w:tcW w:w="1350" w:type="dxa"/>
          </w:tcPr>
          <w:p>
            <w:pPr>
              <w:pStyle w:val="TableParagraph"/>
              <w:spacing w:before="21"/>
              <w:ind w:right="18"/>
              <w:rPr>
                <w:sz w:val="18"/>
              </w:rPr>
            </w:pPr>
            <w:r>
              <w:rPr>
                <w:spacing w:val="-2"/>
                <w:sz w:val="18"/>
              </w:rPr>
              <w:t>(4,384)</w:t>
            </w:r>
          </w:p>
        </w:tc>
        <w:tc>
          <w:tcPr>
            <w:tcW w:w="1512" w:type="dxa"/>
          </w:tcPr>
          <w:p>
            <w:pPr>
              <w:pStyle w:val="TableParagraph"/>
              <w:spacing w:before="21"/>
              <w:ind w:right="59"/>
              <w:rPr>
                <w:sz w:val="18"/>
              </w:rPr>
            </w:pPr>
            <w:r>
              <w:rPr>
                <w:spacing w:val="-2"/>
                <w:sz w:val="18"/>
              </w:rPr>
              <w:t>(2,043)</w:t>
            </w:r>
          </w:p>
        </w:tc>
      </w:tr>
      <w:tr>
        <w:trPr>
          <w:trHeight w:val="269" w:hRule="atLeast"/>
        </w:trPr>
        <w:tc>
          <w:tcPr>
            <w:tcW w:w="8653" w:type="dxa"/>
            <w:shd w:val="clear" w:color="auto" w:fill="CCEDFF"/>
          </w:tcPr>
          <w:p>
            <w:pPr>
              <w:pStyle w:val="TableParagraph"/>
              <w:spacing w:before="21"/>
              <w:ind w:left="17"/>
              <w:jc w:val="left"/>
              <w:rPr>
                <w:sz w:val="18"/>
              </w:rPr>
            </w:pPr>
            <w:r>
              <w:rPr>
                <w:sz w:val="18"/>
              </w:rPr>
              <w:t>Principal</w:t>
            </w:r>
            <w:r>
              <w:rPr>
                <w:spacing w:val="-1"/>
                <w:sz w:val="18"/>
              </w:rPr>
              <w:t> </w:t>
            </w:r>
            <w:r>
              <w:rPr>
                <w:sz w:val="18"/>
              </w:rPr>
              <w:t>repayments</w:t>
            </w:r>
            <w:r>
              <w:rPr>
                <w:spacing w:val="-1"/>
                <w:sz w:val="18"/>
              </w:rPr>
              <w:t> </w:t>
            </w:r>
            <w:r>
              <w:rPr>
                <w:sz w:val="18"/>
              </w:rPr>
              <w:t>of</w:t>
            </w:r>
            <w:r>
              <w:rPr>
                <w:spacing w:val="-1"/>
                <w:sz w:val="18"/>
              </w:rPr>
              <w:t> </w:t>
            </w:r>
            <w:r>
              <w:rPr>
                <w:sz w:val="18"/>
              </w:rPr>
              <w:t>financing</w:t>
            </w:r>
            <w:r>
              <w:rPr>
                <w:spacing w:val="-1"/>
                <w:sz w:val="18"/>
              </w:rPr>
              <w:t> </w:t>
            </w:r>
            <w:r>
              <w:rPr>
                <w:spacing w:val="-2"/>
                <w:sz w:val="18"/>
              </w:rPr>
              <w:t>obligations</w:t>
            </w:r>
          </w:p>
        </w:tc>
        <w:tc>
          <w:tcPr>
            <w:tcW w:w="1350" w:type="dxa"/>
            <w:tcBorders>
              <w:bottom w:val="single" w:sz="6" w:space="0" w:color="000000"/>
            </w:tcBorders>
            <w:shd w:val="clear" w:color="auto" w:fill="CCEDFF"/>
          </w:tcPr>
          <w:p>
            <w:pPr>
              <w:pStyle w:val="TableParagraph"/>
              <w:spacing w:before="21"/>
              <w:ind w:right="18"/>
              <w:rPr>
                <w:sz w:val="18"/>
              </w:rPr>
            </w:pPr>
            <w:r>
              <w:rPr>
                <w:spacing w:val="-2"/>
                <w:sz w:val="18"/>
              </w:rPr>
              <w:t>(271)</w:t>
            </w:r>
          </w:p>
        </w:tc>
        <w:tc>
          <w:tcPr>
            <w:tcW w:w="1512" w:type="dxa"/>
            <w:tcBorders>
              <w:bottom w:val="single" w:sz="6" w:space="0" w:color="000000"/>
            </w:tcBorders>
            <w:shd w:val="clear" w:color="auto" w:fill="CCEDFF"/>
          </w:tcPr>
          <w:p>
            <w:pPr>
              <w:pStyle w:val="TableParagraph"/>
              <w:spacing w:before="21"/>
              <w:ind w:right="59"/>
              <w:rPr>
                <w:sz w:val="18"/>
              </w:rPr>
            </w:pPr>
            <w:r>
              <w:rPr>
                <w:spacing w:val="-2"/>
                <w:sz w:val="18"/>
              </w:rPr>
              <w:t>(669)</w:t>
            </w:r>
          </w:p>
        </w:tc>
      </w:tr>
      <w:tr>
        <w:trPr>
          <w:trHeight w:val="273" w:hRule="atLeast"/>
        </w:trPr>
        <w:tc>
          <w:tcPr>
            <w:tcW w:w="8653" w:type="dxa"/>
          </w:tcPr>
          <w:p>
            <w:pPr>
              <w:pStyle w:val="TableParagraph"/>
              <w:spacing w:before="6"/>
              <w:ind w:left="17"/>
              <w:jc w:val="left"/>
              <w:rPr>
                <w:sz w:val="18"/>
              </w:rPr>
            </w:pPr>
            <w:r>
              <w:rPr>
                <w:sz w:val="18"/>
              </w:rPr>
              <w:t>Free</w:t>
            </w:r>
            <w:r>
              <w:rPr>
                <w:spacing w:val="-1"/>
                <w:sz w:val="18"/>
              </w:rPr>
              <w:t> </w:t>
            </w:r>
            <w:r>
              <w:rPr>
                <w:sz w:val="18"/>
              </w:rPr>
              <w:t>cash</w:t>
            </w:r>
            <w:r>
              <w:rPr>
                <w:spacing w:val="-1"/>
                <w:sz w:val="18"/>
              </w:rPr>
              <w:t> </w:t>
            </w:r>
            <w:r>
              <w:rPr>
                <w:sz w:val="18"/>
              </w:rPr>
              <w:t>flow</w:t>
            </w:r>
            <w:r>
              <w:rPr>
                <w:spacing w:val="-1"/>
                <w:sz w:val="18"/>
              </w:rPr>
              <w:t> </w:t>
            </w:r>
            <w:r>
              <w:rPr>
                <w:sz w:val="18"/>
              </w:rPr>
              <w:t>less</w:t>
            </w:r>
            <w:r>
              <w:rPr>
                <w:spacing w:val="-1"/>
                <w:sz w:val="18"/>
              </w:rPr>
              <w:t> </w:t>
            </w:r>
            <w:r>
              <w:rPr>
                <w:sz w:val="18"/>
              </w:rPr>
              <w:t>principal</w:t>
            </w:r>
            <w:r>
              <w:rPr>
                <w:spacing w:val="-1"/>
                <w:sz w:val="18"/>
              </w:rPr>
              <w:t> </w:t>
            </w:r>
            <w:r>
              <w:rPr>
                <w:sz w:val="18"/>
              </w:rPr>
              <w:t>repayments</w:t>
            </w:r>
            <w:r>
              <w:rPr>
                <w:spacing w:val="-1"/>
                <w:sz w:val="18"/>
              </w:rPr>
              <w:t> </w:t>
            </w:r>
            <w:r>
              <w:rPr>
                <w:sz w:val="18"/>
              </w:rPr>
              <w:t>of</w:t>
            </w:r>
            <w:r>
              <w:rPr>
                <w:spacing w:val="-1"/>
                <w:sz w:val="18"/>
              </w:rPr>
              <w:t> </w:t>
            </w:r>
            <w:r>
              <w:rPr>
                <w:sz w:val="18"/>
              </w:rPr>
              <w:t>finance</w:t>
            </w:r>
            <w:r>
              <w:rPr>
                <w:spacing w:val="-1"/>
                <w:sz w:val="18"/>
              </w:rPr>
              <w:t> </w:t>
            </w:r>
            <w:r>
              <w:rPr>
                <w:sz w:val="18"/>
              </w:rPr>
              <w:t>leases</w:t>
            </w:r>
            <w:r>
              <w:rPr>
                <w:spacing w:val="-1"/>
                <w:sz w:val="18"/>
              </w:rPr>
              <w:t> </w:t>
            </w:r>
            <w:r>
              <w:rPr>
                <w:sz w:val="18"/>
              </w:rPr>
              <w:t>and</w:t>
            </w:r>
            <w:r>
              <w:rPr>
                <w:spacing w:val="-1"/>
                <w:sz w:val="18"/>
              </w:rPr>
              <w:t> </w:t>
            </w:r>
            <w:r>
              <w:rPr>
                <w:sz w:val="18"/>
              </w:rPr>
              <w:t>financing</w:t>
            </w:r>
            <w:r>
              <w:rPr>
                <w:spacing w:val="-1"/>
                <w:sz w:val="18"/>
              </w:rPr>
              <w:t> </w:t>
            </w:r>
            <w:r>
              <w:rPr>
                <w:spacing w:val="-2"/>
                <w:sz w:val="18"/>
              </w:rPr>
              <w:t>obligations</w:t>
            </w:r>
          </w:p>
        </w:tc>
        <w:tc>
          <w:tcPr>
            <w:tcW w:w="1350" w:type="dxa"/>
            <w:tcBorders>
              <w:top w:val="single" w:sz="6" w:space="0" w:color="000000"/>
              <w:bottom w:val="double" w:sz="6" w:space="0" w:color="000000"/>
            </w:tcBorders>
          </w:tcPr>
          <w:p>
            <w:pPr>
              <w:pStyle w:val="TableParagraph"/>
              <w:tabs>
                <w:tab w:pos="771" w:val="left" w:leader="none"/>
              </w:tabs>
              <w:spacing w:before="20"/>
              <w:ind w:right="63"/>
              <w:rPr>
                <w:sz w:val="18"/>
              </w:rPr>
            </w:pPr>
            <w:r>
              <w:rPr>
                <w:spacing w:val="-10"/>
                <w:sz w:val="18"/>
              </w:rPr>
              <w:t>$</w:t>
            </w:r>
            <w:r>
              <w:rPr>
                <w:sz w:val="18"/>
              </w:rPr>
              <w:tab/>
            </w:r>
            <w:r>
              <w:rPr>
                <w:spacing w:val="-2"/>
                <w:sz w:val="18"/>
              </w:rPr>
              <w:t>32,158</w:t>
            </w:r>
          </w:p>
        </w:tc>
        <w:tc>
          <w:tcPr>
            <w:tcW w:w="1512" w:type="dxa"/>
            <w:tcBorders>
              <w:top w:val="single" w:sz="6" w:space="0" w:color="000000"/>
              <w:bottom w:val="double" w:sz="6" w:space="0" w:color="000000"/>
            </w:tcBorders>
          </w:tcPr>
          <w:p>
            <w:pPr>
              <w:pStyle w:val="TableParagraph"/>
              <w:tabs>
                <w:tab w:pos="771" w:val="left" w:leader="none"/>
              </w:tabs>
              <w:spacing w:before="20"/>
              <w:ind w:right="104"/>
              <w:rPr>
                <w:sz w:val="18"/>
              </w:rPr>
            </w:pPr>
            <w:r>
              <w:rPr>
                <w:spacing w:val="-10"/>
                <w:sz w:val="18"/>
              </w:rPr>
              <w:t>$</w:t>
            </w:r>
            <w:r>
              <w:rPr>
                <w:sz w:val="18"/>
              </w:rPr>
              <w:tab/>
            </w:r>
            <w:r>
              <w:rPr>
                <w:spacing w:val="-2"/>
                <w:sz w:val="18"/>
              </w:rPr>
              <w:t>35,507</w:t>
            </w:r>
          </w:p>
        </w:tc>
      </w:tr>
      <w:tr>
        <w:trPr>
          <w:trHeight w:val="247" w:hRule="atLeast"/>
        </w:trPr>
        <w:tc>
          <w:tcPr>
            <w:tcW w:w="8653" w:type="dxa"/>
            <w:shd w:val="clear" w:color="auto" w:fill="CCEDFF"/>
          </w:tcPr>
          <w:p>
            <w:pPr>
              <w:pStyle w:val="TableParagraph"/>
              <w:jc w:val="left"/>
              <w:rPr>
                <w:sz w:val="16"/>
              </w:rPr>
            </w:pPr>
          </w:p>
        </w:tc>
        <w:tc>
          <w:tcPr>
            <w:tcW w:w="1350" w:type="dxa"/>
            <w:tcBorders>
              <w:top w:val="double" w:sz="6" w:space="0" w:color="000000"/>
            </w:tcBorders>
            <w:shd w:val="clear" w:color="auto" w:fill="CCEDFF"/>
          </w:tcPr>
          <w:p>
            <w:pPr>
              <w:pStyle w:val="TableParagraph"/>
              <w:jc w:val="left"/>
              <w:rPr>
                <w:sz w:val="16"/>
              </w:rPr>
            </w:pPr>
          </w:p>
        </w:tc>
        <w:tc>
          <w:tcPr>
            <w:tcW w:w="1512" w:type="dxa"/>
            <w:tcBorders>
              <w:top w:val="double" w:sz="6" w:space="0" w:color="000000"/>
            </w:tcBorders>
            <w:shd w:val="clear" w:color="auto" w:fill="CCEDFF"/>
          </w:tcPr>
          <w:p>
            <w:pPr>
              <w:pStyle w:val="TableParagraph"/>
              <w:jc w:val="left"/>
              <w:rPr>
                <w:sz w:val="16"/>
              </w:rPr>
            </w:pPr>
          </w:p>
        </w:tc>
      </w:tr>
      <w:tr>
        <w:trPr>
          <w:trHeight w:val="269" w:hRule="atLeast"/>
        </w:trPr>
        <w:tc>
          <w:tcPr>
            <w:tcW w:w="8653" w:type="dxa"/>
          </w:tcPr>
          <w:p>
            <w:pPr>
              <w:pStyle w:val="TableParagraph"/>
              <w:spacing w:before="21"/>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investing</w:t>
            </w:r>
            <w:r>
              <w:rPr>
                <w:spacing w:val="-1"/>
                <w:sz w:val="18"/>
              </w:rPr>
              <w:t> </w:t>
            </w:r>
            <w:r>
              <w:rPr>
                <w:spacing w:val="-2"/>
                <w:sz w:val="18"/>
              </w:rPr>
              <w:t>activities</w:t>
            </w:r>
          </w:p>
        </w:tc>
        <w:tc>
          <w:tcPr>
            <w:tcW w:w="1350" w:type="dxa"/>
          </w:tcPr>
          <w:p>
            <w:pPr>
              <w:pStyle w:val="TableParagraph"/>
              <w:tabs>
                <w:tab w:pos="696" w:val="left" w:leader="none"/>
              </w:tabs>
              <w:spacing w:before="21"/>
              <w:ind w:right="18"/>
              <w:rPr>
                <w:sz w:val="18"/>
              </w:rPr>
            </w:pPr>
            <w:r>
              <w:rPr>
                <w:spacing w:val="-10"/>
                <w:sz w:val="18"/>
              </w:rPr>
              <w:t>$</w:t>
            </w:r>
            <w:r>
              <w:rPr>
                <w:sz w:val="18"/>
              </w:rPr>
              <w:tab/>
            </w:r>
            <w:r>
              <w:rPr>
                <w:spacing w:val="-2"/>
                <w:sz w:val="18"/>
              </w:rPr>
              <w:t>(49,833)</w:t>
            </w:r>
          </w:p>
        </w:tc>
        <w:tc>
          <w:tcPr>
            <w:tcW w:w="1512" w:type="dxa"/>
          </w:tcPr>
          <w:p>
            <w:pPr>
              <w:pStyle w:val="TableParagraph"/>
              <w:tabs>
                <w:tab w:pos="696" w:val="left" w:leader="none"/>
              </w:tabs>
              <w:spacing w:before="21"/>
              <w:ind w:right="59"/>
              <w:rPr>
                <w:sz w:val="18"/>
              </w:rPr>
            </w:pPr>
            <w:r>
              <w:rPr>
                <w:spacing w:val="-10"/>
                <w:sz w:val="18"/>
              </w:rPr>
              <w:t>$</w:t>
            </w:r>
            <w:r>
              <w:rPr>
                <w:sz w:val="18"/>
              </w:rPr>
              <w:tab/>
            </w:r>
            <w:r>
              <w:rPr>
                <w:spacing w:val="-2"/>
                <w:sz w:val="18"/>
              </w:rPr>
              <w:t>(94,342)</w:t>
            </w:r>
          </w:p>
        </w:tc>
      </w:tr>
      <w:tr>
        <w:trPr>
          <w:trHeight w:val="269" w:hRule="atLeast"/>
        </w:trPr>
        <w:tc>
          <w:tcPr>
            <w:tcW w:w="8653" w:type="dxa"/>
            <w:shd w:val="clear" w:color="auto" w:fill="CCEDFF"/>
          </w:tcPr>
          <w:p>
            <w:pPr>
              <w:pStyle w:val="TableParagraph"/>
              <w:spacing w:before="21"/>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financing</w:t>
            </w:r>
            <w:r>
              <w:rPr>
                <w:spacing w:val="-1"/>
                <w:sz w:val="18"/>
              </w:rPr>
              <w:t> </w:t>
            </w:r>
            <w:r>
              <w:rPr>
                <w:spacing w:val="-2"/>
                <w:sz w:val="18"/>
              </w:rPr>
              <w:t>activities</w:t>
            </w:r>
          </w:p>
        </w:tc>
        <w:tc>
          <w:tcPr>
            <w:tcW w:w="1350" w:type="dxa"/>
            <w:shd w:val="clear" w:color="auto" w:fill="CCEDFF"/>
          </w:tcPr>
          <w:p>
            <w:pPr>
              <w:pStyle w:val="TableParagraph"/>
              <w:tabs>
                <w:tab w:pos="696" w:val="left" w:leader="none"/>
              </w:tabs>
              <w:spacing w:before="21"/>
              <w:ind w:right="18"/>
              <w:rPr>
                <w:sz w:val="18"/>
              </w:rPr>
            </w:pPr>
            <w:r>
              <w:rPr>
                <w:spacing w:val="-10"/>
                <w:sz w:val="18"/>
              </w:rPr>
              <w:t>$</w:t>
            </w:r>
            <w:r>
              <w:rPr>
                <w:sz w:val="18"/>
              </w:rPr>
              <w:tab/>
            </w:r>
            <w:r>
              <w:rPr>
                <w:spacing w:val="-2"/>
                <w:sz w:val="18"/>
              </w:rPr>
              <w:t>(15,879)</w:t>
            </w:r>
          </w:p>
        </w:tc>
        <w:tc>
          <w:tcPr>
            <w:tcW w:w="1512" w:type="dxa"/>
            <w:shd w:val="clear" w:color="auto" w:fill="CCEDFF"/>
          </w:tcPr>
          <w:p>
            <w:pPr>
              <w:pStyle w:val="TableParagraph"/>
              <w:tabs>
                <w:tab w:pos="703" w:val="left" w:leader="none"/>
              </w:tabs>
              <w:spacing w:before="21"/>
              <w:ind w:right="59"/>
              <w:rPr>
                <w:sz w:val="18"/>
              </w:rPr>
            </w:pPr>
            <w:r>
              <w:rPr>
                <w:spacing w:val="-10"/>
                <w:sz w:val="18"/>
              </w:rPr>
              <w:t>$</w:t>
            </w:r>
            <w:r>
              <w:rPr>
                <w:sz w:val="18"/>
              </w:rPr>
              <w:tab/>
            </w:r>
            <w:r>
              <w:rPr>
                <w:spacing w:val="-2"/>
                <w:sz w:val="18"/>
              </w:rPr>
              <w:t>(11,812)</w:t>
            </w:r>
          </w:p>
        </w:tc>
      </w:tr>
    </w:tbl>
    <w:p>
      <w:pPr>
        <w:pStyle w:val="BodyText"/>
        <w:ind w:left="0"/>
        <w:rPr>
          <w:b/>
        </w:rPr>
      </w:pPr>
    </w:p>
    <w:p>
      <w:pPr>
        <w:pStyle w:val="BodyText"/>
        <w:ind w:left="0"/>
        <w:rPr>
          <w:b/>
        </w:rPr>
      </w:pPr>
    </w:p>
    <w:p>
      <w:pPr>
        <w:pStyle w:val="BodyText"/>
        <w:spacing w:before="33"/>
        <w:ind w:left="0"/>
        <w:rPr>
          <w:b/>
        </w:rPr>
      </w:pPr>
    </w:p>
    <w:p>
      <w:pPr>
        <w:pStyle w:val="BodyText"/>
        <w:jc w:val="center"/>
      </w:pPr>
      <w:r>
        <w:rPr/>
        <mc:AlternateContent>
          <mc:Choice Requires="wps">
            <w:drawing>
              <wp:anchor distT="0" distB="0" distL="0" distR="0" allowOverlap="1" layoutInCell="1" locked="0" behindDoc="0" simplePos="0" relativeHeight="15738368">
                <wp:simplePos x="0" y="0"/>
                <wp:positionH relativeFrom="page">
                  <wp:posOffset>231457</wp:posOffset>
                </wp:positionH>
                <wp:positionV relativeFrom="paragraph">
                  <wp:posOffset>201487</wp:posOffset>
                </wp:positionV>
                <wp:extent cx="7312659" cy="1714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312659" cy="17145"/>
                          <a:chExt cx="7312659" cy="17145"/>
                        </a:xfrm>
                      </wpg:grpSpPr>
                      <wps:wsp>
                        <wps:cNvPr id="52" name="Graphic 5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3" name="Graphic 53"/>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4" name="Graphic 5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65124pt;width:575.8pt;height:1.35pt;mso-position-horizontal-relative:page;mso-position-vertical-relative:paragraph;z-index:15738368" id="docshapegroup51" coordorigin="364,317" coordsize="11516,27">
                <v:rect style="position:absolute;left:364;top:317;width:11516;height:14" id="docshape52" filled="true" fillcolor="#999999" stroked="false">
                  <v:fill type="solid"/>
                </v:rect>
                <v:shape style="position:absolute;left:364;top:317;width:11516;height:27" id="docshape53" coordorigin="364,317" coordsize="11516,27" path="m11880,317l11866,331,364,331,364,344,11866,344,11880,344,11880,331,11880,317xe" filled="true" fillcolor="#ededed" stroked="false">
                  <v:path arrowok="t"/>
                  <v:fill type="solid"/>
                </v:shape>
                <v:shape style="position:absolute;left:364;top:317;width:14;height:27" id="docshape54" coordorigin="364,317" coordsize="14,27" path="m364,344l364,317,378,317,378,331,364,344xe" filled="true" fillcolor="#999999" stroked="false">
                  <v:path arrowok="t"/>
                  <v:fill type="solid"/>
                </v:shape>
                <w10:wrap type="none"/>
              </v:group>
            </w:pict>
          </mc:Fallback>
        </mc:AlternateContent>
      </w:r>
      <w:r>
        <w:rPr>
          <w:spacing w:val="-5"/>
        </w:rPr>
        <w:t>28</w:t>
      </w:r>
    </w:p>
    <w:p>
      <w:pPr>
        <w:pStyle w:val="BodyText"/>
        <w:spacing w:after="0"/>
        <w:jc w:val="center"/>
        <w:sectPr>
          <w:pgSz w:w="12240" w:h="15840"/>
          <w:pgMar w:header="460" w:footer="0" w:top="1180" w:bottom="280" w:left="360" w:right="360"/>
        </w:sectPr>
      </w:pPr>
    </w:p>
    <w:p>
      <w:pPr>
        <w:pStyle w:val="BodyText"/>
        <w:spacing w:before="64"/>
        <w:ind w:left="0"/>
      </w:pPr>
    </w:p>
    <w:p>
      <w:pPr>
        <w:spacing w:before="0"/>
        <w:ind w:left="206" w:right="0" w:firstLine="0"/>
        <w:jc w:val="left"/>
        <w:rPr>
          <w:i/>
          <w:sz w:val="18"/>
        </w:rPr>
      </w:pPr>
      <w:r>
        <w:rPr>
          <w:i/>
          <w:sz w:val="18"/>
        </w:rPr>
        <w:t>Free</w:t>
      </w:r>
      <w:r>
        <w:rPr>
          <w:i/>
          <w:spacing w:val="-4"/>
          <w:sz w:val="18"/>
        </w:rPr>
        <w:t> </w:t>
      </w:r>
      <w:r>
        <w:rPr>
          <w:i/>
          <w:sz w:val="18"/>
        </w:rPr>
        <w:t>Cash</w:t>
      </w:r>
      <w:r>
        <w:rPr>
          <w:i/>
          <w:spacing w:val="-1"/>
          <w:sz w:val="18"/>
        </w:rPr>
        <w:t> </w:t>
      </w:r>
      <w:r>
        <w:rPr>
          <w:i/>
          <w:sz w:val="18"/>
        </w:rPr>
        <w:t>Flow</w:t>
      </w:r>
      <w:r>
        <w:rPr>
          <w:i/>
          <w:spacing w:val="-2"/>
          <w:sz w:val="18"/>
        </w:rPr>
        <w:t> </w:t>
      </w:r>
      <w:r>
        <w:rPr>
          <w:i/>
          <w:sz w:val="18"/>
        </w:rPr>
        <w:t>Less</w:t>
      </w:r>
      <w:r>
        <w:rPr>
          <w:i/>
          <w:spacing w:val="-1"/>
          <w:sz w:val="18"/>
        </w:rPr>
        <w:t> </w:t>
      </w:r>
      <w:r>
        <w:rPr>
          <w:i/>
          <w:sz w:val="18"/>
        </w:rPr>
        <w:t>Equipment</w:t>
      </w:r>
      <w:r>
        <w:rPr>
          <w:i/>
          <w:spacing w:val="-2"/>
          <w:sz w:val="18"/>
        </w:rPr>
        <w:t> </w:t>
      </w:r>
      <w:r>
        <w:rPr>
          <w:i/>
          <w:sz w:val="18"/>
        </w:rPr>
        <w:t>Finance</w:t>
      </w:r>
      <w:r>
        <w:rPr>
          <w:i/>
          <w:spacing w:val="-1"/>
          <w:sz w:val="18"/>
        </w:rPr>
        <w:t> </w:t>
      </w:r>
      <w:r>
        <w:rPr>
          <w:i/>
          <w:sz w:val="18"/>
        </w:rPr>
        <w:t>Leases</w:t>
      </w:r>
      <w:r>
        <w:rPr>
          <w:i/>
          <w:spacing w:val="-1"/>
          <w:sz w:val="18"/>
        </w:rPr>
        <w:t> </w:t>
      </w:r>
      <w:r>
        <w:rPr>
          <w:i/>
          <w:sz w:val="18"/>
        </w:rPr>
        <w:t>and</w:t>
      </w:r>
      <w:r>
        <w:rPr>
          <w:i/>
          <w:spacing w:val="-2"/>
          <w:sz w:val="18"/>
        </w:rPr>
        <w:t> </w:t>
      </w:r>
      <w:r>
        <w:rPr>
          <w:i/>
          <w:sz w:val="18"/>
        </w:rPr>
        <w:t>Principal</w:t>
      </w:r>
      <w:r>
        <w:rPr>
          <w:i/>
          <w:spacing w:val="-1"/>
          <w:sz w:val="18"/>
        </w:rPr>
        <w:t> </w:t>
      </w:r>
      <w:r>
        <w:rPr>
          <w:i/>
          <w:sz w:val="18"/>
        </w:rPr>
        <w:t>Repayments</w:t>
      </w:r>
      <w:r>
        <w:rPr>
          <w:i/>
          <w:spacing w:val="-2"/>
          <w:sz w:val="18"/>
        </w:rPr>
        <w:t> </w:t>
      </w:r>
      <w:r>
        <w:rPr>
          <w:i/>
          <w:sz w:val="18"/>
        </w:rPr>
        <w:t>of</w:t>
      </w:r>
      <w:r>
        <w:rPr>
          <w:i/>
          <w:spacing w:val="-4"/>
          <w:sz w:val="18"/>
        </w:rPr>
        <w:t> </w:t>
      </w:r>
      <w:r>
        <w:rPr>
          <w:i/>
          <w:sz w:val="18"/>
        </w:rPr>
        <w:t>All</w:t>
      </w:r>
      <w:r>
        <w:rPr>
          <w:i/>
          <w:spacing w:val="-1"/>
          <w:sz w:val="18"/>
        </w:rPr>
        <w:t> </w:t>
      </w:r>
      <w:r>
        <w:rPr>
          <w:i/>
          <w:sz w:val="18"/>
        </w:rPr>
        <w:t>Other</w:t>
      </w:r>
      <w:r>
        <w:rPr>
          <w:i/>
          <w:spacing w:val="-2"/>
          <w:sz w:val="18"/>
        </w:rPr>
        <w:t> </w:t>
      </w:r>
      <w:r>
        <w:rPr>
          <w:i/>
          <w:sz w:val="18"/>
        </w:rPr>
        <w:t>Finance</w:t>
      </w:r>
      <w:r>
        <w:rPr>
          <w:i/>
          <w:spacing w:val="-1"/>
          <w:sz w:val="18"/>
        </w:rPr>
        <w:t> </w:t>
      </w:r>
      <w:r>
        <w:rPr>
          <w:i/>
          <w:sz w:val="18"/>
        </w:rPr>
        <w:t>Leases</w:t>
      </w:r>
      <w:r>
        <w:rPr>
          <w:i/>
          <w:spacing w:val="-2"/>
          <w:sz w:val="18"/>
        </w:rPr>
        <w:t> </w:t>
      </w:r>
      <w:r>
        <w:rPr>
          <w:i/>
          <w:sz w:val="18"/>
        </w:rPr>
        <w:t>and</w:t>
      </w:r>
      <w:r>
        <w:rPr>
          <w:i/>
          <w:spacing w:val="-1"/>
          <w:sz w:val="18"/>
        </w:rPr>
        <w:t> </w:t>
      </w:r>
      <w:r>
        <w:rPr>
          <w:i/>
          <w:sz w:val="18"/>
        </w:rPr>
        <w:t>Financing</w:t>
      </w:r>
      <w:r>
        <w:rPr>
          <w:i/>
          <w:spacing w:val="-1"/>
          <w:sz w:val="18"/>
        </w:rPr>
        <w:t> </w:t>
      </w:r>
      <w:r>
        <w:rPr>
          <w:i/>
          <w:spacing w:val="-2"/>
          <w:sz w:val="18"/>
        </w:rPr>
        <w:t>Obligations</w:t>
      </w:r>
    </w:p>
    <w:p>
      <w:pPr>
        <w:pStyle w:val="BodyText"/>
        <w:spacing w:line="249" w:lineRule="auto" w:before="104"/>
        <w:ind w:firstLine="445"/>
      </w:pPr>
      <w:r>
        <w:rPr/>
        <w:t>Free</w:t>
      </w:r>
      <w:r>
        <w:rPr>
          <w:spacing w:val="-2"/>
        </w:rPr>
        <w:t> </w:t>
      </w:r>
      <w:r>
        <w:rPr/>
        <w:t>cash</w:t>
      </w:r>
      <w:r>
        <w:rPr>
          <w:spacing w:val="-2"/>
        </w:rPr>
        <w:t> </w:t>
      </w:r>
      <w:r>
        <w:rPr/>
        <w:t>flow</w:t>
      </w:r>
      <w:r>
        <w:rPr>
          <w:spacing w:val="-2"/>
        </w:rPr>
        <w:t> </w:t>
      </w:r>
      <w:r>
        <w:rPr/>
        <w:t>less</w:t>
      </w:r>
      <w:r>
        <w:rPr>
          <w:spacing w:val="-2"/>
        </w:rPr>
        <w:t> </w:t>
      </w:r>
      <w:r>
        <w:rPr/>
        <w:t>equipment</w:t>
      </w:r>
      <w:r>
        <w:rPr>
          <w:spacing w:val="-2"/>
        </w:rPr>
        <w:t> </w:t>
      </w:r>
      <w:r>
        <w:rPr/>
        <w:t>finance</w:t>
      </w:r>
      <w:r>
        <w:rPr>
          <w:spacing w:val="-2"/>
        </w:rPr>
        <w:t> </w:t>
      </w:r>
      <w:r>
        <w:rPr/>
        <w:t>leases</w:t>
      </w:r>
      <w:r>
        <w:rPr>
          <w:spacing w:val="-2"/>
        </w:rPr>
        <w:t> </w:t>
      </w:r>
      <w:r>
        <w:rPr/>
        <w:t>and</w:t>
      </w:r>
      <w:r>
        <w:rPr>
          <w:spacing w:val="-2"/>
        </w:rPr>
        <w:t> </w:t>
      </w:r>
      <w:r>
        <w:rPr/>
        <w:t>principal</w:t>
      </w:r>
      <w:r>
        <w:rPr>
          <w:spacing w:val="-2"/>
        </w:rPr>
        <w:t> </w:t>
      </w:r>
      <w:r>
        <w:rPr/>
        <w:t>repayments</w:t>
      </w:r>
      <w:r>
        <w:rPr>
          <w:spacing w:val="-2"/>
        </w:rPr>
        <w:t> </w:t>
      </w:r>
      <w:r>
        <w:rPr/>
        <w:t>of</w:t>
      </w:r>
      <w:r>
        <w:rPr>
          <w:spacing w:val="-2"/>
        </w:rPr>
        <w:t> </w:t>
      </w:r>
      <w:r>
        <w:rPr/>
        <w:t>all</w:t>
      </w:r>
      <w:r>
        <w:rPr>
          <w:spacing w:val="-2"/>
        </w:rPr>
        <w:t> </w:t>
      </w:r>
      <w:r>
        <w:rPr/>
        <w:t>other</w:t>
      </w:r>
      <w:r>
        <w:rPr>
          <w:spacing w:val="-2"/>
        </w:rPr>
        <w:t> </w:t>
      </w:r>
      <w:r>
        <w:rPr/>
        <w:t>finance</w:t>
      </w:r>
      <w:r>
        <w:rPr>
          <w:spacing w:val="-2"/>
        </w:rPr>
        <w:t> </w:t>
      </w:r>
      <w:r>
        <w:rPr/>
        <w:t>leases</w:t>
      </w:r>
      <w:r>
        <w:rPr>
          <w:spacing w:val="-2"/>
        </w:rPr>
        <w:t> </w:t>
      </w:r>
      <w:r>
        <w:rPr/>
        <w:t>and</w:t>
      </w:r>
      <w:r>
        <w:rPr>
          <w:spacing w:val="-2"/>
        </w:rPr>
        <w:t> </w:t>
      </w:r>
      <w:r>
        <w:rPr/>
        <w:t>financing</w:t>
      </w:r>
      <w:r>
        <w:rPr>
          <w:spacing w:val="-2"/>
        </w:rPr>
        <w:t> </w:t>
      </w:r>
      <w:r>
        <w:rPr/>
        <w:t>obligations</w:t>
      </w:r>
      <w:r>
        <w:rPr>
          <w:spacing w:val="-2"/>
        </w:rPr>
        <w:t> </w:t>
      </w:r>
      <w:r>
        <w:rPr/>
        <w:t>is</w:t>
      </w:r>
      <w:r>
        <w:rPr>
          <w:spacing w:val="-2"/>
        </w:rPr>
        <w:t> </w:t>
      </w:r>
      <w:r>
        <w:rPr/>
        <w:t>free</w:t>
      </w:r>
      <w:r>
        <w:rPr>
          <w:spacing w:val="-2"/>
        </w:rPr>
        <w:t> </w:t>
      </w:r>
      <w:r>
        <w:rPr/>
        <w:t>cash</w:t>
      </w:r>
      <w:r>
        <w:rPr>
          <w:spacing w:val="-2"/>
        </w:rPr>
        <w:t> </w:t>
      </w:r>
      <w:r>
        <w:rPr/>
        <w:t>flow</w:t>
      </w:r>
      <w:r>
        <w:rPr>
          <w:spacing w:val="-2"/>
        </w:rPr>
        <w:t> </w:t>
      </w:r>
      <w:r>
        <w:rPr/>
        <w:t>reduced</w:t>
      </w:r>
      <w:r>
        <w:rPr>
          <w:spacing w:val="-2"/>
        </w:rPr>
        <w:t> </w:t>
      </w:r>
      <w:r>
        <w:rPr/>
        <w:t>by equipment acquired under finance leases, which is included in “Property and equipment acquired under finance leases, net of remeasurements and modifications,” principal repayments of all other finance lease liabilities, which is included in “Principal repayments of finance leases,” and “Principal repayments of financing obligations.”</w:t>
      </w:r>
      <w:r>
        <w:rPr>
          <w:spacing w:val="-4"/>
        </w:rPr>
        <w:t> </w:t>
      </w:r>
      <w:r>
        <w:rPr/>
        <w:t>All other finance lease liabilities and financing obligations consists of property. In this measure, equipment acquired under finance leases is reflected as if these assets had been purchased with cash, which is not the case as these assets have been leased. The following is a reconciliation of free cash flow less equipment finance leases and principal repayments of all other finance leases and financing obligations to the most comparable GAAP cash flow measure, “Net cash provided by (used in) operating activities,” for 2023 and 2024 (in millions):</w:t>
      </w:r>
    </w:p>
    <w:p>
      <w:pPr>
        <w:spacing w:before="56" w:after="51"/>
        <w:ind w:left="0" w:right="649" w:firstLine="0"/>
        <w:jc w:val="right"/>
        <w:rPr>
          <w:b/>
          <w:sz w:val="14"/>
        </w:rPr>
      </w:pPr>
      <w:r>
        <w:rPr>
          <w:b/>
          <w:sz w:val="14"/>
        </w:rPr>
        <w:t>Year</w:t>
      </w:r>
      <w:r>
        <w:rPr>
          <w:b/>
          <w:spacing w:val="1"/>
          <w:sz w:val="14"/>
        </w:rPr>
        <w:t> </w:t>
      </w:r>
      <w:r>
        <w:rPr>
          <w:b/>
          <w:sz w:val="14"/>
        </w:rPr>
        <w:t>Ended</w:t>
      </w:r>
      <w:r>
        <w:rPr>
          <w:b/>
          <w:spacing w:val="3"/>
          <w:sz w:val="14"/>
        </w:rPr>
        <w:t> </w:t>
      </w:r>
      <w:r>
        <w:rPr>
          <w:b/>
          <w:sz w:val="14"/>
        </w:rPr>
        <w:t>December</w:t>
      </w:r>
      <w:r>
        <w:rPr>
          <w:b/>
          <w:spacing w:val="1"/>
          <w:sz w:val="14"/>
        </w:rPr>
        <w:t> </w:t>
      </w:r>
      <w:r>
        <w:rPr>
          <w:b/>
          <w:spacing w:val="-5"/>
          <w:sz w:val="14"/>
        </w:rPr>
        <w:t>31,</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53"/>
        <w:gridCol w:w="1350"/>
        <w:gridCol w:w="1512"/>
      </w:tblGrid>
      <w:tr>
        <w:trPr>
          <w:trHeight w:val="227" w:hRule="atLeast"/>
        </w:trPr>
        <w:tc>
          <w:tcPr>
            <w:tcW w:w="8653" w:type="dxa"/>
          </w:tcPr>
          <w:p>
            <w:pPr>
              <w:pStyle w:val="TableParagraph"/>
              <w:jc w:val="left"/>
              <w:rPr>
                <w:sz w:val="16"/>
              </w:rPr>
            </w:pPr>
          </w:p>
        </w:tc>
        <w:tc>
          <w:tcPr>
            <w:tcW w:w="1350" w:type="dxa"/>
            <w:tcBorders>
              <w:top w:val="single" w:sz="12" w:space="0" w:color="000000"/>
              <w:bottom w:val="single" w:sz="6" w:space="0" w:color="000000"/>
            </w:tcBorders>
          </w:tcPr>
          <w:p>
            <w:pPr>
              <w:pStyle w:val="TableParagraph"/>
              <w:spacing w:before="16"/>
              <w:ind w:left="5"/>
              <w:jc w:val="center"/>
              <w:rPr>
                <w:b/>
                <w:sz w:val="14"/>
              </w:rPr>
            </w:pPr>
            <w:r>
              <w:rPr>
                <w:b/>
                <w:spacing w:val="-4"/>
                <w:sz w:val="14"/>
              </w:rPr>
              <w:t>2023</w:t>
            </w:r>
          </w:p>
        </w:tc>
        <w:tc>
          <w:tcPr>
            <w:tcW w:w="1512" w:type="dxa"/>
            <w:tcBorders>
              <w:top w:val="single" w:sz="12" w:space="0" w:color="000000"/>
              <w:bottom w:val="single" w:sz="6" w:space="0" w:color="000000"/>
            </w:tcBorders>
          </w:tcPr>
          <w:p>
            <w:pPr>
              <w:pStyle w:val="TableParagraph"/>
              <w:spacing w:before="16"/>
              <w:ind w:left="87"/>
              <w:jc w:val="center"/>
              <w:rPr>
                <w:b/>
                <w:sz w:val="14"/>
              </w:rPr>
            </w:pPr>
            <w:r>
              <w:rPr>
                <w:b/>
                <w:spacing w:val="-4"/>
                <w:sz w:val="14"/>
              </w:rPr>
              <w:t>2024</w:t>
            </w:r>
          </w:p>
        </w:tc>
      </w:tr>
      <w:tr>
        <w:trPr>
          <w:trHeight w:val="269" w:hRule="atLeast"/>
        </w:trPr>
        <w:tc>
          <w:tcPr>
            <w:tcW w:w="8653" w:type="dxa"/>
            <w:shd w:val="clear" w:color="auto" w:fill="CCEDFF"/>
          </w:tcPr>
          <w:p>
            <w:pPr>
              <w:pStyle w:val="TableParagraph"/>
              <w:spacing w:before="6"/>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operating</w:t>
            </w:r>
            <w:r>
              <w:rPr>
                <w:spacing w:val="-1"/>
                <w:sz w:val="18"/>
              </w:rPr>
              <w:t> </w:t>
            </w:r>
            <w:r>
              <w:rPr>
                <w:spacing w:val="-2"/>
                <w:sz w:val="18"/>
              </w:rPr>
              <w:t>activities</w:t>
            </w:r>
          </w:p>
        </w:tc>
        <w:tc>
          <w:tcPr>
            <w:tcW w:w="1350" w:type="dxa"/>
            <w:tcBorders>
              <w:top w:val="single" w:sz="6" w:space="0" w:color="000000"/>
            </w:tcBorders>
            <w:shd w:val="clear" w:color="auto" w:fill="CCEDFF"/>
          </w:tcPr>
          <w:p>
            <w:pPr>
              <w:pStyle w:val="TableParagraph"/>
              <w:tabs>
                <w:tab w:pos="771" w:val="left" w:leader="none"/>
              </w:tabs>
              <w:spacing w:before="20"/>
              <w:ind w:right="63"/>
              <w:rPr>
                <w:sz w:val="18"/>
              </w:rPr>
            </w:pPr>
            <w:r>
              <w:rPr>
                <w:spacing w:val="-10"/>
                <w:sz w:val="18"/>
              </w:rPr>
              <w:t>$</w:t>
            </w:r>
            <w:r>
              <w:rPr>
                <w:sz w:val="18"/>
              </w:rPr>
              <w:tab/>
            </w:r>
            <w:r>
              <w:rPr>
                <w:spacing w:val="-2"/>
                <w:sz w:val="18"/>
              </w:rPr>
              <w:t>84,946</w:t>
            </w:r>
          </w:p>
        </w:tc>
        <w:tc>
          <w:tcPr>
            <w:tcW w:w="1512" w:type="dxa"/>
            <w:tcBorders>
              <w:top w:val="single" w:sz="6" w:space="0" w:color="000000"/>
            </w:tcBorders>
            <w:shd w:val="clear" w:color="auto" w:fill="CCEDFF"/>
          </w:tcPr>
          <w:p>
            <w:pPr>
              <w:pStyle w:val="TableParagraph"/>
              <w:tabs>
                <w:tab w:pos="688" w:val="left" w:leader="none"/>
              </w:tabs>
              <w:spacing w:before="20"/>
              <w:ind w:right="104"/>
              <w:rPr>
                <w:sz w:val="18"/>
              </w:rPr>
            </w:pPr>
            <w:r>
              <w:rPr>
                <w:spacing w:val="-10"/>
                <w:sz w:val="18"/>
              </w:rPr>
              <w:t>$</w:t>
            </w:r>
            <w:r>
              <w:rPr>
                <w:sz w:val="18"/>
              </w:rPr>
              <w:tab/>
            </w:r>
            <w:r>
              <w:rPr>
                <w:spacing w:val="-2"/>
                <w:sz w:val="18"/>
              </w:rPr>
              <w:t>115,877</w:t>
            </w:r>
          </w:p>
        </w:tc>
      </w:tr>
      <w:tr>
        <w:trPr>
          <w:trHeight w:val="269" w:hRule="atLeast"/>
        </w:trPr>
        <w:tc>
          <w:tcPr>
            <w:tcW w:w="8653" w:type="dxa"/>
          </w:tcPr>
          <w:p>
            <w:pPr>
              <w:pStyle w:val="TableParagraph"/>
              <w:spacing w:before="21"/>
              <w:ind w:left="17"/>
              <w:jc w:val="left"/>
              <w:rPr>
                <w:sz w:val="18"/>
              </w:rPr>
            </w:pPr>
            <w:r>
              <w:rPr>
                <w:sz w:val="18"/>
              </w:rPr>
              <w:t>Purchases</w:t>
            </w:r>
            <w:r>
              <w:rPr>
                <w:spacing w:val="-1"/>
                <w:sz w:val="18"/>
              </w:rPr>
              <w:t> </w:t>
            </w:r>
            <w:r>
              <w:rPr>
                <w:sz w:val="18"/>
              </w:rPr>
              <w:t>of</w:t>
            </w:r>
            <w:r>
              <w:rPr>
                <w:spacing w:val="-1"/>
                <w:sz w:val="18"/>
              </w:rPr>
              <w:t> </w:t>
            </w:r>
            <w:r>
              <w:rPr>
                <w:sz w:val="18"/>
              </w:rPr>
              <w:t>property</w:t>
            </w:r>
            <w:r>
              <w:rPr>
                <w:spacing w:val="-1"/>
                <w:sz w:val="18"/>
              </w:rPr>
              <w:t> </w:t>
            </w:r>
            <w:r>
              <w:rPr>
                <w:sz w:val="18"/>
              </w:rPr>
              <w:t>and</w:t>
            </w:r>
            <w:r>
              <w:rPr>
                <w:spacing w:val="-1"/>
                <w:sz w:val="18"/>
              </w:rPr>
              <w:t> </w:t>
            </w:r>
            <w:r>
              <w:rPr>
                <w:sz w:val="18"/>
              </w:rPr>
              <w:t>equipment,</w:t>
            </w:r>
            <w:r>
              <w:rPr>
                <w:spacing w:val="-1"/>
                <w:sz w:val="18"/>
              </w:rPr>
              <w:t> </w:t>
            </w:r>
            <w:r>
              <w:rPr>
                <w:sz w:val="18"/>
              </w:rPr>
              <w:t>net</w:t>
            </w:r>
            <w:r>
              <w:rPr>
                <w:spacing w:val="-1"/>
                <w:sz w:val="18"/>
              </w:rPr>
              <w:t> </w:t>
            </w:r>
            <w:r>
              <w:rPr>
                <w:sz w:val="18"/>
              </w:rPr>
              <w:t>of</w:t>
            </w:r>
            <w:r>
              <w:rPr>
                <w:spacing w:val="-1"/>
                <w:sz w:val="18"/>
              </w:rPr>
              <w:t> </w:t>
            </w:r>
            <w:r>
              <w:rPr>
                <w:sz w:val="18"/>
              </w:rPr>
              <w:t>proceeds</w:t>
            </w:r>
            <w:r>
              <w:rPr>
                <w:spacing w:val="-1"/>
                <w:sz w:val="18"/>
              </w:rPr>
              <w:t> </w:t>
            </w:r>
            <w:r>
              <w:rPr>
                <w:sz w:val="18"/>
              </w:rPr>
              <w:t>from</w:t>
            </w:r>
            <w:r>
              <w:rPr>
                <w:spacing w:val="-1"/>
                <w:sz w:val="18"/>
              </w:rPr>
              <w:t> </w:t>
            </w:r>
            <w:r>
              <w:rPr>
                <w:sz w:val="18"/>
              </w:rPr>
              <w:t>sales</w:t>
            </w:r>
            <w:r>
              <w:rPr>
                <w:spacing w:val="-1"/>
                <w:sz w:val="18"/>
              </w:rPr>
              <w:t> </w:t>
            </w:r>
            <w:r>
              <w:rPr>
                <w:sz w:val="18"/>
              </w:rPr>
              <w:t>and</w:t>
            </w:r>
            <w:r>
              <w:rPr>
                <w:spacing w:val="-1"/>
                <w:sz w:val="18"/>
              </w:rPr>
              <w:t> </w:t>
            </w:r>
            <w:r>
              <w:rPr>
                <w:spacing w:val="-2"/>
                <w:sz w:val="18"/>
              </w:rPr>
              <w:t>incentives</w:t>
            </w:r>
          </w:p>
        </w:tc>
        <w:tc>
          <w:tcPr>
            <w:tcW w:w="1350" w:type="dxa"/>
            <w:tcBorders>
              <w:bottom w:val="single" w:sz="6" w:space="0" w:color="000000"/>
            </w:tcBorders>
          </w:tcPr>
          <w:p>
            <w:pPr>
              <w:pStyle w:val="TableParagraph"/>
              <w:spacing w:before="21"/>
              <w:ind w:right="18"/>
              <w:rPr>
                <w:sz w:val="18"/>
              </w:rPr>
            </w:pPr>
            <w:r>
              <w:rPr>
                <w:spacing w:val="-2"/>
                <w:sz w:val="18"/>
              </w:rPr>
              <w:t>(48,133)</w:t>
            </w:r>
          </w:p>
        </w:tc>
        <w:tc>
          <w:tcPr>
            <w:tcW w:w="1512" w:type="dxa"/>
            <w:tcBorders>
              <w:bottom w:val="single" w:sz="6" w:space="0" w:color="000000"/>
            </w:tcBorders>
          </w:tcPr>
          <w:p>
            <w:pPr>
              <w:pStyle w:val="TableParagraph"/>
              <w:spacing w:before="21"/>
              <w:ind w:right="59"/>
              <w:rPr>
                <w:sz w:val="18"/>
              </w:rPr>
            </w:pPr>
            <w:r>
              <w:rPr>
                <w:spacing w:val="-2"/>
                <w:sz w:val="18"/>
              </w:rPr>
              <w:t>(77,658)</w:t>
            </w:r>
          </w:p>
        </w:tc>
      </w:tr>
      <w:tr>
        <w:trPr>
          <w:trHeight w:val="269" w:hRule="atLeast"/>
        </w:trPr>
        <w:tc>
          <w:tcPr>
            <w:tcW w:w="8653" w:type="dxa"/>
            <w:shd w:val="clear" w:color="auto" w:fill="CCEDFF"/>
          </w:tcPr>
          <w:p>
            <w:pPr>
              <w:pStyle w:val="TableParagraph"/>
              <w:spacing w:before="20"/>
              <w:ind w:left="17"/>
              <w:jc w:val="left"/>
              <w:rPr>
                <w:sz w:val="18"/>
              </w:rPr>
            </w:pPr>
            <w:r>
              <w:rPr>
                <w:sz w:val="18"/>
              </w:rPr>
              <w:t>Free</w:t>
            </w:r>
            <w:r>
              <w:rPr>
                <w:spacing w:val="-1"/>
                <w:sz w:val="18"/>
              </w:rPr>
              <w:t> </w:t>
            </w:r>
            <w:r>
              <w:rPr>
                <w:sz w:val="18"/>
              </w:rPr>
              <w:t>cash</w:t>
            </w:r>
            <w:r>
              <w:rPr>
                <w:spacing w:val="-1"/>
                <w:sz w:val="18"/>
              </w:rPr>
              <w:t> </w:t>
            </w:r>
            <w:r>
              <w:rPr>
                <w:spacing w:val="-4"/>
                <w:sz w:val="18"/>
              </w:rPr>
              <w:t>flow</w:t>
            </w:r>
          </w:p>
        </w:tc>
        <w:tc>
          <w:tcPr>
            <w:tcW w:w="1350" w:type="dxa"/>
            <w:tcBorders>
              <w:top w:val="single" w:sz="6" w:space="0" w:color="000000"/>
            </w:tcBorders>
            <w:shd w:val="clear" w:color="auto" w:fill="CCEDFF"/>
          </w:tcPr>
          <w:p>
            <w:pPr>
              <w:pStyle w:val="TableParagraph"/>
              <w:spacing w:before="20"/>
              <w:ind w:right="63"/>
              <w:rPr>
                <w:sz w:val="18"/>
              </w:rPr>
            </w:pPr>
            <w:r>
              <w:rPr>
                <w:spacing w:val="-2"/>
                <w:sz w:val="18"/>
              </w:rPr>
              <w:t>36,813</w:t>
            </w:r>
          </w:p>
        </w:tc>
        <w:tc>
          <w:tcPr>
            <w:tcW w:w="1512" w:type="dxa"/>
            <w:tcBorders>
              <w:top w:val="single" w:sz="6" w:space="0" w:color="000000"/>
            </w:tcBorders>
            <w:shd w:val="clear" w:color="auto" w:fill="CCEDFF"/>
          </w:tcPr>
          <w:p>
            <w:pPr>
              <w:pStyle w:val="TableParagraph"/>
              <w:spacing w:before="20"/>
              <w:ind w:right="104"/>
              <w:rPr>
                <w:sz w:val="18"/>
              </w:rPr>
            </w:pPr>
            <w:r>
              <w:rPr>
                <w:spacing w:val="-2"/>
                <w:sz w:val="18"/>
              </w:rPr>
              <w:t>38,219</w:t>
            </w:r>
          </w:p>
        </w:tc>
      </w:tr>
      <w:tr>
        <w:trPr>
          <w:trHeight w:val="269" w:hRule="atLeast"/>
        </w:trPr>
        <w:tc>
          <w:tcPr>
            <w:tcW w:w="8653" w:type="dxa"/>
          </w:tcPr>
          <w:p>
            <w:pPr>
              <w:pStyle w:val="TableParagraph"/>
              <w:spacing w:before="21"/>
              <w:ind w:left="17"/>
              <w:jc w:val="left"/>
              <w:rPr>
                <w:sz w:val="18"/>
              </w:rPr>
            </w:pPr>
            <w:r>
              <w:rPr>
                <w:sz w:val="18"/>
              </w:rPr>
              <w:t>Equipment</w:t>
            </w:r>
            <w:r>
              <w:rPr>
                <w:spacing w:val="-1"/>
                <w:sz w:val="18"/>
              </w:rPr>
              <w:t> </w:t>
            </w:r>
            <w:r>
              <w:rPr>
                <w:sz w:val="18"/>
              </w:rPr>
              <w:t>acquired</w:t>
            </w:r>
            <w:r>
              <w:rPr>
                <w:spacing w:val="-1"/>
                <w:sz w:val="18"/>
              </w:rPr>
              <w:t> </w:t>
            </w:r>
            <w:r>
              <w:rPr>
                <w:sz w:val="18"/>
              </w:rPr>
              <w:t>under</w:t>
            </w:r>
            <w:r>
              <w:rPr>
                <w:spacing w:val="-1"/>
                <w:sz w:val="18"/>
              </w:rPr>
              <w:t> </w:t>
            </w:r>
            <w:r>
              <w:rPr>
                <w:sz w:val="18"/>
              </w:rPr>
              <w:t>finance</w:t>
            </w:r>
            <w:r>
              <w:rPr>
                <w:spacing w:val="-1"/>
                <w:sz w:val="18"/>
              </w:rPr>
              <w:t> </w:t>
            </w:r>
            <w:r>
              <w:rPr>
                <w:sz w:val="18"/>
              </w:rPr>
              <w:t>leases</w:t>
            </w:r>
            <w:r>
              <w:rPr>
                <w:spacing w:val="-1"/>
                <w:sz w:val="18"/>
              </w:rPr>
              <w:t> </w:t>
            </w:r>
            <w:r>
              <w:rPr>
                <w:spacing w:val="-5"/>
                <w:sz w:val="18"/>
              </w:rPr>
              <w:t>(1)</w:t>
            </w:r>
          </w:p>
        </w:tc>
        <w:tc>
          <w:tcPr>
            <w:tcW w:w="1350" w:type="dxa"/>
          </w:tcPr>
          <w:p>
            <w:pPr>
              <w:pStyle w:val="TableParagraph"/>
              <w:spacing w:before="21"/>
              <w:ind w:right="18"/>
              <w:rPr>
                <w:sz w:val="18"/>
              </w:rPr>
            </w:pPr>
            <w:r>
              <w:rPr>
                <w:spacing w:val="-2"/>
                <w:sz w:val="18"/>
              </w:rPr>
              <w:t>(310)</w:t>
            </w:r>
          </w:p>
        </w:tc>
        <w:tc>
          <w:tcPr>
            <w:tcW w:w="1512" w:type="dxa"/>
          </w:tcPr>
          <w:p>
            <w:pPr>
              <w:pStyle w:val="TableParagraph"/>
              <w:spacing w:before="21"/>
              <w:ind w:right="59"/>
              <w:rPr>
                <w:sz w:val="18"/>
              </w:rPr>
            </w:pPr>
            <w:r>
              <w:rPr>
                <w:spacing w:val="-2"/>
                <w:sz w:val="18"/>
              </w:rPr>
              <w:t>(572)</w:t>
            </w:r>
          </w:p>
        </w:tc>
      </w:tr>
      <w:tr>
        <w:trPr>
          <w:trHeight w:val="269" w:hRule="atLeast"/>
        </w:trPr>
        <w:tc>
          <w:tcPr>
            <w:tcW w:w="8653" w:type="dxa"/>
            <w:shd w:val="clear" w:color="auto" w:fill="CCEDFF"/>
          </w:tcPr>
          <w:p>
            <w:pPr>
              <w:pStyle w:val="TableParagraph"/>
              <w:spacing w:before="21"/>
              <w:ind w:left="17"/>
              <w:jc w:val="left"/>
              <w:rPr>
                <w:sz w:val="18"/>
              </w:rPr>
            </w:pPr>
            <w:r>
              <w:rPr>
                <w:sz w:val="18"/>
              </w:rPr>
              <w:t>Principal</w:t>
            </w:r>
            <w:r>
              <w:rPr>
                <w:spacing w:val="-1"/>
                <w:sz w:val="18"/>
              </w:rPr>
              <w:t> </w:t>
            </w:r>
            <w:r>
              <w:rPr>
                <w:sz w:val="18"/>
              </w:rPr>
              <w:t>repayments</w:t>
            </w:r>
            <w:r>
              <w:rPr>
                <w:spacing w:val="-1"/>
                <w:sz w:val="18"/>
              </w:rPr>
              <w:t> </w:t>
            </w:r>
            <w:r>
              <w:rPr>
                <w:sz w:val="18"/>
              </w:rPr>
              <w:t>of</w:t>
            </w:r>
            <w:r>
              <w:rPr>
                <w:spacing w:val="-1"/>
                <w:sz w:val="18"/>
              </w:rPr>
              <w:t> </w:t>
            </w:r>
            <w:r>
              <w:rPr>
                <w:sz w:val="18"/>
              </w:rPr>
              <w:t>all</w:t>
            </w:r>
            <w:r>
              <w:rPr>
                <w:spacing w:val="-1"/>
                <w:sz w:val="18"/>
              </w:rPr>
              <w:t> </w:t>
            </w:r>
            <w:r>
              <w:rPr>
                <w:sz w:val="18"/>
              </w:rPr>
              <w:t>other</w:t>
            </w:r>
            <w:r>
              <w:rPr>
                <w:spacing w:val="-1"/>
                <w:sz w:val="18"/>
              </w:rPr>
              <w:t> </w:t>
            </w:r>
            <w:r>
              <w:rPr>
                <w:sz w:val="18"/>
              </w:rPr>
              <w:t>finance</w:t>
            </w:r>
            <w:r>
              <w:rPr>
                <w:spacing w:val="-1"/>
                <w:sz w:val="18"/>
              </w:rPr>
              <w:t> </w:t>
            </w:r>
            <w:r>
              <w:rPr>
                <w:sz w:val="18"/>
              </w:rPr>
              <w:t>leases</w:t>
            </w:r>
            <w:r>
              <w:rPr>
                <w:spacing w:val="-1"/>
                <w:sz w:val="18"/>
              </w:rPr>
              <w:t> </w:t>
            </w:r>
            <w:r>
              <w:rPr>
                <w:spacing w:val="-5"/>
                <w:sz w:val="18"/>
              </w:rPr>
              <w:t>(2)</w:t>
            </w:r>
          </w:p>
        </w:tc>
        <w:tc>
          <w:tcPr>
            <w:tcW w:w="1350" w:type="dxa"/>
            <w:shd w:val="clear" w:color="auto" w:fill="CCEDFF"/>
          </w:tcPr>
          <w:p>
            <w:pPr>
              <w:pStyle w:val="TableParagraph"/>
              <w:spacing w:before="21"/>
              <w:ind w:right="18"/>
              <w:rPr>
                <w:sz w:val="18"/>
              </w:rPr>
            </w:pPr>
            <w:r>
              <w:rPr>
                <w:spacing w:val="-2"/>
                <w:sz w:val="18"/>
              </w:rPr>
              <w:t>(683)</w:t>
            </w:r>
          </w:p>
        </w:tc>
        <w:tc>
          <w:tcPr>
            <w:tcW w:w="1512" w:type="dxa"/>
            <w:shd w:val="clear" w:color="auto" w:fill="CCEDFF"/>
          </w:tcPr>
          <w:p>
            <w:pPr>
              <w:pStyle w:val="TableParagraph"/>
              <w:spacing w:before="21"/>
              <w:ind w:right="59"/>
              <w:rPr>
                <w:sz w:val="18"/>
              </w:rPr>
            </w:pPr>
            <w:r>
              <w:rPr>
                <w:spacing w:val="-2"/>
                <w:sz w:val="18"/>
              </w:rPr>
              <w:t>(767)</w:t>
            </w:r>
          </w:p>
        </w:tc>
      </w:tr>
      <w:tr>
        <w:trPr>
          <w:trHeight w:val="268" w:hRule="atLeast"/>
        </w:trPr>
        <w:tc>
          <w:tcPr>
            <w:tcW w:w="8653" w:type="dxa"/>
          </w:tcPr>
          <w:p>
            <w:pPr>
              <w:pStyle w:val="TableParagraph"/>
              <w:spacing w:before="21"/>
              <w:ind w:left="17"/>
              <w:jc w:val="left"/>
              <w:rPr>
                <w:sz w:val="18"/>
              </w:rPr>
            </w:pPr>
            <w:r>
              <w:rPr>
                <w:sz w:val="18"/>
              </w:rPr>
              <w:t>Principal</w:t>
            </w:r>
            <w:r>
              <w:rPr>
                <w:spacing w:val="-1"/>
                <w:sz w:val="18"/>
              </w:rPr>
              <w:t> </w:t>
            </w:r>
            <w:r>
              <w:rPr>
                <w:sz w:val="18"/>
              </w:rPr>
              <w:t>repayments</w:t>
            </w:r>
            <w:r>
              <w:rPr>
                <w:spacing w:val="-1"/>
                <w:sz w:val="18"/>
              </w:rPr>
              <w:t> </w:t>
            </w:r>
            <w:r>
              <w:rPr>
                <w:sz w:val="18"/>
              </w:rPr>
              <w:t>of</w:t>
            </w:r>
            <w:r>
              <w:rPr>
                <w:spacing w:val="-1"/>
                <w:sz w:val="18"/>
              </w:rPr>
              <w:t> </w:t>
            </w:r>
            <w:r>
              <w:rPr>
                <w:sz w:val="18"/>
              </w:rPr>
              <w:t>financing</w:t>
            </w:r>
            <w:r>
              <w:rPr>
                <w:spacing w:val="-1"/>
                <w:sz w:val="18"/>
              </w:rPr>
              <w:t> </w:t>
            </w:r>
            <w:r>
              <w:rPr>
                <w:spacing w:val="-2"/>
                <w:sz w:val="18"/>
              </w:rPr>
              <w:t>obligations</w:t>
            </w:r>
          </w:p>
        </w:tc>
        <w:tc>
          <w:tcPr>
            <w:tcW w:w="1350" w:type="dxa"/>
            <w:tcBorders>
              <w:bottom w:val="single" w:sz="12" w:space="0" w:color="000000"/>
            </w:tcBorders>
          </w:tcPr>
          <w:p>
            <w:pPr>
              <w:pStyle w:val="TableParagraph"/>
              <w:spacing w:before="21"/>
              <w:ind w:right="18"/>
              <w:rPr>
                <w:sz w:val="18"/>
              </w:rPr>
            </w:pPr>
            <w:r>
              <w:rPr>
                <w:spacing w:val="-2"/>
                <w:sz w:val="18"/>
              </w:rPr>
              <w:t>(271)</w:t>
            </w:r>
          </w:p>
        </w:tc>
        <w:tc>
          <w:tcPr>
            <w:tcW w:w="1512" w:type="dxa"/>
            <w:tcBorders>
              <w:bottom w:val="single" w:sz="12" w:space="0" w:color="000000"/>
            </w:tcBorders>
          </w:tcPr>
          <w:p>
            <w:pPr>
              <w:pStyle w:val="TableParagraph"/>
              <w:spacing w:before="21"/>
              <w:ind w:right="59"/>
              <w:rPr>
                <w:sz w:val="18"/>
              </w:rPr>
            </w:pPr>
            <w:r>
              <w:rPr>
                <w:spacing w:val="-2"/>
                <w:sz w:val="18"/>
              </w:rPr>
              <w:t>(669)</w:t>
            </w:r>
          </w:p>
        </w:tc>
      </w:tr>
      <w:tr>
        <w:trPr>
          <w:trHeight w:val="448" w:hRule="atLeast"/>
        </w:trPr>
        <w:tc>
          <w:tcPr>
            <w:tcW w:w="8653" w:type="dxa"/>
            <w:shd w:val="clear" w:color="auto" w:fill="CCEDFF"/>
          </w:tcPr>
          <w:p>
            <w:pPr>
              <w:pStyle w:val="TableParagraph"/>
              <w:spacing w:line="216" w:lineRule="exact"/>
              <w:ind w:left="17"/>
              <w:jc w:val="left"/>
              <w:rPr>
                <w:sz w:val="18"/>
              </w:rPr>
            </w:pPr>
            <w:r>
              <w:rPr>
                <w:sz w:val="18"/>
              </w:rPr>
              <w:t>Free</w:t>
            </w:r>
            <w:r>
              <w:rPr>
                <w:spacing w:val="-3"/>
                <w:sz w:val="18"/>
              </w:rPr>
              <w:t> </w:t>
            </w:r>
            <w:r>
              <w:rPr>
                <w:sz w:val="18"/>
              </w:rPr>
              <w:t>cash</w:t>
            </w:r>
            <w:r>
              <w:rPr>
                <w:spacing w:val="-3"/>
                <w:sz w:val="18"/>
              </w:rPr>
              <w:t> </w:t>
            </w:r>
            <w:r>
              <w:rPr>
                <w:sz w:val="18"/>
              </w:rPr>
              <w:t>flow</w:t>
            </w:r>
            <w:r>
              <w:rPr>
                <w:spacing w:val="-3"/>
                <w:sz w:val="18"/>
              </w:rPr>
              <w:t> </w:t>
            </w:r>
            <w:r>
              <w:rPr>
                <w:sz w:val="18"/>
              </w:rPr>
              <w:t>less</w:t>
            </w:r>
            <w:r>
              <w:rPr>
                <w:spacing w:val="-3"/>
                <w:sz w:val="18"/>
              </w:rPr>
              <w:t> </w:t>
            </w:r>
            <w:r>
              <w:rPr>
                <w:sz w:val="18"/>
              </w:rPr>
              <w:t>equipment</w:t>
            </w:r>
            <w:r>
              <w:rPr>
                <w:spacing w:val="-3"/>
                <w:sz w:val="18"/>
              </w:rPr>
              <w:t> </w:t>
            </w:r>
            <w:r>
              <w:rPr>
                <w:sz w:val="18"/>
              </w:rPr>
              <w:t>finance</w:t>
            </w:r>
            <w:r>
              <w:rPr>
                <w:spacing w:val="-3"/>
                <w:sz w:val="18"/>
              </w:rPr>
              <w:t> </w:t>
            </w:r>
            <w:r>
              <w:rPr>
                <w:sz w:val="18"/>
              </w:rPr>
              <w:t>leases</w:t>
            </w:r>
            <w:r>
              <w:rPr>
                <w:spacing w:val="-3"/>
                <w:sz w:val="18"/>
              </w:rPr>
              <w:t> </w:t>
            </w:r>
            <w:r>
              <w:rPr>
                <w:sz w:val="18"/>
              </w:rPr>
              <w:t>and</w:t>
            </w:r>
            <w:r>
              <w:rPr>
                <w:spacing w:val="-3"/>
                <w:sz w:val="18"/>
              </w:rPr>
              <w:t> </w:t>
            </w:r>
            <w:r>
              <w:rPr>
                <w:sz w:val="18"/>
              </w:rPr>
              <w:t>principal</w:t>
            </w:r>
            <w:r>
              <w:rPr>
                <w:spacing w:val="-3"/>
                <w:sz w:val="18"/>
              </w:rPr>
              <w:t> </w:t>
            </w:r>
            <w:r>
              <w:rPr>
                <w:sz w:val="18"/>
              </w:rPr>
              <w:t>repayments</w:t>
            </w:r>
            <w:r>
              <w:rPr>
                <w:spacing w:val="-3"/>
                <w:sz w:val="18"/>
              </w:rPr>
              <w:t> </w:t>
            </w:r>
            <w:r>
              <w:rPr>
                <w:sz w:val="18"/>
              </w:rPr>
              <w:t>of</w:t>
            </w:r>
            <w:r>
              <w:rPr>
                <w:spacing w:val="-3"/>
                <w:sz w:val="18"/>
              </w:rPr>
              <w:t> </w:t>
            </w:r>
            <w:r>
              <w:rPr>
                <w:sz w:val="18"/>
              </w:rPr>
              <w:t>all</w:t>
            </w:r>
            <w:r>
              <w:rPr>
                <w:spacing w:val="-3"/>
                <w:sz w:val="18"/>
              </w:rPr>
              <w:t> </w:t>
            </w:r>
            <w:r>
              <w:rPr>
                <w:sz w:val="18"/>
              </w:rPr>
              <w:t>other</w:t>
            </w:r>
            <w:r>
              <w:rPr>
                <w:spacing w:val="-3"/>
                <w:sz w:val="18"/>
              </w:rPr>
              <w:t> </w:t>
            </w:r>
            <w:r>
              <w:rPr>
                <w:sz w:val="18"/>
              </w:rPr>
              <w:t>finance</w:t>
            </w:r>
            <w:r>
              <w:rPr>
                <w:spacing w:val="-3"/>
                <w:sz w:val="18"/>
              </w:rPr>
              <w:t> </w:t>
            </w:r>
            <w:r>
              <w:rPr>
                <w:sz w:val="18"/>
              </w:rPr>
              <w:t>leases</w:t>
            </w:r>
            <w:r>
              <w:rPr>
                <w:spacing w:val="-3"/>
                <w:sz w:val="18"/>
              </w:rPr>
              <w:t> </w:t>
            </w:r>
            <w:r>
              <w:rPr>
                <w:sz w:val="18"/>
              </w:rPr>
              <w:t>and</w:t>
            </w:r>
            <w:r>
              <w:rPr>
                <w:spacing w:val="-3"/>
                <w:sz w:val="18"/>
              </w:rPr>
              <w:t> </w:t>
            </w:r>
            <w:r>
              <w:rPr>
                <w:sz w:val="18"/>
              </w:rPr>
              <w:t>financing </w:t>
            </w:r>
            <w:r>
              <w:rPr>
                <w:spacing w:val="-2"/>
                <w:sz w:val="18"/>
              </w:rPr>
              <w:t>obligations</w:t>
            </w:r>
          </w:p>
        </w:tc>
        <w:tc>
          <w:tcPr>
            <w:tcW w:w="1350" w:type="dxa"/>
            <w:tcBorders>
              <w:top w:val="single" w:sz="12" w:space="0" w:color="000000"/>
              <w:bottom w:val="double" w:sz="6" w:space="0" w:color="000000"/>
            </w:tcBorders>
            <w:shd w:val="clear" w:color="auto" w:fill="CCEDFF"/>
          </w:tcPr>
          <w:p>
            <w:pPr>
              <w:pStyle w:val="TableParagraph"/>
              <w:tabs>
                <w:tab w:pos="771" w:val="left" w:leader="none"/>
              </w:tabs>
              <w:spacing w:before="195"/>
              <w:ind w:right="63"/>
              <w:rPr>
                <w:sz w:val="18"/>
              </w:rPr>
            </w:pPr>
            <w:r>
              <w:rPr>
                <w:spacing w:val="-10"/>
                <w:sz w:val="18"/>
              </w:rPr>
              <w:t>$</w:t>
            </w:r>
            <w:r>
              <w:rPr>
                <w:sz w:val="18"/>
              </w:rPr>
              <w:tab/>
            </w:r>
            <w:r>
              <w:rPr>
                <w:spacing w:val="-2"/>
                <w:sz w:val="18"/>
              </w:rPr>
              <w:t>35,549</w:t>
            </w:r>
          </w:p>
        </w:tc>
        <w:tc>
          <w:tcPr>
            <w:tcW w:w="1512" w:type="dxa"/>
            <w:tcBorders>
              <w:top w:val="single" w:sz="12" w:space="0" w:color="000000"/>
              <w:bottom w:val="double" w:sz="6" w:space="0" w:color="000000"/>
            </w:tcBorders>
            <w:shd w:val="clear" w:color="auto" w:fill="CCEDFF"/>
          </w:tcPr>
          <w:p>
            <w:pPr>
              <w:pStyle w:val="TableParagraph"/>
              <w:tabs>
                <w:tab w:pos="778" w:val="left" w:leader="none"/>
              </w:tabs>
              <w:spacing w:before="195"/>
              <w:ind w:right="104"/>
              <w:rPr>
                <w:sz w:val="18"/>
              </w:rPr>
            </w:pPr>
            <w:r>
              <w:rPr>
                <w:spacing w:val="-10"/>
                <w:sz w:val="18"/>
              </w:rPr>
              <w:t>$</w:t>
            </w:r>
            <w:r>
              <w:rPr>
                <w:sz w:val="18"/>
              </w:rPr>
              <w:tab/>
            </w:r>
            <w:r>
              <w:rPr>
                <w:spacing w:val="-2"/>
                <w:sz w:val="18"/>
              </w:rPr>
              <w:t>36,211</w:t>
            </w:r>
          </w:p>
        </w:tc>
      </w:tr>
      <w:tr>
        <w:trPr>
          <w:trHeight w:val="247" w:hRule="atLeast"/>
        </w:trPr>
        <w:tc>
          <w:tcPr>
            <w:tcW w:w="8653" w:type="dxa"/>
          </w:tcPr>
          <w:p>
            <w:pPr>
              <w:pStyle w:val="TableParagraph"/>
              <w:jc w:val="left"/>
              <w:rPr>
                <w:sz w:val="16"/>
              </w:rPr>
            </w:pPr>
          </w:p>
        </w:tc>
        <w:tc>
          <w:tcPr>
            <w:tcW w:w="1350" w:type="dxa"/>
            <w:tcBorders>
              <w:top w:val="double" w:sz="6" w:space="0" w:color="000000"/>
            </w:tcBorders>
          </w:tcPr>
          <w:p>
            <w:pPr>
              <w:pStyle w:val="TableParagraph"/>
              <w:jc w:val="left"/>
              <w:rPr>
                <w:sz w:val="16"/>
              </w:rPr>
            </w:pPr>
          </w:p>
        </w:tc>
        <w:tc>
          <w:tcPr>
            <w:tcW w:w="1512" w:type="dxa"/>
            <w:tcBorders>
              <w:top w:val="double" w:sz="6" w:space="0" w:color="000000"/>
            </w:tcBorders>
          </w:tcPr>
          <w:p>
            <w:pPr>
              <w:pStyle w:val="TableParagraph"/>
              <w:jc w:val="left"/>
              <w:rPr>
                <w:sz w:val="16"/>
              </w:rPr>
            </w:pPr>
          </w:p>
        </w:tc>
      </w:tr>
      <w:tr>
        <w:trPr>
          <w:trHeight w:val="269" w:hRule="atLeast"/>
        </w:trPr>
        <w:tc>
          <w:tcPr>
            <w:tcW w:w="8653" w:type="dxa"/>
            <w:shd w:val="clear" w:color="auto" w:fill="CCEDFF"/>
          </w:tcPr>
          <w:p>
            <w:pPr>
              <w:pStyle w:val="TableParagraph"/>
              <w:spacing w:before="21"/>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investing</w:t>
            </w:r>
            <w:r>
              <w:rPr>
                <w:spacing w:val="-1"/>
                <w:sz w:val="18"/>
              </w:rPr>
              <w:t> </w:t>
            </w:r>
            <w:r>
              <w:rPr>
                <w:spacing w:val="-2"/>
                <w:sz w:val="18"/>
              </w:rPr>
              <w:t>activities</w:t>
            </w:r>
          </w:p>
        </w:tc>
        <w:tc>
          <w:tcPr>
            <w:tcW w:w="1350" w:type="dxa"/>
            <w:shd w:val="clear" w:color="auto" w:fill="CCEDFF"/>
          </w:tcPr>
          <w:p>
            <w:pPr>
              <w:pStyle w:val="TableParagraph"/>
              <w:tabs>
                <w:tab w:pos="696" w:val="left" w:leader="none"/>
              </w:tabs>
              <w:spacing w:before="21"/>
              <w:ind w:right="18"/>
              <w:rPr>
                <w:sz w:val="18"/>
              </w:rPr>
            </w:pPr>
            <w:r>
              <w:rPr>
                <w:spacing w:val="-10"/>
                <w:sz w:val="18"/>
              </w:rPr>
              <w:t>$</w:t>
            </w:r>
            <w:r>
              <w:rPr>
                <w:sz w:val="18"/>
              </w:rPr>
              <w:tab/>
            </w:r>
            <w:r>
              <w:rPr>
                <w:spacing w:val="-2"/>
                <w:sz w:val="18"/>
              </w:rPr>
              <w:t>(49,833)</w:t>
            </w:r>
          </w:p>
        </w:tc>
        <w:tc>
          <w:tcPr>
            <w:tcW w:w="1512" w:type="dxa"/>
            <w:shd w:val="clear" w:color="auto" w:fill="CCEDFF"/>
          </w:tcPr>
          <w:p>
            <w:pPr>
              <w:pStyle w:val="TableParagraph"/>
              <w:tabs>
                <w:tab w:pos="696" w:val="left" w:leader="none"/>
              </w:tabs>
              <w:spacing w:before="21"/>
              <w:ind w:right="59"/>
              <w:rPr>
                <w:sz w:val="18"/>
              </w:rPr>
            </w:pPr>
            <w:r>
              <w:rPr>
                <w:spacing w:val="-10"/>
                <w:sz w:val="18"/>
              </w:rPr>
              <w:t>$</w:t>
            </w:r>
            <w:r>
              <w:rPr>
                <w:sz w:val="18"/>
              </w:rPr>
              <w:tab/>
            </w:r>
            <w:r>
              <w:rPr>
                <w:spacing w:val="-2"/>
                <w:sz w:val="18"/>
              </w:rPr>
              <w:t>(94,342)</w:t>
            </w:r>
          </w:p>
        </w:tc>
      </w:tr>
      <w:tr>
        <w:trPr>
          <w:trHeight w:val="227" w:hRule="atLeast"/>
        </w:trPr>
        <w:tc>
          <w:tcPr>
            <w:tcW w:w="8653" w:type="dxa"/>
          </w:tcPr>
          <w:p>
            <w:pPr>
              <w:pStyle w:val="TableParagraph"/>
              <w:spacing w:line="187" w:lineRule="exact" w:before="21"/>
              <w:ind w:left="17"/>
              <w:jc w:val="left"/>
              <w:rPr>
                <w:sz w:val="18"/>
              </w:rPr>
            </w:pPr>
            <w:r>
              <w:rPr>
                <w:sz w:val="18"/>
              </w:rPr>
              <w:t>Net</w:t>
            </w:r>
            <w:r>
              <w:rPr>
                <w:spacing w:val="-1"/>
                <w:sz w:val="18"/>
              </w:rPr>
              <w:t> </w:t>
            </w:r>
            <w:r>
              <w:rPr>
                <w:sz w:val="18"/>
              </w:rPr>
              <w:t>cash</w:t>
            </w:r>
            <w:r>
              <w:rPr>
                <w:spacing w:val="-1"/>
                <w:sz w:val="18"/>
              </w:rPr>
              <w:t> </w:t>
            </w:r>
            <w:r>
              <w:rPr>
                <w:sz w:val="18"/>
              </w:rPr>
              <w:t>provided</w:t>
            </w:r>
            <w:r>
              <w:rPr>
                <w:spacing w:val="-1"/>
                <w:sz w:val="18"/>
              </w:rPr>
              <w:t> </w:t>
            </w:r>
            <w:r>
              <w:rPr>
                <w:sz w:val="18"/>
              </w:rPr>
              <w:t>by</w:t>
            </w:r>
            <w:r>
              <w:rPr>
                <w:spacing w:val="-1"/>
                <w:sz w:val="18"/>
              </w:rPr>
              <w:t> </w:t>
            </w:r>
            <w:r>
              <w:rPr>
                <w:sz w:val="18"/>
              </w:rPr>
              <w:t>(used</w:t>
            </w:r>
            <w:r>
              <w:rPr>
                <w:spacing w:val="-1"/>
                <w:sz w:val="18"/>
              </w:rPr>
              <w:t> </w:t>
            </w:r>
            <w:r>
              <w:rPr>
                <w:sz w:val="18"/>
              </w:rPr>
              <w:t>in)</w:t>
            </w:r>
            <w:r>
              <w:rPr>
                <w:spacing w:val="-1"/>
                <w:sz w:val="18"/>
              </w:rPr>
              <w:t> </w:t>
            </w:r>
            <w:r>
              <w:rPr>
                <w:sz w:val="18"/>
              </w:rPr>
              <w:t>financing</w:t>
            </w:r>
            <w:r>
              <w:rPr>
                <w:spacing w:val="-1"/>
                <w:sz w:val="18"/>
              </w:rPr>
              <w:t> </w:t>
            </w:r>
            <w:r>
              <w:rPr>
                <w:spacing w:val="-2"/>
                <w:sz w:val="18"/>
              </w:rPr>
              <w:t>activities</w:t>
            </w:r>
          </w:p>
        </w:tc>
        <w:tc>
          <w:tcPr>
            <w:tcW w:w="1350" w:type="dxa"/>
          </w:tcPr>
          <w:p>
            <w:pPr>
              <w:pStyle w:val="TableParagraph"/>
              <w:tabs>
                <w:tab w:pos="696" w:val="left" w:leader="none"/>
              </w:tabs>
              <w:spacing w:line="187" w:lineRule="exact" w:before="21"/>
              <w:ind w:right="18"/>
              <w:rPr>
                <w:sz w:val="18"/>
              </w:rPr>
            </w:pPr>
            <w:r>
              <w:rPr>
                <w:spacing w:val="-10"/>
                <w:sz w:val="18"/>
              </w:rPr>
              <w:t>$</w:t>
            </w:r>
            <w:r>
              <w:rPr>
                <w:sz w:val="18"/>
              </w:rPr>
              <w:tab/>
            </w:r>
            <w:r>
              <w:rPr>
                <w:spacing w:val="-2"/>
                <w:sz w:val="18"/>
              </w:rPr>
              <w:t>(15,879)</w:t>
            </w:r>
          </w:p>
        </w:tc>
        <w:tc>
          <w:tcPr>
            <w:tcW w:w="1512" w:type="dxa"/>
          </w:tcPr>
          <w:p>
            <w:pPr>
              <w:pStyle w:val="TableParagraph"/>
              <w:tabs>
                <w:tab w:pos="703" w:val="left" w:leader="none"/>
              </w:tabs>
              <w:spacing w:line="187" w:lineRule="exact" w:before="21"/>
              <w:ind w:right="59"/>
              <w:rPr>
                <w:sz w:val="18"/>
              </w:rPr>
            </w:pPr>
            <w:r>
              <w:rPr>
                <w:spacing w:val="-10"/>
                <w:sz w:val="18"/>
              </w:rPr>
              <w:t>$</w:t>
            </w:r>
            <w:r>
              <w:rPr>
                <w:sz w:val="18"/>
              </w:rPr>
              <w:tab/>
            </w:r>
            <w:r>
              <w:rPr>
                <w:spacing w:val="-2"/>
                <w:sz w:val="18"/>
              </w:rPr>
              <w:t>(11,812)</w:t>
            </w:r>
          </w:p>
        </w:tc>
      </w:tr>
    </w:tbl>
    <w:p>
      <w:pPr>
        <w:pStyle w:val="BodyText"/>
        <w:spacing w:before="84"/>
        <w:ind w:left="0"/>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231457</wp:posOffset>
                </wp:positionH>
                <wp:positionV relativeFrom="paragraph">
                  <wp:posOffset>215076</wp:posOffset>
                </wp:positionV>
                <wp:extent cx="108585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085850" cy="1270"/>
                        </a:xfrm>
                        <a:custGeom>
                          <a:avLst/>
                          <a:gdLst/>
                          <a:ahLst/>
                          <a:cxnLst/>
                          <a:rect l="l" t="t" r="r" b="b"/>
                          <a:pathLst>
                            <a:path w="1085850" h="0">
                              <a:moveTo>
                                <a:pt x="0" y="0"/>
                              </a:moveTo>
                              <a:lnTo>
                                <a:pt x="1085577" y="0"/>
                              </a:lnTo>
                            </a:path>
                          </a:pathLst>
                        </a:custGeom>
                        <a:ln w="463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224997pt;margin-top:16.935122pt;width:85.5pt;height:.1pt;mso-position-horizontal-relative:page;mso-position-vertical-relative:paragraph;z-index:-15718400;mso-wrap-distance-left:0;mso-wrap-distance-right:0" id="docshape55" coordorigin="364,339" coordsize="1710,0" path="m364,339l2074,339e" filled="false" stroked="true" strokeweight=".365252pt" strokecolor="#000000">
                <v:path arrowok="t"/>
                <v:stroke dashstyle="solid"/>
                <w10:wrap type="topAndBottom"/>
              </v:shape>
            </w:pict>
          </mc:Fallback>
        </mc:AlternateContent>
      </w:r>
    </w:p>
    <w:p>
      <w:pPr>
        <w:pStyle w:val="ListParagraph"/>
        <w:numPr>
          <w:ilvl w:val="0"/>
          <w:numId w:val="1"/>
        </w:numPr>
        <w:tabs>
          <w:tab w:pos="328" w:val="left" w:leader="none"/>
        </w:tabs>
        <w:spacing w:line="249" w:lineRule="auto" w:before="9" w:after="0"/>
        <w:ind w:left="328" w:right="55" w:hanging="324"/>
        <w:jc w:val="left"/>
        <w:rPr>
          <w:sz w:val="18"/>
        </w:rPr>
      </w:pPr>
      <w:r>
        <w:rPr>
          <w:sz w:val="18"/>
        </w:rPr>
        <w:t>For</w:t>
      </w:r>
      <w:r>
        <w:rPr>
          <w:spacing w:val="-2"/>
          <w:sz w:val="18"/>
        </w:rPr>
        <w:t> </w:t>
      </w:r>
      <w:r>
        <w:rPr>
          <w:sz w:val="18"/>
        </w:rPr>
        <w:t>the</w:t>
      </w:r>
      <w:r>
        <w:rPr>
          <w:spacing w:val="-2"/>
          <w:sz w:val="18"/>
        </w:rPr>
        <w:t> </w:t>
      </w:r>
      <w:r>
        <w:rPr>
          <w:sz w:val="18"/>
        </w:rPr>
        <w:t>year</w:t>
      </w:r>
      <w:r>
        <w:rPr>
          <w:spacing w:val="-2"/>
          <w:sz w:val="18"/>
        </w:rPr>
        <w:t> </w:t>
      </w:r>
      <w:r>
        <w:rPr>
          <w:sz w:val="18"/>
        </w:rPr>
        <w:t>ended</w:t>
      </w:r>
      <w:r>
        <w:rPr>
          <w:spacing w:val="-2"/>
          <w:sz w:val="18"/>
        </w:rPr>
        <w:t> </w:t>
      </w:r>
      <w:r>
        <w:rPr>
          <w:sz w:val="18"/>
        </w:rPr>
        <w:t>December</w:t>
      </w:r>
      <w:r>
        <w:rPr>
          <w:spacing w:val="-2"/>
          <w:sz w:val="18"/>
        </w:rPr>
        <w:t> </w:t>
      </w:r>
      <w:r>
        <w:rPr>
          <w:sz w:val="18"/>
        </w:rPr>
        <w:t>31,</w:t>
      </w:r>
      <w:r>
        <w:rPr>
          <w:spacing w:val="-2"/>
          <w:sz w:val="18"/>
        </w:rPr>
        <w:t> </w:t>
      </w:r>
      <w:r>
        <w:rPr>
          <w:sz w:val="18"/>
        </w:rPr>
        <w:t>2023</w:t>
      </w:r>
      <w:r>
        <w:rPr>
          <w:spacing w:val="-2"/>
          <w:sz w:val="18"/>
        </w:rPr>
        <w:t> </w:t>
      </w:r>
      <w:r>
        <w:rPr>
          <w:sz w:val="18"/>
        </w:rPr>
        <w:t>and</w:t>
      </w:r>
      <w:r>
        <w:rPr>
          <w:spacing w:val="-2"/>
          <w:sz w:val="18"/>
        </w:rPr>
        <w:t> </w:t>
      </w:r>
      <w:r>
        <w:rPr>
          <w:sz w:val="18"/>
        </w:rPr>
        <w:t>2024,</w:t>
      </w:r>
      <w:r>
        <w:rPr>
          <w:spacing w:val="-2"/>
          <w:sz w:val="18"/>
        </w:rPr>
        <w:t> </w:t>
      </w:r>
      <w:r>
        <w:rPr>
          <w:sz w:val="18"/>
        </w:rPr>
        <w:t>this</w:t>
      </w:r>
      <w:r>
        <w:rPr>
          <w:spacing w:val="-2"/>
          <w:sz w:val="18"/>
        </w:rPr>
        <w:t> </w:t>
      </w:r>
      <w:r>
        <w:rPr>
          <w:sz w:val="18"/>
        </w:rPr>
        <w:t>amount</w:t>
      </w:r>
      <w:r>
        <w:rPr>
          <w:spacing w:val="-2"/>
          <w:sz w:val="18"/>
        </w:rPr>
        <w:t> </w:t>
      </w:r>
      <w:r>
        <w:rPr>
          <w:sz w:val="18"/>
        </w:rPr>
        <w:t>relates</w:t>
      </w:r>
      <w:r>
        <w:rPr>
          <w:spacing w:val="-2"/>
          <w:sz w:val="18"/>
        </w:rPr>
        <w:t> </w:t>
      </w:r>
      <w:r>
        <w:rPr>
          <w:sz w:val="18"/>
        </w:rPr>
        <w:t>to</w:t>
      </w:r>
      <w:r>
        <w:rPr>
          <w:spacing w:val="-2"/>
          <w:sz w:val="18"/>
        </w:rPr>
        <w:t> </w:t>
      </w:r>
      <w:r>
        <w:rPr>
          <w:sz w:val="18"/>
        </w:rPr>
        <w:t>equipment</w:t>
      </w:r>
      <w:r>
        <w:rPr>
          <w:spacing w:val="-2"/>
          <w:sz w:val="18"/>
        </w:rPr>
        <w:t> </w:t>
      </w:r>
      <w:r>
        <w:rPr>
          <w:sz w:val="18"/>
        </w:rPr>
        <w:t>included</w:t>
      </w:r>
      <w:r>
        <w:rPr>
          <w:spacing w:val="-2"/>
          <w:sz w:val="18"/>
        </w:rPr>
        <w:t> </w:t>
      </w:r>
      <w:r>
        <w:rPr>
          <w:sz w:val="18"/>
        </w:rPr>
        <w:t>in</w:t>
      </w:r>
      <w:r>
        <w:rPr>
          <w:spacing w:val="-2"/>
          <w:sz w:val="18"/>
        </w:rPr>
        <w:t> </w:t>
      </w:r>
      <w:r>
        <w:rPr>
          <w:sz w:val="18"/>
        </w:rPr>
        <w:t>“Property</w:t>
      </w:r>
      <w:r>
        <w:rPr>
          <w:spacing w:val="-2"/>
          <w:sz w:val="18"/>
        </w:rPr>
        <w:t> </w:t>
      </w:r>
      <w:r>
        <w:rPr>
          <w:sz w:val="18"/>
        </w:rPr>
        <w:t>and</w:t>
      </w:r>
      <w:r>
        <w:rPr>
          <w:spacing w:val="-2"/>
          <w:sz w:val="18"/>
        </w:rPr>
        <w:t> </w:t>
      </w:r>
      <w:r>
        <w:rPr>
          <w:sz w:val="18"/>
        </w:rPr>
        <w:t>equipment</w:t>
      </w:r>
      <w:r>
        <w:rPr>
          <w:spacing w:val="-2"/>
          <w:sz w:val="18"/>
        </w:rPr>
        <w:t> </w:t>
      </w:r>
      <w:r>
        <w:rPr>
          <w:sz w:val="18"/>
        </w:rPr>
        <w:t>acquired</w:t>
      </w:r>
      <w:r>
        <w:rPr>
          <w:spacing w:val="-2"/>
          <w:sz w:val="18"/>
        </w:rPr>
        <w:t> </w:t>
      </w:r>
      <w:r>
        <w:rPr>
          <w:sz w:val="18"/>
        </w:rPr>
        <w:t>under</w:t>
      </w:r>
      <w:r>
        <w:rPr>
          <w:spacing w:val="-2"/>
          <w:sz w:val="18"/>
        </w:rPr>
        <w:t> </w:t>
      </w:r>
      <w:r>
        <w:rPr>
          <w:sz w:val="18"/>
        </w:rPr>
        <w:t>finance</w:t>
      </w:r>
      <w:r>
        <w:rPr>
          <w:spacing w:val="-2"/>
          <w:sz w:val="18"/>
        </w:rPr>
        <w:t> </w:t>
      </w:r>
      <w:r>
        <w:rPr>
          <w:sz w:val="18"/>
        </w:rPr>
        <w:t>leases,</w:t>
      </w:r>
      <w:r>
        <w:rPr>
          <w:spacing w:val="-2"/>
          <w:sz w:val="18"/>
        </w:rPr>
        <w:t> </w:t>
      </w:r>
      <w:r>
        <w:rPr>
          <w:sz w:val="18"/>
        </w:rPr>
        <w:t>net of remeasurements and modifications” of $642 million and $854 million.</w:t>
      </w:r>
    </w:p>
    <w:p>
      <w:pPr>
        <w:pStyle w:val="ListParagraph"/>
        <w:numPr>
          <w:ilvl w:val="0"/>
          <w:numId w:val="1"/>
        </w:numPr>
        <w:tabs>
          <w:tab w:pos="328" w:val="left" w:leader="none"/>
        </w:tabs>
        <w:spacing w:line="249" w:lineRule="auto" w:before="1" w:after="0"/>
        <w:ind w:left="328" w:right="265" w:hanging="324"/>
        <w:jc w:val="left"/>
        <w:rPr>
          <w:sz w:val="18"/>
        </w:rPr>
      </w:pPr>
      <w:r>
        <w:rPr>
          <w:sz w:val="18"/>
        </w:rPr>
        <w:t>For</w:t>
      </w:r>
      <w:r>
        <w:rPr>
          <w:spacing w:val="-2"/>
          <w:sz w:val="18"/>
        </w:rPr>
        <w:t> </w:t>
      </w:r>
      <w:r>
        <w:rPr>
          <w:sz w:val="18"/>
        </w:rPr>
        <w:t>the</w:t>
      </w:r>
      <w:r>
        <w:rPr>
          <w:spacing w:val="-2"/>
          <w:sz w:val="18"/>
        </w:rPr>
        <w:t> </w:t>
      </w:r>
      <w:r>
        <w:rPr>
          <w:sz w:val="18"/>
        </w:rPr>
        <w:t>year</w:t>
      </w:r>
      <w:r>
        <w:rPr>
          <w:spacing w:val="-2"/>
          <w:sz w:val="18"/>
        </w:rPr>
        <w:t> </w:t>
      </w:r>
      <w:r>
        <w:rPr>
          <w:sz w:val="18"/>
        </w:rPr>
        <w:t>ended</w:t>
      </w:r>
      <w:r>
        <w:rPr>
          <w:spacing w:val="-2"/>
          <w:sz w:val="18"/>
        </w:rPr>
        <w:t> </w:t>
      </w:r>
      <w:r>
        <w:rPr>
          <w:sz w:val="18"/>
        </w:rPr>
        <w:t>December</w:t>
      </w:r>
      <w:r>
        <w:rPr>
          <w:spacing w:val="-2"/>
          <w:sz w:val="18"/>
        </w:rPr>
        <w:t> </w:t>
      </w:r>
      <w:r>
        <w:rPr>
          <w:sz w:val="18"/>
        </w:rPr>
        <w:t>31,</w:t>
      </w:r>
      <w:r>
        <w:rPr>
          <w:spacing w:val="-2"/>
          <w:sz w:val="18"/>
        </w:rPr>
        <w:t> </w:t>
      </w:r>
      <w:r>
        <w:rPr>
          <w:sz w:val="18"/>
        </w:rPr>
        <w:t>2023</w:t>
      </w:r>
      <w:r>
        <w:rPr>
          <w:spacing w:val="-2"/>
          <w:sz w:val="18"/>
        </w:rPr>
        <w:t> </w:t>
      </w:r>
      <w:r>
        <w:rPr>
          <w:sz w:val="18"/>
        </w:rPr>
        <w:t>and</w:t>
      </w:r>
      <w:r>
        <w:rPr>
          <w:spacing w:val="-2"/>
          <w:sz w:val="18"/>
        </w:rPr>
        <w:t> </w:t>
      </w:r>
      <w:r>
        <w:rPr>
          <w:sz w:val="18"/>
        </w:rPr>
        <w:t>2024,</w:t>
      </w:r>
      <w:r>
        <w:rPr>
          <w:spacing w:val="-2"/>
          <w:sz w:val="18"/>
        </w:rPr>
        <w:t> </w:t>
      </w:r>
      <w:r>
        <w:rPr>
          <w:sz w:val="18"/>
        </w:rPr>
        <w:t>this</w:t>
      </w:r>
      <w:r>
        <w:rPr>
          <w:spacing w:val="-2"/>
          <w:sz w:val="18"/>
        </w:rPr>
        <w:t> </w:t>
      </w:r>
      <w:r>
        <w:rPr>
          <w:sz w:val="18"/>
        </w:rPr>
        <w:t>amount</w:t>
      </w:r>
      <w:r>
        <w:rPr>
          <w:spacing w:val="-2"/>
          <w:sz w:val="18"/>
        </w:rPr>
        <w:t> </w:t>
      </w:r>
      <w:r>
        <w:rPr>
          <w:sz w:val="18"/>
        </w:rPr>
        <w:t>relates</w:t>
      </w:r>
      <w:r>
        <w:rPr>
          <w:spacing w:val="-2"/>
          <w:sz w:val="18"/>
        </w:rPr>
        <w:t> </w:t>
      </w:r>
      <w:r>
        <w:rPr>
          <w:sz w:val="18"/>
        </w:rPr>
        <w:t>to</w:t>
      </w:r>
      <w:r>
        <w:rPr>
          <w:spacing w:val="-2"/>
          <w:sz w:val="18"/>
        </w:rPr>
        <w:t> </w:t>
      </w:r>
      <w:r>
        <w:rPr>
          <w:sz w:val="18"/>
        </w:rPr>
        <w:t>property</w:t>
      </w:r>
      <w:r>
        <w:rPr>
          <w:spacing w:val="-2"/>
          <w:sz w:val="18"/>
        </w:rPr>
        <w:t> </w:t>
      </w:r>
      <w:r>
        <w:rPr>
          <w:sz w:val="18"/>
        </w:rPr>
        <w:t>included</w:t>
      </w:r>
      <w:r>
        <w:rPr>
          <w:spacing w:val="-2"/>
          <w:sz w:val="18"/>
        </w:rPr>
        <w:t> </w:t>
      </w:r>
      <w:r>
        <w:rPr>
          <w:sz w:val="18"/>
        </w:rPr>
        <w:t>in</w:t>
      </w:r>
      <w:r>
        <w:rPr>
          <w:spacing w:val="-2"/>
          <w:sz w:val="18"/>
        </w:rPr>
        <w:t> </w:t>
      </w:r>
      <w:r>
        <w:rPr>
          <w:sz w:val="18"/>
        </w:rPr>
        <w:t>“Principal</w:t>
      </w:r>
      <w:r>
        <w:rPr>
          <w:spacing w:val="-2"/>
          <w:sz w:val="18"/>
        </w:rPr>
        <w:t> </w:t>
      </w:r>
      <w:r>
        <w:rPr>
          <w:sz w:val="18"/>
        </w:rPr>
        <w:t>repayments</w:t>
      </w:r>
      <w:r>
        <w:rPr>
          <w:spacing w:val="-2"/>
          <w:sz w:val="18"/>
        </w:rPr>
        <w:t> </w:t>
      </w:r>
      <w:r>
        <w:rPr>
          <w:sz w:val="18"/>
        </w:rPr>
        <w:t>of</w:t>
      </w:r>
      <w:r>
        <w:rPr>
          <w:spacing w:val="-2"/>
          <w:sz w:val="18"/>
        </w:rPr>
        <w:t> </w:t>
      </w:r>
      <w:r>
        <w:rPr>
          <w:sz w:val="18"/>
        </w:rPr>
        <w:t>finance</w:t>
      </w:r>
      <w:r>
        <w:rPr>
          <w:spacing w:val="-2"/>
          <w:sz w:val="18"/>
        </w:rPr>
        <w:t> </w:t>
      </w:r>
      <w:r>
        <w:rPr>
          <w:sz w:val="18"/>
        </w:rPr>
        <w:t>leases”</w:t>
      </w:r>
      <w:r>
        <w:rPr>
          <w:spacing w:val="-2"/>
          <w:sz w:val="18"/>
        </w:rPr>
        <w:t> </w:t>
      </w:r>
      <w:r>
        <w:rPr>
          <w:sz w:val="18"/>
        </w:rPr>
        <w:t>of</w:t>
      </w:r>
      <w:r>
        <w:rPr>
          <w:spacing w:val="-2"/>
          <w:sz w:val="18"/>
        </w:rPr>
        <w:t> </w:t>
      </w:r>
      <w:r>
        <w:rPr>
          <w:sz w:val="18"/>
        </w:rPr>
        <w:t>$4,384</w:t>
      </w:r>
      <w:r>
        <w:rPr>
          <w:spacing w:val="-2"/>
          <w:sz w:val="18"/>
        </w:rPr>
        <w:t> </w:t>
      </w:r>
      <w:r>
        <w:rPr>
          <w:sz w:val="18"/>
        </w:rPr>
        <w:t>million and $2,043 million.</w:t>
      </w:r>
    </w:p>
    <w:p>
      <w:pPr>
        <w:pStyle w:val="BodyText"/>
        <w:spacing w:line="249" w:lineRule="auto" w:before="96"/>
        <w:ind w:right="20" w:firstLine="445"/>
      </w:pPr>
      <w:r>
        <w:rPr/>
        <w:t>All of these free cash flows measures have limitations as they omit certain components of the overall cash flow statement and do not represent the residual cash flow available for discretionary expenditures. For example, these measures of free cash flows do not incorporate the portion of payments representing</w:t>
      </w:r>
      <w:r>
        <w:rPr>
          <w:spacing w:val="-3"/>
        </w:rPr>
        <w:t> </w:t>
      </w:r>
      <w:r>
        <w:rPr/>
        <w:t>principal</w:t>
      </w:r>
      <w:r>
        <w:rPr>
          <w:spacing w:val="-3"/>
        </w:rPr>
        <w:t> </w:t>
      </w:r>
      <w:r>
        <w:rPr/>
        <w:t>reductions</w:t>
      </w:r>
      <w:r>
        <w:rPr>
          <w:spacing w:val="-3"/>
        </w:rPr>
        <w:t> </w:t>
      </w:r>
      <w:r>
        <w:rPr/>
        <w:t>of</w:t>
      </w:r>
      <w:r>
        <w:rPr>
          <w:spacing w:val="-3"/>
        </w:rPr>
        <w:t> </w:t>
      </w:r>
      <w:r>
        <w:rPr/>
        <w:t>debt</w:t>
      </w:r>
      <w:r>
        <w:rPr>
          <w:spacing w:val="-3"/>
        </w:rPr>
        <w:t> </w:t>
      </w:r>
      <w:r>
        <w:rPr/>
        <w:t>or</w:t>
      </w:r>
      <w:r>
        <w:rPr>
          <w:spacing w:val="-3"/>
        </w:rPr>
        <w:t> </w:t>
      </w:r>
      <w:r>
        <w:rPr/>
        <w:t>cash</w:t>
      </w:r>
      <w:r>
        <w:rPr>
          <w:spacing w:val="-3"/>
        </w:rPr>
        <w:t> </w:t>
      </w:r>
      <w:r>
        <w:rPr/>
        <w:t>payments</w:t>
      </w:r>
      <w:r>
        <w:rPr>
          <w:spacing w:val="-3"/>
        </w:rPr>
        <w:t> </w:t>
      </w:r>
      <w:r>
        <w:rPr/>
        <w:t>for</w:t>
      </w:r>
      <w:r>
        <w:rPr>
          <w:spacing w:val="-3"/>
        </w:rPr>
        <w:t> </w:t>
      </w:r>
      <w:r>
        <w:rPr/>
        <w:t>business</w:t>
      </w:r>
      <w:r>
        <w:rPr>
          <w:spacing w:val="-3"/>
        </w:rPr>
        <w:t> </w:t>
      </w:r>
      <w:r>
        <w:rPr/>
        <w:t>acquisitions.</w:t>
      </w:r>
      <w:r>
        <w:rPr>
          <w:spacing w:val="-12"/>
        </w:rPr>
        <w:t> </w:t>
      </w:r>
      <w:r>
        <w:rPr/>
        <w:t>Additionally,</w:t>
      </w:r>
      <w:r>
        <w:rPr>
          <w:spacing w:val="-2"/>
        </w:rPr>
        <w:t> </w:t>
      </w:r>
      <w:r>
        <w:rPr/>
        <w:t>our</w:t>
      </w:r>
      <w:r>
        <w:rPr>
          <w:spacing w:val="-3"/>
        </w:rPr>
        <w:t> </w:t>
      </w:r>
      <w:r>
        <w:rPr/>
        <w:t>mix</w:t>
      </w:r>
      <w:r>
        <w:rPr>
          <w:spacing w:val="-3"/>
        </w:rPr>
        <w:t> </w:t>
      </w:r>
      <w:r>
        <w:rPr/>
        <w:t>of</w:t>
      </w:r>
      <w:r>
        <w:rPr>
          <w:spacing w:val="-3"/>
        </w:rPr>
        <w:t> </w:t>
      </w:r>
      <w:r>
        <w:rPr/>
        <w:t>property</w:t>
      </w:r>
      <w:r>
        <w:rPr>
          <w:spacing w:val="-3"/>
        </w:rPr>
        <w:t> </w:t>
      </w:r>
      <w:r>
        <w:rPr/>
        <w:t>and</w:t>
      </w:r>
      <w:r>
        <w:rPr>
          <w:spacing w:val="-3"/>
        </w:rPr>
        <w:t> </w:t>
      </w:r>
      <w:r>
        <w:rPr/>
        <w:t>equipment</w:t>
      </w:r>
      <w:r>
        <w:rPr>
          <w:spacing w:val="-3"/>
        </w:rPr>
        <w:t> </w:t>
      </w:r>
      <w:r>
        <w:rPr/>
        <w:t>acquisitions</w:t>
      </w:r>
      <w:r>
        <w:rPr>
          <w:spacing w:val="-3"/>
        </w:rPr>
        <w:t> </w:t>
      </w:r>
      <w:r>
        <w:rPr/>
        <w:t>with</w:t>
      </w:r>
      <w:r>
        <w:rPr>
          <w:spacing w:val="-3"/>
        </w:rPr>
        <w:t> </w:t>
      </w:r>
      <w:r>
        <w:rPr/>
        <w:t>cash</w:t>
      </w:r>
      <w:r>
        <w:rPr>
          <w:spacing w:val="-3"/>
        </w:rPr>
        <w:t> </w:t>
      </w:r>
      <w:r>
        <w:rPr/>
        <w:t>or other financing options may change over time. Therefore, we believe it is important to view free cash flows measures only as a complement to our entire consolidated statements of cash flows.</w:t>
      </w:r>
    </w:p>
    <w:p>
      <w:pPr>
        <w:pStyle w:val="BodyText"/>
        <w:spacing w:before="40"/>
        <w:ind w:left="0"/>
      </w:pPr>
    </w:p>
    <w:p>
      <w:pPr>
        <w:spacing w:before="0"/>
        <w:ind w:left="206" w:right="0" w:firstLine="0"/>
        <w:jc w:val="both"/>
        <w:rPr>
          <w:i/>
          <w:sz w:val="18"/>
        </w:rPr>
      </w:pPr>
      <w:r>
        <w:rPr>
          <w:i/>
          <w:sz w:val="18"/>
        </w:rPr>
        <w:t>Effect</w:t>
      </w:r>
      <w:r>
        <w:rPr>
          <w:i/>
          <w:spacing w:val="-5"/>
          <w:sz w:val="18"/>
        </w:rPr>
        <w:t> </w:t>
      </w:r>
      <w:r>
        <w:rPr>
          <w:i/>
          <w:sz w:val="18"/>
        </w:rPr>
        <w:t>of</w:t>
      </w:r>
      <w:r>
        <w:rPr>
          <w:i/>
          <w:spacing w:val="-3"/>
          <w:sz w:val="18"/>
        </w:rPr>
        <w:t> </w:t>
      </w:r>
      <w:r>
        <w:rPr>
          <w:i/>
          <w:sz w:val="18"/>
        </w:rPr>
        <w:t>Foreign</w:t>
      </w:r>
      <w:r>
        <w:rPr>
          <w:i/>
          <w:spacing w:val="-3"/>
          <w:sz w:val="18"/>
        </w:rPr>
        <w:t> </w:t>
      </w:r>
      <w:r>
        <w:rPr>
          <w:i/>
          <w:sz w:val="18"/>
        </w:rPr>
        <w:t>Exchange</w:t>
      </w:r>
      <w:r>
        <w:rPr>
          <w:i/>
          <w:spacing w:val="-2"/>
          <w:sz w:val="18"/>
        </w:rPr>
        <w:t> Rates</w:t>
      </w:r>
    </w:p>
    <w:p>
      <w:pPr>
        <w:pStyle w:val="BodyText"/>
        <w:spacing w:line="249" w:lineRule="auto" w:before="103"/>
        <w:ind w:right="34" w:firstLine="445"/>
        <w:jc w:val="both"/>
      </w:pPr>
      <w:r>
        <w:rPr/>
        <w:t>Information</w:t>
      </w:r>
      <w:r>
        <w:rPr>
          <w:spacing w:val="-3"/>
        </w:rPr>
        <w:t> </w:t>
      </w:r>
      <w:r>
        <w:rPr/>
        <w:t>regarding</w:t>
      </w:r>
      <w:r>
        <w:rPr>
          <w:spacing w:val="-3"/>
        </w:rPr>
        <w:t> </w:t>
      </w:r>
      <w:r>
        <w:rPr/>
        <w:t>the</w:t>
      </w:r>
      <w:r>
        <w:rPr>
          <w:spacing w:val="-3"/>
        </w:rPr>
        <w:t> </w:t>
      </w:r>
      <w:r>
        <w:rPr/>
        <w:t>effect</w:t>
      </w:r>
      <w:r>
        <w:rPr>
          <w:spacing w:val="-3"/>
        </w:rPr>
        <w:t> </w:t>
      </w:r>
      <w:r>
        <w:rPr/>
        <w:t>of</w:t>
      </w:r>
      <w:r>
        <w:rPr>
          <w:spacing w:val="-3"/>
        </w:rPr>
        <w:t> </w:t>
      </w:r>
      <w:r>
        <w:rPr/>
        <w:t>foreign</w:t>
      </w:r>
      <w:r>
        <w:rPr>
          <w:spacing w:val="-3"/>
        </w:rPr>
        <w:t> </w:t>
      </w:r>
      <w:r>
        <w:rPr/>
        <w:t>exchange</w:t>
      </w:r>
      <w:r>
        <w:rPr>
          <w:spacing w:val="-3"/>
        </w:rPr>
        <w:t> </w:t>
      </w:r>
      <w:r>
        <w:rPr/>
        <w:t>rates,</w:t>
      </w:r>
      <w:r>
        <w:rPr>
          <w:spacing w:val="-3"/>
        </w:rPr>
        <w:t> </w:t>
      </w:r>
      <w:r>
        <w:rPr/>
        <w:t>versus</w:t>
      </w:r>
      <w:r>
        <w:rPr>
          <w:spacing w:val="-3"/>
        </w:rPr>
        <w:t> </w:t>
      </w:r>
      <w:r>
        <w:rPr/>
        <w:t>the</w:t>
      </w:r>
      <w:r>
        <w:rPr>
          <w:spacing w:val="-3"/>
        </w:rPr>
        <w:t> </w:t>
      </w:r>
      <w:r>
        <w:rPr/>
        <w:t>U.S.</w:t>
      </w:r>
      <w:r>
        <w:rPr>
          <w:spacing w:val="-3"/>
        </w:rPr>
        <w:t> </w:t>
      </w:r>
      <w:r>
        <w:rPr/>
        <w:t>Dollar,</w:t>
      </w:r>
      <w:r>
        <w:rPr>
          <w:spacing w:val="-3"/>
        </w:rPr>
        <w:t> </w:t>
      </w:r>
      <w:r>
        <w:rPr/>
        <w:t>on</w:t>
      </w:r>
      <w:r>
        <w:rPr>
          <w:spacing w:val="-3"/>
        </w:rPr>
        <w:t> </w:t>
      </w:r>
      <w:r>
        <w:rPr/>
        <w:t>our</w:t>
      </w:r>
      <w:r>
        <w:rPr>
          <w:spacing w:val="-3"/>
        </w:rPr>
        <w:t> </w:t>
      </w:r>
      <w:r>
        <w:rPr/>
        <w:t>net</w:t>
      </w:r>
      <w:r>
        <w:rPr>
          <w:spacing w:val="-3"/>
        </w:rPr>
        <w:t> </w:t>
      </w:r>
      <w:r>
        <w:rPr/>
        <w:t>sales,</w:t>
      </w:r>
      <w:r>
        <w:rPr>
          <w:spacing w:val="-3"/>
        </w:rPr>
        <w:t> </w:t>
      </w:r>
      <w:r>
        <w:rPr/>
        <w:t>operating</w:t>
      </w:r>
      <w:r>
        <w:rPr>
          <w:spacing w:val="-3"/>
        </w:rPr>
        <w:t> </w:t>
      </w:r>
      <w:r>
        <w:rPr/>
        <w:t>expenses,</w:t>
      </w:r>
      <w:r>
        <w:rPr>
          <w:spacing w:val="-3"/>
        </w:rPr>
        <w:t> </w:t>
      </w:r>
      <w:r>
        <w:rPr/>
        <w:t>and</w:t>
      </w:r>
      <w:r>
        <w:rPr>
          <w:spacing w:val="-3"/>
        </w:rPr>
        <w:t> </w:t>
      </w:r>
      <w:r>
        <w:rPr/>
        <w:t>operating</w:t>
      </w:r>
      <w:r>
        <w:rPr>
          <w:spacing w:val="-3"/>
        </w:rPr>
        <w:t> </w:t>
      </w:r>
      <w:r>
        <w:rPr/>
        <w:t>income</w:t>
      </w:r>
      <w:r>
        <w:rPr>
          <w:spacing w:val="-3"/>
        </w:rPr>
        <w:t> </w:t>
      </w:r>
      <w:r>
        <w:rPr/>
        <w:t>is</w:t>
      </w:r>
      <w:r>
        <w:rPr>
          <w:spacing w:val="-3"/>
        </w:rPr>
        <w:t> </w:t>
      </w:r>
      <w:r>
        <w:rPr/>
        <w:t>provided to</w:t>
      </w:r>
      <w:r>
        <w:rPr>
          <w:spacing w:val="-2"/>
        </w:rPr>
        <w:t> </w:t>
      </w:r>
      <w:r>
        <w:rPr/>
        <w:t>show</w:t>
      </w:r>
      <w:r>
        <w:rPr>
          <w:spacing w:val="-2"/>
        </w:rPr>
        <w:t> </w:t>
      </w:r>
      <w:r>
        <w:rPr/>
        <w:t>reported</w:t>
      </w:r>
      <w:r>
        <w:rPr>
          <w:spacing w:val="-2"/>
        </w:rPr>
        <w:t> </w:t>
      </w:r>
      <w:r>
        <w:rPr/>
        <w:t>period</w:t>
      </w:r>
      <w:r>
        <w:rPr>
          <w:spacing w:val="-2"/>
        </w:rPr>
        <w:t> </w:t>
      </w:r>
      <w:r>
        <w:rPr/>
        <w:t>operating</w:t>
      </w:r>
      <w:r>
        <w:rPr>
          <w:spacing w:val="-2"/>
        </w:rPr>
        <w:t> </w:t>
      </w:r>
      <w:r>
        <w:rPr/>
        <w:t>results</w:t>
      </w:r>
      <w:r>
        <w:rPr>
          <w:spacing w:val="-2"/>
        </w:rPr>
        <w:t> </w:t>
      </w:r>
      <w:r>
        <w:rPr/>
        <w:t>had</w:t>
      </w:r>
      <w:r>
        <w:rPr>
          <w:spacing w:val="-2"/>
        </w:rPr>
        <w:t> </w:t>
      </w:r>
      <w:r>
        <w:rPr/>
        <w:t>the</w:t>
      </w:r>
      <w:r>
        <w:rPr>
          <w:spacing w:val="-2"/>
        </w:rPr>
        <w:t> </w:t>
      </w:r>
      <w:r>
        <w:rPr/>
        <w:t>foreign</w:t>
      </w:r>
      <w:r>
        <w:rPr>
          <w:spacing w:val="-2"/>
        </w:rPr>
        <w:t> </w:t>
      </w:r>
      <w:r>
        <w:rPr/>
        <w:t>exchange</w:t>
      </w:r>
      <w:r>
        <w:rPr>
          <w:spacing w:val="-2"/>
        </w:rPr>
        <w:t> </w:t>
      </w:r>
      <w:r>
        <w:rPr/>
        <w:t>rates</w:t>
      </w:r>
      <w:r>
        <w:rPr>
          <w:spacing w:val="-2"/>
        </w:rPr>
        <w:t> </w:t>
      </w:r>
      <w:r>
        <w:rPr/>
        <w:t>remained</w:t>
      </w:r>
      <w:r>
        <w:rPr>
          <w:spacing w:val="-2"/>
        </w:rPr>
        <w:t> </w:t>
      </w:r>
      <w:r>
        <w:rPr/>
        <w:t>the</w:t>
      </w:r>
      <w:r>
        <w:rPr>
          <w:spacing w:val="-2"/>
        </w:rPr>
        <w:t> </w:t>
      </w:r>
      <w:r>
        <w:rPr/>
        <w:t>same</w:t>
      </w:r>
      <w:r>
        <w:rPr>
          <w:spacing w:val="-2"/>
        </w:rPr>
        <w:t> </w:t>
      </w:r>
      <w:r>
        <w:rPr/>
        <w:t>as</w:t>
      </w:r>
      <w:r>
        <w:rPr>
          <w:spacing w:val="-2"/>
        </w:rPr>
        <w:t> </w:t>
      </w:r>
      <w:r>
        <w:rPr/>
        <w:t>those</w:t>
      </w:r>
      <w:r>
        <w:rPr>
          <w:spacing w:val="-2"/>
        </w:rPr>
        <w:t> </w:t>
      </w:r>
      <w:r>
        <w:rPr/>
        <w:t>in</w:t>
      </w:r>
      <w:r>
        <w:rPr>
          <w:spacing w:val="-2"/>
        </w:rPr>
        <w:t> </w:t>
      </w:r>
      <w:r>
        <w:rPr/>
        <w:t>effect</w:t>
      </w:r>
      <w:r>
        <w:rPr>
          <w:spacing w:val="-2"/>
        </w:rPr>
        <w:t> </w:t>
      </w:r>
      <w:r>
        <w:rPr/>
        <w:t>in</w:t>
      </w:r>
      <w:r>
        <w:rPr>
          <w:spacing w:val="-2"/>
        </w:rPr>
        <w:t> </w:t>
      </w:r>
      <w:r>
        <w:rPr/>
        <w:t>the</w:t>
      </w:r>
      <w:r>
        <w:rPr>
          <w:spacing w:val="-2"/>
        </w:rPr>
        <w:t> </w:t>
      </w:r>
      <w:r>
        <w:rPr/>
        <w:t>comparable</w:t>
      </w:r>
      <w:r>
        <w:rPr>
          <w:spacing w:val="-2"/>
        </w:rPr>
        <w:t> </w:t>
      </w:r>
      <w:r>
        <w:rPr/>
        <w:t>prior</w:t>
      </w:r>
      <w:r>
        <w:rPr>
          <w:spacing w:val="-2"/>
        </w:rPr>
        <w:t> </w:t>
      </w:r>
      <w:r>
        <w:rPr/>
        <w:t>year</w:t>
      </w:r>
      <w:r>
        <w:rPr>
          <w:spacing w:val="-2"/>
        </w:rPr>
        <w:t> </w:t>
      </w:r>
      <w:r>
        <w:rPr/>
        <w:t>period.</w:t>
      </w:r>
      <w:r>
        <w:rPr>
          <w:spacing w:val="-5"/>
        </w:rPr>
        <w:t> </w:t>
      </w:r>
      <w:r>
        <w:rPr/>
        <w:t>The</w:t>
      </w:r>
      <w:r>
        <w:rPr>
          <w:spacing w:val="-2"/>
        </w:rPr>
        <w:t> </w:t>
      </w:r>
      <w:r>
        <w:rPr/>
        <w:t>effect</w:t>
      </w:r>
      <w:r>
        <w:rPr>
          <w:spacing w:val="-2"/>
        </w:rPr>
        <w:t> </w:t>
      </w:r>
      <w:r>
        <w:rPr/>
        <w:t>on our net sales, operating expenses, and operating income from changes in our foreign exchange rates versus the U.S. Dollar is as follows (in millions):</w:t>
      </w:r>
    </w:p>
    <w:p>
      <w:pPr>
        <w:tabs>
          <w:tab w:pos="3315" w:val="left" w:leader="none"/>
        </w:tabs>
        <w:spacing w:before="54" w:after="57"/>
        <w:ind w:left="0" w:right="697" w:firstLine="0"/>
        <w:jc w:val="right"/>
        <w:rPr>
          <w:b/>
          <w:sz w:val="14"/>
        </w:rPr>
      </w:pPr>
      <w:r>
        <w:rPr>
          <w:b/>
          <w:sz w:val="14"/>
        </w:rPr>
        <w:t>Year</w:t>
      </w:r>
      <w:r>
        <w:rPr>
          <w:b/>
          <w:spacing w:val="1"/>
          <w:sz w:val="14"/>
        </w:rPr>
        <w:t> </w:t>
      </w:r>
      <w:r>
        <w:rPr>
          <w:b/>
          <w:sz w:val="14"/>
        </w:rPr>
        <w:t>Ended</w:t>
      </w:r>
      <w:r>
        <w:rPr>
          <w:b/>
          <w:spacing w:val="3"/>
          <w:sz w:val="14"/>
        </w:rPr>
        <w:t> </w:t>
      </w:r>
      <w:r>
        <w:rPr>
          <w:b/>
          <w:sz w:val="14"/>
        </w:rPr>
        <w:t>December</w:t>
      </w:r>
      <w:r>
        <w:rPr>
          <w:b/>
          <w:spacing w:val="1"/>
          <w:sz w:val="14"/>
        </w:rPr>
        <w:t> </w:t>
      </w:r>
      <w:r>
        <w:rPr>
          <w:b/>
          <w:sz w:val="14"/>
        </w:rPr>
        <w:t>31,</w:t>
      </w:r>
      <w:r>
        <w:rPr>
          <w:b/>
          <w:spacing w:val="4"/>
          <w:sz w:val="14"/>
        </w:rPr>
        <w:t> </w:t>
      </w:r>
      <w:r>
        <w:rPr>
          <w:b/>
          <w:spacing w:val="-4"/>
          <w:sz w:val="14"/>
        </w:rPr>
        <w:t>2023</w:t>
      </w:r>
      <w:r>
        <w:rPr>
          <w:b/>
          <w:sz w:val="14"/>
        </w:rPr>
        <w:tab/>
        <w:t>Year</w:t>
      </w:r>
      <w:r>
        <w:rPr>
          <w:b/>
          <w:spacing w:val="1"/>
          <w:sz w:val="14"/>
        </w:rPr>
        <w:t> </w:t>
      </w:r>
      <w:r>
        <w:rPr>
          <w:b/>
          <w:sz w:val="14"/>
        </w:rPr>
        <w:t>Ended</w:t>
      </w:r>
      <w:r>
        <w:rPr>
          <w:b/>
          <w:spacing w:val="3"/>
          <w:sz w:val="14"/>
        </w:rPr>
        <w:t> </w:t>
      </w:r>
      <w:r>
        <w:rPr>
          <w:b/>
          <w:sz w:val="14"/>
        </w:rPr>
        <w:t>December</w:t>
      </w:r>
      <w:r>
        <w:rPr>
          <w:b/>
          <w:spacing w:val="1"/>
          <w:sz w:val="14"/>
        </w:rPr>
        <w:t> </w:t>
      </w:r>
      <w:r>
        <w:rPr>
          <w:b/>
          <w:sz w:val="14"/>
        </w:rPr>
        <w:t>31,</w:t>
      </w:r>
      <w:r>
        <w:rPr>
          <w:b/>
          <w:spacing w:val="4"/>
          <w:sz w:val="14"/>
        </w:rPr>
        <w:t> </w:t>
      </w:r>
      <w:r>
        <w:rPr>
          <w:b/>
          <w:spacing w:val="-4"/>
          <w:sz w:val="14"/>
        </w:rPr>
        <w:t>2024</w:t>
      </w:r>
    </w:p>
    <w:tbl>
      <w:tblPr>
        <w:tblW w:w="0" w:type="auto"/>
        <w:jc w:val="left"/>
        <w:tblInd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41"/>
        <w:gridCol w:w="1032"/>
        <w:gridCol w:w="1152"/>
        <w:gridCol w:w="1015"/>
        <w:gridCol w:w="108"/>
        <w:gridCol w:w="1028"/>
        <w:gridCol w:w="1127"/>
        <w:gridCol w:w="1112"/>
      </w:tblGrid>
      <w:tr>
        <w:trPr>
          <w:trHeight w:val="564" w:hRule="atLeast"/>
        </w:trPr>
        <w:tc>
          <w:tcPr>
            <w:tcW w:w="4941" w:type="dxa"/>
          </w:tcPr>
          <w:p>
            <w:pPr>
              <w:pStyle w:val="TableParagraph"/>
              <w:jc w:val="left"/>
              <w:rPr>
                <w:sz w:val="16"/>
              </w:rPr>
            </w:pPr>
          </w:p>
        </w:tc>
        <w:tc>
          <w:tcPr>
            <w:tcW w:w="1032" w:type="dxa"/>
            <w:tcBorders>
              <w:top w:val="single" w:sz="6" w:space="0" w:color="000000"/>
              <w:bottom w:val="single" w:sz="12" w:space="0" w:color="000000"/>
            </w:tcBorders>
          </w:tcPr>
          <w:p>
            <w:pPr>
              <w:pStyle w:val="TableParagraph"/>
              <w:spacing w:before="31"/>
              <w:jc w:val="left"/>
              <w:rPr>
                <w:b/>
                <w:sz w:val="14"/>
              </w:rPr>
            </w:pPr>
          </w:p>
          <w:p>
            <w:pPr>
              <w:pStyle w:val="TableParagraph"/>
              <w:spacing w:line="261" w:lineRule="auto"/>
              <w:ind w:left="215" w:firstLine="207"/>
              <w:jc w:val="left"/>
              <w:rPr>
                <w:b/>
                <w:sz w:val="14"/>
              </w:rPr>
            </w:pPr>
            <w:r>
              <w:rPr>
                <w:b/>
                <w:spacing w:val="-6"/>
                <w:sz w:val="14"/>
              </w:rPr>
              <w:t>As</w:t>
            </w:r>
            <w:r>
              <w:rPr>
                <w:b/>
                <w:spacing w:val="40"/>
                <w:sz w:val="14"/>
              </w:rPr>
              <w:t> </w:t>
            </w:r>
            <w:r>
              <w:rPr>
                <w:b/>
                <w:spacing w:val="-2"/>
                <w:sz w:val="14"/>
              </w:rPr>
              <w:t>Reported</w:t>
            </w:r>
          </w:p>
        </w:tc>
        <w:tc>
          <w:tcPr>
            <w:tcW w:w="1152" w:type="dxa"/>
            <w:tcBorders>
              <w:top w:val="single" w:sz="6" w:space="0" w:color="000000"/>
              <w:bottom w:val="single" w:sz="12" w:space="0" w:color="000000"/>
            </w:tcBorders>
          </w:tcPr>
          <w:p>
            <w:pPr>
              <w:pStyle w:val="TableParagraph"/>
              <w:spacing w:line="261" w:lineRule="auto" w:before="17"/>
              <w:ind w:left="292" w:right="257"/>
              <w:jc w:val="center"/>
              <w:rPr>
                <w:b/>
                <w:sz w:val="14"/>
              </w:rPr>
            </w:pPr>
            <w:r>
              <w:rPr>
                <w:b/>
                <w:spacing w:val="-2"/>
                <w:sz w:val="14"/>
              </w:rPr>
              <w:t>Exchange</w:t>
            </w:r>
            <w:r>
              <w:rPr>
                <w:b/>
                <w:spacing w:val="40"/>
                <w:sz w:val="14"/>
              </w:rPr>
              <w:t> </w:t>
            </w:r>
            <w:r>
              <w:rPr>
                <w:b/>
                <w:spacing w:val="-4"/>
                <w:sz w:val="14"/>
              </w:rPr>
              <w:t>Rate</w:t>
            </w:r>
            <w:r>
              <w:rPr>
                <w:b/>
                <w:spacing w:val="40"/>
                <w:sz w:val="14"/>
              </w:rPr>
              <w:t> </w:t>
            </w:r>
            <w:r>
              <w:rPr>
                <w:b/>
                <w:sz w:val="14"/>
              </w:rPr>
              <w:t>Effect</w:t>
            </w:r>
            <w:r>
              <w:rPr>
                <w:b/>
                <w:spacing w:val="-6"/>
                <w:sz w:val="14"/>
              </w:rPr>
              <w:t> </w:t>
            </w:r>
            <w:r>
              <w:rPr>
                <w:b/>
                <w:sz w:val="14"/>
              </w:rPr>
              <w:t>(1)</w:t>
            </w:r>
          </w:p>
        </w:tc>
        <w:tc>
          <w:tcPr>
            <w:tcW w:w="1015" w:type="dxa"/>
            <w:tcBorders>
              <w:top w:val="single" w:sz="6" w:space="0" w:color="000000"/>
              <w:bottom w:val="single" w:sz="12" w:space="0" w:color="000000"/>
            </w:tcBorders>
          </w:tcPr>
          <w:p>
            <w:pPr>
              <w:pStyle w:val="TableParagraph"/>
              <w:spacing w:line="261" w:lineRule="auto" w:before="17"/>
              <w:ind w:left="251" w:right="190"/>
              <w:jc w:val="center"/>
              <w:rPr>
                <w:b/>
                <w:sz w:val="14"/>
              </w:rPr>
            </w:pPr>
            <w:r>
              <w:rPr>
                <w:b/>
                <w:sz w:val="14"/>
              </w:rPr>
              <w:t>At</w:t>
            </w:r>
            <w:r>
              <w:rPr>
                <w:b/>
                <w:spacing w:val="-6"/>
                <w:sz w:val="14"/>
              </w:rPr>
              <w:t> </w:t>
            </w:r>
            <w:r>
              <w:rPr>
                <w:b/>
                <w:sz w:val="14"/>
              </w:rPr>
              <w:t>Prior</w:t>
            </w:r>
            <w:r>
              <w:rPr>
                <w:b/>
                <w:spacing w:val="40"/>
                <w:sz w:val="14"/>
              </w:rPr>
              <w:t> </w:t>
            </w:r>
            <w:r>
              <w:rPr>
                <w:b/>
                <w:spacing w:val="-4"/>
                <w:sz w:val="14"/>
              </w:rPr>
              <w:t>Year</w:t>
            </w:r>
            <w:r>
              <w:rPr>
                <w:b/>
                <w:spacing w:val="40"/>
                <w:sz w:val="14"/>
              </w:rPr>
              <w:t> </w:t>
            </w:r>
            <w:r>
              <w:rPr>
                <w:b/>
                <w:sz w:val="14"/>
              </w:rPr>
              <w:t>Rates</w:t>
            </w:r>
            <w:r>
              <w:rPr>
                <w:b/>
                <w:spacing w:val="-9"/>
                <w:sz w:val="14"/>
              </w:rPr>
              <w:t> </w:t>
            </w:r>
            <w:r>
              <w:rPr>
                <w:b/>
                <w:sz w:val="14"/>
              </w:rPr>
              <w:t>(2)</w:t>
            </w:r>
          </w:p>
        </w:tc>
        <w:tc>
          <w:tcPr>
            <w:tcW w:w="108" w:type="dxa"/>
          </w:tcPr>
          <w:p>
            <w:pPr>
              <w:pStyle w:val="TableParagraph"/>
              <w:jc w:val="left"/>
              <w:rPr>
                <w:sz w:val="16"/>
              </w:rPr>
            </w:pPr>
          </w:p>
        </w:tc>
        <w:tc>
          <w:tcPr>
            <w:tcW w:w="1028" w:type="dxa"/>
            <w:tcBorders>
              <w:top w:val="single" w:sz="6" w:space="0" w:color="000000"/>
              <w:bottom w:val="single" w:sz="12" w:space="0" w:color="000000"/>
            </w:tcBorders>
          </w:tcPr>
          <w:p>
            <w:pPr>
              <w:pStyle w:val="TableParagraph"/>
              <w:spacing w:before="31"/>
              <w:jc w:val="left"/>
              <w:rPr>
                <w:b/>
                <w:sz w:val="14"/>
              </w:rPr>
            </w:pPr>
          </w:p>
          <w:p>
            <w:pPr>
              <w:pStyle w:val="TableParagraph"/>
              <w:spacing w:line="261" w:lineRule="auto"/>
              <w:ind w:left="212" w:firstLine="207"/>
              <w:jc w:val="left"/>
              <w:rPr>
                <w:b/>
                <w:sz w:val="14"/>
              </w:rPr>
            </w:pPr>
            <w:r>
              <w:rPr>
                <w:b/>
                <w:spacing w:val="-6"/>
                <w:sz w:val="14"/>
              </w:rPr>
              <w:t>As</w:t>
            </w:r>
            <w:r>
              <w:rPr>
                <w:b/>
                <w:spacing w:val="40"/>
                <w:sz w:val="14"/>
              </w:rPr>
              <w:t> </w:t>
            </w:r>
            <w:r>
              <w:rPr>
                <w:b/>
                <w:spacing w:val="-2"/>
                <w:sz w:val="14"/>
              </w:rPr>
              <w:t>Reported</w:t>
            </w:r>
          </w:p>
        </w:tc>
        <w:tc>
          <w:tcPr>
            <w:tcW w:w="1127" w:type="dxa"/>
            <w:tcBorders>
              <w:top w:val="single" w:sz="6" w:space="0" w:color="000000"/>
              <w:bottom w:val="single" w:sz="12" w:space="0" w:color="000000"/>
            </w:tcBorders>
          </w:tcPr>
          <w:p>
            <w:pPr>
              <w:pStyle w:val="TableParagraph"/>
              <w:spacing w:line="261" w:lineRule="auto" w:before="17"/>
              <w:ind w:left="280" w:right="245"/>
              <w:jc w:val="center"/>
              <w:rPr>
                <w:b/>
                <w:sz w:val="14"/>
              </w:rPr>
            </w:pPr>
            <w:r>
              <w:rPr>
                <w:b/>
                <w:spacing w:val="-2"/>
                <w:sz w:val="14"/>
              </w:rPr>
              <w:t>Exchange</w:t>
            </w:r>
            <w:r>
              <w:rPr>
                <w:b/>
                <w:spacing w:val="40"/>
                <w:sz w:val="14"/>
              </w:rPr>
              <w:t> </w:t>
            </w:r>
            <w:r>
              <w:rPr>
                <w:b/>
                <w:spacing w:val="-4"/>
                <w:sz w:val="14"/>
              </w:rPr>
              <w:t>Rate</w:t>
            </w:r>
            <w:r>
              <w:rPr>
                <w:b/>
                <w:spacing w:val="40"/>
                <w:sz w:val="14"/>
              </w:rPr>
              <w:t> </w:t>
            </w:r>
            <w:r>
              <w:rPr>
                <w:b/>
                <w:sz w:val="14"/>
              </w:rPr>
              <w:t>Effect</w:t>
            </w:r>
            <w:r>
              <w:rPr>
                <w:b/>
                <w:spacing w:val="-6"/>
                <w:sz w:val="14"/>
              </w:rPr>
              <w:t> </w:t>
            </w:r>
            <w:r>
              <w:rPr>
                <w:b/>
                <w:sz w:val="14"/>
              </w:rPr>
              <w:t>(1)</w:t>
            </w:r>
          </w:p>
        </w:tc>
        <w:tc>
          <w:tcPr>
            <w:tcW w:w="1112" w:type="dxa"/>
            <w:tcBorders>
              <w:top w:val="single" w:sz="6" w:space="0" w:color="000000"/>
              <w:bottom w:val="single" w:sz="12" w:space="0" w:color="000000"/>
            </w:tcBorders>
          </w:tcPr>
          <w:p>
            <w:pPr>
              <w:pStyle w:val="TableParagraph"/>
              <w:spacing w:line="261" w:lineRule="auto" w:before="17"/>
              <w:ind w:left="276" w:right="262"/>
              <w:jc w:val="center"/>
              <w:rPr>
                <w:b/>
                <w:sz w:val="14"/>
              </w:rPr>
            </w:pPr>
            <w:r>
              <w:rPr>
                <w:b/>
                <w:sz w:val="14"/>
              </w:rPr>
              <w:t>At</w:t>
            </w:r>
            <w:r>
              <w:rPr>
                <w:b/>
                <w:spacing w:val="-6"/>
                <w:sz w:val="14"/>
              </w:rPr>
              <w:t> </w:t>
            </w:r>
            <w:r>
              <w:rPr>
                <w:b/>
                <w:sz w:val="14"/>
              </w:rPr>
              <w:t>Prior</w:t>
            </w:r>
            <w:r>
              <w:rPr>
                <w:b/>
                <w:spacing w:val="40"/>
                <w:sz w:val="14"/>
              </w:rPr>
              <w:t> </w:t>
            </w:r>
            <w:r>
              <w:rPr>
                <w:b/>
                <w:spacing w:val="-4"/>
                <w:sz w:val="14"/>
              </w:rPr>
              <w:t>Year</w:t>
            </w:r>
            <w:r>
              <w:rPr>
                <w:b/>
                <w:spacing w:val="40"/>
                <w:sz w:val="14"/>
              </w:rPr>
              <w:t> </w:t>
            </w:r>
            <w:r>
              <w:rPr>
                <w:b/>
                <w:sz w:val="14"/>
              </w:rPr>
              <w:t>Rates</w:t>
            </w:r>
            <w:r>
              <w:rPr>
                <w:b/>
                <w:spacing w:val="-9"/>
                <w:sz w:val="14"/>
              </w:rPr>
              <w:t> </w:t>
            </w:r>
            <w:r>
              <w:rPr>
                <w:b/>
                <w:sz w:val="14"/>
              </w:rPr>
              <w:t>(2)</w:t>
            </w:r>
          </w:p>
        </w:tc>
      </w:tr>
      <w:tr>
        <w:trPr>
          <w:trHeight w:val="268" w:hRule="atLeast"/>
        </w:trPr>
        <w:tc>
          <w:tcPr>
            <w:tcW w:w="4941" w:type="dxa"/>
            <w:shd w:val="clear" w:color="auto" w:fill="CCEDFF"/>
          </w:tcPr>
          <w:p>
            <w:pPr>
              <w:pStyle w:val="TableParagraph"/>
              <w:spacing w:before="6"/>
              <w:ind w:left="17"/>
              <w:jc w:val="left"/>
              <w:rPr>
                <w:sz w:val="18"/>
              </w:rPr>
            </w:pPr>
            <w:r>
              <w:rPr>
                <w:sz w:val="18"/>
              </w:rPr>
              <w:t>Net</w:t>
            </w:r>
            <w:r>
              <w:rPr>
                <w:spacing w:val="-1"/>
                <w:sz w:val="18"/>
              </w:rPr>
              <w:t> </w:t>
            </w:r>
            <w:r>
              <w:rPr>
                <w:spacing w:val="-2"/>
                <w:sz w:val="18"/>
              </w:rPr>
              <w:t>sales</w:t>
            </w:r>
          </w:p>
        </w:tc>
        <w:tc>
          <w:tcPr>
            <w:tcW w:w="1032" w:type="dxa"/>
            <w:tcBorders>
              <w:top w:val="single" w:sz="12" w:space="0" w:color="000000"/>
            </w:tcBorders>
            <w:shd w:val="clear" w:color="auto" w:fill="CCEDFF"/>
          </w:tcPr>
          <w:p>
            <w:pPr>
              <w:pStyle w:val="TableParagraph"/>
              <w:tabs>
                <w:tab w:pos="322" w:val="left" w:leader="none"/>
              </w:tabs>
              <w:spacing w:before="19"/>
              <w:ind w:right="99"/>
              <w:rPr>
                <w:sz w:val="18"/>
              </w:rPr>
            </w:pPr>
            <w:r>
              <w:rPr>
                <w:spacing w:val="-10"/>
                <w:sz w:val="18"/>
              </w:rPr>
              <w:t>$</w:t>
            </w:r>
            <w:r>
              <w:rPr>
                <w:sz w:val="18"/>
              </w:rPr>
              <w:tab/>
            </w:r>
            <w:r>
              <w:rPr>
                <w:spacing w:val="-2"/>
                <w:sz w:val="18"/>
              </w:rPr>
              <w:t>574,785</w:t>
            </w:r>
          </w:p>
        </w:tc>
        <w:tc>
          <w:tcPr>
            <w:tcW w:w="1152" w:type="dxa"/>
            <w:tcBorders>
              <w:top w:val="single" w:sz="12" w:space="0" w:color="000000"/>
            </w:tcBorders>
            <w:shd w:val="clear" w:color="auto" w:fill="CCEDFF"/>
          </w:tcPr>
          <w:p>
            <w:pPr>
              <w:pStyle w:val="TableParagraph"/>
              <w:tabs>
                <w:tab w:pos="744" w:val="left" w:leader="none"/>
              </w:tabs>
              <w:spacing w:before="19"/>
              <w:ind w:right="123"/>
              <w:rPr>
                <w:sz w:val="18"/>
              </w:rPr>
            </w:pPr>
            <w:r>
              <w:rPr>
                <w:spacing w:val="-10"/>
                <w:sz w:val="18"/>
              </w:rPr>
              <w:t>$</w:t>
            </w:r>
            <w:r>
              <w:rPr>
                <w:sz w:val="18"/>
              </w:rPr>
              <w:tab/>
            </w:r>
            <w:r>
              <w:rPr>
                <w:spacing w:val="-5"/>
                <w:sz w:val="18"/>
              </w:rPr>
              <w:t>71</w:t>
            </w:r>
          </w:p>
        </w:tc>
        <w:tc>
          <w:tcPr>
            <w:tcW w:w="1015" w:type="dxa"/>
            <w:tcBorders>
              <w:top w:val="single" w:sz="12" w:space="0" w:color="000000"/>
            </w:tcBorders>
            <w:shd w:val="clear" w:color="auto" w:fill="CCEDFF"/>
          </w:tcPr>
          <w:p>
            <w:pPr>
              <w:pStyle w:val="TableParagraph"/>
              <w:spacing w:before="19"/>
              <w:ind w:right="73"/>
              <w:rPr>
                <w:sz w:val="18"/>
              </w:rPr>
            </w:pPr>
            <w:r>
              <w:rPr>
                <w:sz w:val="18"/>
              </w:rPr>
              <w:t>$</w:t>
            </w:r>
            <w:r>
              <w:rPr>
                <w:spacing w:val="47"/>
                <w:sz w:val="18"/>
              </w:rPr>
              <w:t>  </w:t>
            </w:r>
            <w:r>
              <w:rPr>
                <w:spacing w:val="-2"/>
                <w:sz w:val="18"/>
              </w:rPr>
              <w:t>574,856</w:t>
            </w:r>
          </w:p>
        </w:tc>
        <w:tc>
          <w:tcPr>
            <w:tcW w:w="108" w:type="dxa"/>
            <w:shd w:val="clear" w:color="auto" w:fill="CCEDFF"/>
          </w:tcPr>
          <w:p>
            <w:pPr>
              <w:pStyle w:val="TableParagraph"/>
              <w:jc w:val="left"/>
              <w:rPr>
                <w:sz w:val="16"/>
              </w:rPr>
            </w:pPr>
          </w:p>
        </w:tc>
        <w:tc>
          <w:tcPr>
            <w:tcW w:w="1028" w:type="dxa"/>
            <w:tcBorders>
              <w:top w:val="single" w:sz="12" w:space="0" w:color="000000"/>
            </w:tcBorders>
            <w:shd w:val="clear" w:color="auto" w:fill="CCEDFF"/>
          </w:tcPr>
          <w:p>
            <w:pPr>
              <w:pStyle w:val="TableParagraph"/>
              <w:tabs>
                <w:tab w:pos="322" w:val="left" w:leader="none"/>
              </w:tabs>
              <w:spacing w:before="19"/>
              <w:ind w:right="99"/>
              <w:rPr>
                <w:sz w:val="18"/>
              </w:rPr>
            </w:pPr>
            <w:r>
              <w:rPr>
                <w:spacing w:val="-10"/>
                <w:sz w:val="18"/>
              </w:rPr>
              <w:t>$</w:t>
            </w:r>
            <w:r>
              <w:rPr>
                <w:sz w:val="18"/>
              </w:rPr>
              <w:tab/>
            </w:r>
            <w:r>
              <w:rPr>
                <w:spacing w:val="-2"/>
                <w:sz w:val="18"/>
              </w:rPr>
              <w:t>637,959</w:t>
            </w:r>
          </w:p>
        </w:tc>
        <w:tc>
          <w:tcPr>
            <w:tcW w:w="1127" w:type="dxa"/>
            <w:tcBorders>
              <w:top w:val="single" w:sz="12" w:space="0" w:color="000000"/>
            </w:tcBorders>
            <w:shd w:val="clear" w:color="auto" w:fill="CCEDFF"/>
          </w:tcPr>
          <w:p>
            <w:pPr>
              <w:pStyle w:val="TableParagraph"/>
              <w:tabs>
                <w:tab w:pos="495" w:val="left" w:leader="none"/>
              </w:tabs>
              <w:spacing w:before="19"/>
              <w:ind w:right="121"/>
              <w:rPr>
                <w:sz w:val="18"/>
              </w:rPr>
            </w:pPr>
            <w:r>
              <w:rPr>
                <w:spacing w:val="-10"/>
                <w:sz w:val="18"/>
              </w:rPr>
              <w:t>$</w:t>
            </w:r>
            <w:r>
              <w:rPr>
                <w:sz w:val="18"/>
              </w:rPr>
              <w:tab/>
            </w:r>
            <w:r>
              <w:rPr>
                <w:spacing w:val="-2"/>
                <w:sz w:val="18"/>
              </w:rPr>
              <w:t>2,335</w:t>
            </w:r>
          </w:p>
        </w:tc>
        <w:tc>
          <w:tcPr>
            <w:tcW w:w="1112" w:type="dxa"/>
            <w:tcBorders>
              <w:top w:val="single" w:sz="12" w:space="0" w:color="000000"/>
            </w:tcBorders>
            <w:shd w:val="clear" w:color="auto" w:fill="CCEDFF"/>
          </w:tcPr>
          <w:p>
            <w:pPr>
              <w:pStyle w:val="TableParagraph"/>
              <w:tabs>
                <w:tab w:pos="322" w:val="left" w:leader="none"/>
              </w:tabs>
              <w:spacing w:before="19"/>
              <w:ind w:right="122"/>
              <w:rPr>
                <w:sz w:val="18"/>
              </w:rPr>
            </w:pPr>
            <w:r>
              <w:rPr>
                <w:spacing w:val="-10"/>
                <w:sz w:val="18"/>
              </w:rPr>
              <w:t>$</w:t>
            </w:r>
            <w:r>
              <w:rPr>
                <w:sz w:val="18"/>
              </w:rPr>
              <w:tab/>
            </w:r>
            <w:r>
              <w:rPr>
                <w:spacing w:val="-2"/>
                <w:sz w:val="18"/>
              </w:rPr>
              <w:t>640,294</w:t>
            </w:r>
          </w:p>
        </w:tc>
      </w:tr>
      <w:tr>
        <w:trPr>
          <w:trHeight w:val="269" w:hRule="atLeast"/>
        </w:trPr>
        <w:tc>
          <w:tcPr>
            <w:tcW w:w="4941" w:type="dxa"/>
          </w:tcPr>
          <w:p>
            <w:pPr>
              <w:pStyle w:val="TableParagraph"/>
              <w:spacing w:before="21"/>
              <w:ind w:left="17"/>
              <w:jc w:val="left"/>
              <w:rPr>
                <w:sz w:val="18"/>
              </w:rPr>
            </w:pPr>
            <w:r>
              <w:rPr>
                <w:sz w:val="18"/>
              </w:rPr>
              <w:t>Operating</w:t>
            </w:r>
            <w:r>
              <w:rPr>
                <w:spacing w:val="-3"/>
                <w:sz w:val="18"/>
              </w:rPr>
              <w:t> </w:t>
            </w:r>
            <w:r>
              <w:rPr>
                <w:spacing w:val="-2"/>
                <w:sz w:val="18"/>
              </w:rPr>
              <w:t>expenses</w:t>
            </w:r>
          </w:p>
        </w:tc>
        <w:tc>
          <w:tcPr>
            <w:tcW w:w="1032" w:type="dxa"/>
          </w:tcPr>
          <w:p>
            <w:pPr>
              <w:pStyle w:val="TableParagraph"/>
              <w:spacing w:before="21"/>
              <w:ind w:right="99"/>
              <w:rPr>
                <w:sz w:val="18"/>
              </w:rPr>
            </w:pPr>
            <w:r>
              <w:rPr>
                <w:spacing w:val="-2"/>
                <w:sz w:val="18"/>
              </w:rPr>
              <w:t>537,933</w:t>
            </w:r>
          </w:p>
        </w:tc>
        <w:tc>
          <w:tcPr>
            <w:tcW w:w="1152" w:type="dxa"/>
          </w:tcPr>
          <w:p>
            <w:pPr>
              <w:pStyle w:val="TableParagraph"/>
              <w:spacing w:before="21"/>
              <w:ind w:right="123"/>
              <w:rPr>
                <w:sz w:val="18"/>
              </w:rPr>
            </w:pPr>
            <w:r>
              <w:rPr>
                <w:spacing w:val="-5"/>
                <w:sz w:val="18"/>
              </w:rPr>
              <w:t>531</w:t>
            </w:r>
          </w:p>
        </w:tc>
        <w:tc>
          <w:tcPr>
            <w:tcW w:w="1015" w:type="dxa"/>
          </w:tcPr>
          <w:p>
            <w:pPr>
              <w:pStyle w:val="TableParagraph"/>
              <w:spacing w:before="21"/>
              <w:ind w:right="73"/>
              <w:rPr>
                <w:sz w:val="18"/>
              </w:rPr>
            </w:pPr>
            <w:r>
              <w:rPr>
                <w:spacing w:val="-2"/>
                <w:sz w:val="18"/>
              </w:rPr>
              <w:t>538,464</w:t>
            </w:r>
          </w:p>
        </w:tc>
        <w:tc>
          <w:tcPr>
            <w:tcW w:w="108" w:type="dxa"/>
          </w:tcPr>
          <w:p>
            <w:pPr>
              <w:pStyle w:val="TableParagraph"/>
              <w:jc w:val="left"/>
              <w:rPr>
                <w:sz w:val="16"/>
              </w:rPr>
            </w:pPr>
          </w:p>
        </w:tc>
        <w:tc>
          <w:tcPr>
            <w:tcW w:w="1028" w:type="dxa"/>
          </w:tcPr>
          <w:p>
            <w:pPr>
              <w:pStyle w:val="TableParagraph"/>
              <w:spacing w:before="21"/>
              <w:ind w:right="99"/>
              <w:rPr>
                <w:sz w:val="18"/>
              </w:rPr>
            </w:pPr>
            <w:r>
              <w:rPr>
                <w:spacing w:val="-2"/>
                <w:sz w:val="18"/>
              </w:rPr>
              <w:t>569,366</w:t>
            </w:r>
          </w:p>
        </w:tc>
        <w:tc>
          <w:tcPr>
            <w:tcW w:w="1127" w:type="dxa"/>
          </w:tcPr>
          <w:p>
            <w:pPr>
              <w:pStyle w:val="TableParagraph"/>
              <w:spacing w:before="21"/>
              <w:ind w:right="121"/>
              <w:rPr>
                <w:sz w:val="18"/>
              </w:rPr>
            </w:pPr>
            <w:r>
              <w:rPr>
                <w:spacing w:val="-2"/>
                <w:sz w:val="18"/>
              </w:rPr>
              <w:t>2,466</w:t>
            </w:r>
          </w:p>
        </w:tc>
        <w:tc>
          <w:tcPr>
            <w:tcW w:w="1112" w:type="dxa"/>
          </w:tcPr>
          <w:p>
            <w:pPr>
              <w:pStyle w:val="TableParagraph"/>
              <w:spacing w:before="21"/>
              <w:ind w:right="122"/>
              <w:rPr>
                <w:sz w:val="18"/>
              </w:rPr>
            </w:pPr>
            <w:r>
              <w:rPr>
                <w:spacing w:val="-2"/>
                <w:sz w:val="18"/>
              </w:rPr>
              <w:t>571,832</w:t>
            </w:r>
          </w:p>
        </w:tc>
      </w:tr>
      <w:tr>
        <w:trPr>
          <w:trHeight w:val="269" w:hRule="atLeast"/>
        </w:trPr>
        <w:tc>
          <w:tcPr>
            <w:tcW w:w="4941" w:type="dxa"/>
            <w:shd w:val="clear" w:color="auto" w:fill="CCEDFF"/>
          </w:tcPr>
          <w:p>
            <w:pPr>
              <w:pStyle w:val="TableParagraph"/>
              <w:spacing w:before="21"/>
              <w:ind w:left="17"/>
              <w:jc w:val="left"/>
              <w:rPr>
                <w:sz w:val="18"/>
              </w:rPr>
            </w:pPr>
            <w:r>
              <w:rPr>
                <w:sz w:val="18"/>
              </w:rPr>
              <w:t>Operating</w:t>
            </w:r>
            <w:r>
              <w:rPr>
                <w:spacing w:val="-1"/>
                <w:sz w:val="18"/>
              </w:rPr>
              <w:t> </w:t>
            </w:r>
            <w:r>
              <w:rPr>
                <w:spacing w:val="-2"/>
                <w:sz w:val="18"/>
              </w:rPr>
              <w:t>income</w:t>
            </w:r>
          </w:p>
        </w:tc>
        <w:tc>
          <w:tcPr>
            <w:tcW w:w="1032" w:type="dxa"/>
            <w:shd w:val="clear" w:color="auto" w:fill="CCEDFF"/>
          </w:tcPr>
          <w:p>
            <w:pPr>
              <w:pStyle w:val="TableParagraph"/>
              <w:spacing w:before="21"/>
              <w:ind w:right="99"/>
              <w:rPr>
                <w:sz w:val="18"/>
              </w:rPr>
            </w:pPr>
            <w:r>
              <w:rPr>
                <w:spacing w:val="-2"/>
                <w:sz w:val="18"/>
              </w:rPr>
              <w:t>36,852</w:t>
            </w:r>
          </w:p>
        </w:tc>
        <w:tc>
          <w:tcPr>
            <w:tcW w:w="1152" w:type="dxa"/>
            <w:shd w:val="clear" w:color="auto" w:fill="CCEDFF"/>
          </w:tcPr>
          <w:p>
            <w:pPr>
              <w:pStyle w:val="TableParagraph"/>
              <w:spacing w:before="21"/>
              <w:ind w:right="78"/>
              <w:rPr>
                <w:sz w:val="18"/>
              </w:rPr>
            </w:pPr>
            <w:r>
              <w:rPr>
                <w:spacing w:val="-2"/>
                <w:sz w:val="18"/>
              </w:rPr>
              <w:t>(460)</w:t>
            </w:r>
          </w:p>
        </w:tc>
        <w:tc>
          <w:tcPr>
            <w:tcW w:w="1015" w:type="dxa"/>
            <w:shd w:val="clear" w:color="auto" w:fill="CCEDFF"/>
          </w:tcPr>
          <w:p>
            <w:pPr>
              <w:pStyle w:val="TableParagraph"/>
              <w:spacing w:before="21"/>
              <w:ind w:right="73"/>
              <w:rPr>
                <w:sz w:val="18"/>
              </w:rPr>
            </w:pPr>
            <w:r>
              <w:rPr>
                <w:spacing w:val="-2"/>
                <w:sz w:val="18"/>
              </w:rPr>
              <w:t>36,392</w:t>
            </w:r>
          </w:p>
        </w:tc>
        <w:tc>
          <w:tcPr>
            <w:tcW w:w="108" w:type="dxa"/>
            <w:shd w:val="clear" w:color="auto" w:fill="CCEDFF"/>
          </w:tcPr>
          <w:p>
            <w:pPr>
              <w:pStyle w:val="TableParagraph"/>
              <w:jc w:val="left"/>
              <w:rPr>
                <w:sz w:val="16"/>
              </w:rPr>
            </w:pPr>
          </w:p>
        </w:tc>
        <w:tc>
          <w:tcPr>
            <w:tcW w:w="1028" w:type="dxa"/>
            <w:shd w:val="clear" w:color="auto" w:fill="CCEDFF"/>
          </w:tcPr>
          <w:p>
            <w:pPr>
              <w:pStyle w:val="TableParagraph"/>
              <w:spacing w:before="21"/>
              <w:ind w:right="99"/>
              <w:rPr>
                <w:sz w:val="18"/>
              </w:rPr>
            </w:pPr>
            <w:r>
              <w:rPr>
                <w:spacing w:val="-2"/>
                <w:sz w:val="18"/>
              </w:rPr>
              <w:t>68,593</w:t>
            </w:r>
          </w:p>
        </w:tc>
        <w:tc>
          <w:tcPr>
            <w:tcW w:w="1127" w:type="dxa"/>
            <w:shd w:val="clear" w:color="auto" w:fill="CCEDFF"/>
          </w:tcPr>
          <w:p>
            <w:pPr>
              <w:pStyle w:val="TableParagraph"/>
              <w:spacing w:before="21"/>
              <w:ind w:right="76"/>
              <w:rPr>
                <w:sz w:val="18"/>
              </w:rPr>
            </w:pPr>
            <w:r>
              <w:rPr>
                <w:spacing w:val="-2"/>
                <w:sz w:val="18"/>
              </w:rPr>
              <w:t>(131)</w:t>
            </w:r>
          </w:p>
        </w:tc>
        <w:tc>
          <w:tcPr>
            <w:tcW w:w="1112" w:type="dxa"/>
            <w:shd w:val="clear" w:color="auto" w:fill="CCEDFF"/>
          </w:tcPr>
          <w:p>
            <w:pPr>
              <w:pStyle w:val="TableParagraph"/>
              <w:spacing w:before="21"/>
              <w:ind w:right="122"/>
              <w:rPr>
                <w:sz w:val="18"/>
              </w:rPr>
            </w:pPr>
            <w:r>
              <w:rPr>
                <w:spacing w:val="-2"/>
                <w:sz w:val="18"/>
              </w:rPr>
              <w:t>68,462</w:t>
            </w:r>
          </w:p>
        </w:tc>
      </w:tr>
    </w:tbl>
    <w:p>
      <w:pPr>
        <w:pStyle w:val="BodyText"/>
        <w:spacing w:before="46"/>
        <w:ind w:left="0"/>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231457</wp:posOffset>
                </wp:positionH>
                <wp:positionV relativeFrom="paragraph">
                  <wp:posOffset>191104</wp:posOffset>
                </wp:positionV>
                <wp:extent cx="108585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085850" cy="1270"/>
                        </a:xfrm>
                        <a:custGeom>
                          <a:avLst/>
                          <a:gdLst/>
                          <a:ahLst/>
                          <a:cxnLst/>
                          <a:rect l="l" t="t" r="r" b="b"/>
                          <a:pathLst>
                            <a:path w="1085850" h="0">
                              <a:moveTo>
                                <a:pt x="0" y="0"/>
                              </a:moveTo>
                              <a:lnTo>
                                <a:pt x="1085577" y="0"/>
                              </a:lnTo>
                            </a:path>
                          </a:pathLst>
                        </a:custGeom>
                        <a:ln w="463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224997pt;margin-top:15.047625pt;width:85.5pt;height:.1pt;mso-position-horizontal-relative:page;mso-position-vertical-relative:paragraph;z-index:-15717888;mso-wrap-distance-left:0;mso-wrap-distance-right:0" id="docshape56" coordorigin="364,301" coordsize="1710,0" path="m364,301l2074,301e" filled="false" stroked="true" strokeweight=".365252pt" strokecolor="#000000">
                <v:path arrowok="t"/>
                <v:stroke dashstyle="solid"/>
                <w10:wrap type="topAndBottom"/>
              </v:shape>
            </w:pict>
          </mc:Fallback>
        </mc:AlternateContent>
      </w:r>
    </w:p>
    <w:p>
      <w:pPr>
        <w:pStyle w:val="ListParagraph"/>
        <w:numPr>
          <w:ilvl w:val="0"/>
          <w:numId w:val="2"/>
        </w:numPr>
        <w:tabs>
          <w:tab w:pos="328" w:val="left" w:leader="none"/>
        </w:tabs>
        <w:spacing w:line="249" w:lineRule="auto" w:before="9" w:after="0"/>
        <w:ind w:left="328" w:right="244" w:hanging="324"/>
        <w:jc w:val="left"/>
        <w:rPr>
          <w:sz w:val="18"/>
        </w:rPr>
      </w:pPr>
      <w:r>
        <w:rPr>
          <w:sz w:val="18"/>
        </w:rPr>
        <w:t>Represents</w:t>
      </w:r>
      <w:r>
        <w:rPr>
          <w:spacing w:val="-2"/>
          <w:sz w:val="18"/>
        </w:rPr>
        <w:t> </w:t>
      </w:r>
      <w:r>
        <w:rPr>
          <w:sz w:val="18"/>
        </w:rPr>
        <w:t>the</w:t>
      </w:r>
      <w:r>
        <w:rPr>
          <w:spacing w:val="-2"/>
          <w:sz w:val="18"/>
        </w:rPr>
        <w:t> </w:t>
      </w:r>
      <w:r>
        <w:rPr>
          <w:sz w:val="18"/>
        </w:rPr>
        <w:t>change</w:t>
      </w:r>
      <w:r>
        <w:rPr>
          <w:spacing w:val="-2"/>
          <w:sz w:val="18"/>
        </w:rPr>
        <w:t> </w:t>
      </w:r>
      <w:r>
        <w:rPr>
          <w:sz w:val="18"/>
        </w:rPr>
        <w:t>in</w:t>
      </w:r>
      <w:r>
        <w:rPr>
          <w:spacing w:val="-2"/>
          <w:sz w:val="18"/>
        </w:rPr>
        <w:t> </w:t>
      </w:r>
      <w:r>
        <w:rPr>
          <w:sz w:val="18"/>
        </w:rPr>
        <w:t>reported</w:t>
      </w:r>
      <w:r>
        <w:rPr>
          <w:spacing w:val="-2"/>
          <w:sz w:val="18"/>
        </w:rPr>
        <w:t> </w:t>
      </w:r>
      <w:r>
        <w:rPr>
          <w:sz w:val="18"/>
        </w:rPr>
        <w:t>amounts</w:t>
      </w:r>
      <w:r>
        <w:rPr>
          <w:spacing w:val="-2"/>
          <w:sz w:val="18"/>
        </w:rPr>
        <w:t> </w:t>
      </w:r>
      <w:r>
        <w:rPr>
          <w:sz w:val="18"/>
        </w:rPr>
        <w:t>resulting</w:t>
      </w:r>
      <w:r>
        <w:rPr>
          <w:spacing w:val="-2"/>
          <w:sz w:val="18"/>
        </w:rPr>
        <w:t> </w:t>
      </w:r>
      <w:r>
        <w:rPr>
          <w:sz w:val="18"/>
        </w:rPr>
        <w:t>from</w:t>
      </w:r>
      <w:r>
        <w:rPr>
          <w:spacing w:val="-2"/>
          <w:sz w:val="18"/>
        </w:rPr>
        <w:t> </w:t>
      </w:r>
      <w:r>
        <w:rPr>
          <w:sz w:val="18"/>
        </w:rPr>
        <w:t>changes</w:t>
      </w:r>
      <w:r>
        <w:rPr>
          <w:spacing w:val="-2"/>
          <w:sz w:val="18"/>
        </w:rPr>
        <w:t> </w:t>
      </w:r>
      <w:r>
        <w:rPr>
          <w:sz w:val="18"/>
        </w:rPr>
        <w:t>in</w:t>
      </w:r>
      <w:r>
        <w:rPr>
          <w:spacing w:val="-2"/>
          <w:sz w:val="18"/>
        </w:rPr>
        <w:t> </w:t>
      </w:r>
      <w:r>
        <w:rPr>
          <w:sz w:val="18"/>
        </w:rPr>
        <w:t>foreign</w:t>
      </w:r>
      <w:r>
        <w:rPr>
          <w:spacing w:val="-2"/>
          <w:sz w:val="18"/>
        </w:rPr>
        <w:t> </w:t>
      </w:r>
      <w:r>
        <w:rPr>
          <w:sz w:val="18"/>
        </w:rPr>
        <w:t>exchange</w:t>
      </w:r>
      <w:r>
        <w:rPr>
          <w:spacing w:val="-2"/>
          <w:sz w:val="18"/>
        </w:rPr>
        <w:t> </w:t>
      </w:r>
      <w:r>
        <w:rPr>
          <w:sz w:val="18"/>
        </w:rPr>
        <w:t>rates</w:t>
      </w:r>
      <w:r>
        <w:rPr>
          <w:spacing w:val="-2"/>
          <w:sz w:val="18"/>
        </w:rPr>
        <w:t> </w:t>
      </w:r>
      <w:r>
        <w:rPr>
          <w:sz w:val="18"/>
        </w:rPr>
        <w:t>from</w:t>
      </w:r>
      <w:r>
        <w:rPr>
          <w:spacing w:val="-2"/>
          <w:sz w:val="18"/>
        </w:rPr>
        <w:t> </w:t>
      </w:r>
      <w:r>
        <w:rPr>
          <w:sz w:val="18"/>
        </w:rPr>
        <w:t>those</w:t>
      </w:r>
      <w:r>
        <w:rPr>
          <w:spacing w:val="-2"/>
          <w:sz w:val="18"/>
        </w:rPr>
        <w:t> </w:t>
      </w:r>
      <w:r>
        <w:rPr>
          <w:sz w:val="18"/>
        </w:rPr>
        <w:t>in</w:t>
      </w:r>
      <w:r>
        <w:rPr>
          <w:spacing w:val="-2"/>
          <w:sz w:val="18"/>
        </w:rPr>
        <w:t> </w:t>
      </w:r>
      <w:r>
        <w:rPr>
          <w:sz w:val="18"/>
        </w:rPr>
        <w:t>effect</w:t>
      </w:r>
      <w:r>
        <w:rPr>
          <w:spacing w:val="-2"/>
          <w:sz w:val="18"/>
        </w:rPr>
        <w:t> </w:t>
      </w:r>
      <w:r>
        <w:rPr>
          <w:sz w:val="18"/>
        </w:rPr>
        <w:t>in</w:t>
      </w:r>
      <w:r>
        <w:rPr>
          <w:spacing w:val="-2"/>
          <w:sz w:val="18"/>
        </w:rPr>
        <w:t> </w:t>
      </w:r>
      <w:r>
        <w:rPr>
          <w:sz w:val="18"/>
        </w:rPr>
        <w:t>the</w:t>
      </w:r>
      <w:r>
        <w:rPr>
          <w:spacing w:val="-2"/>
          <w:sz w:val="18"/>
        </w:rPr>
        <w:t> </w:t>
      </w:r>
      <w:r>
        <w:rPr>
          <w:sz w:val="18"/>
        </w:rPr>
        <w:t>comparable</w:t>
      </w:r>
      <w:r>
        <w:rPr>
          <w:spacing w:val="-2"/>
          <w:sz w:val="18"/>
        </w:rPr>
        <w:t> </w:t>
      </w:r>
      <w:r>
        <w:rPr>
          <w:sz w:val="18"/>
        </w:rPr>
        <w:t>prior</w:t>
      </w:r>
      <w:r>
        <w:rPr>
          <w:spacing w:val="-2"/>
          <w:sz w:val="18"/>
        </w:rPr>
        <w:t> </w:t>
      </w:r>
      <w:r>
        <w:rPr>
          <w:sz w:val="18"/>
        </w:rPr>
        <w:t>year</w:t>
      </w:r>
      <w:r>
        <w:rPr>
          <w:spacing w:val="-2"/>
          <w:sz w:val="18"/>
        </w:rPr>
        <w:t> </w:t>
      </w:r>
      <w:r>
        <w:rPr>
          <w:sz w:val="18"/>
        </w:rPr>
        <w:t>period</w:t>
      </w:r>
      <w:r>
        <w:rPr>
          <w:spacing w:val="-2"/>
          <w:sz w:val="18"/>
        </w:rPr>
        <w:t> </w:t>
      </w:r>
      <w:r>
        <w:rPr>
          <w:sz w:val="18"/>
        </w:rPr>
        <w:t>for operating results.</w:t>
      </w:r>
    </w:p>
    <w:p>
      <w:pPr>
        <w:pStyle w:val="ListParagraph"/>
        <w:numPr>
          <w:ilvl w:val="0"/>
          <w:numId w:val="2"/>
        </w:numPr>
        <w:tabs>
          <w:tab w:pos="328" w:val="left" w:leader="none"/>
        </w:tabs>
        <w:spacing w:line="249" w:lineRule="auto" w:before="1" w:after="0"/>
        <w:ind w:left="328" w:right="34" w:hanging="324"/>
        <w:jc w:val="left"/>
        <w:rPr>
          <w:sz w:val="18"/>
        </w:rPr>
      </w:pPr>
      <w:r>
        <w:rPr>
          <w:sz w:val="18"/>
        </w:rPr>
        <w:t>Represents</w:t>
      </w:r>
      <w:r>
        <w:rPr>
          <w:spacing w:val="-2"/>
          <w:sz w:val="18"/>
        </w:rPr>
        <w:t> </w:t>
      </w:r>
      <w:r>
        <w:rPr>
          <w:sz w:val="18"/>
        </w:rPr>
        <w:t>the</w:t>
      </w:r>
      <w:r>
        <w:rPr>
          <w:spacing w:val="-2"/>
          <w:sz w:val="18"/>
        </w:rPr>
        <w:t> </w:t>
      </w:r>
      <w:r>
        <w:rPr>
          <w:sz w:val="18"/>
        </w:rPr>
        <w:t>outcome</w:t>
      </w:r>
      <w:r>
        <w:rPr>
          <w:spacing w:val="-2"/>
          <w:sz w:val="18"/>
        </w:rPr>
        <w:t> </w:t>
      </w:r>
      <w:r>
        <w:rPr>
          <w:sz w:val="18"/>
        </w:rPr>
        <w:t>that</w:t>
      </w:r>
      <w:r>
        <w:rPr>
          <w:spacing w:val="-2"/>
          <w:sz w:val="18"/>
        </w:rPr>
        <w:t> </w:t>
      </w:r>
      <w:r>
        <w:rPr>
          <w:sz w:val="18"/>
        </w:rPr>
        <w:t>would</w:t>
      </w:r>
      <w:r>
        <w:rPr>
          <w:spacing w:val="-2"/>
          <w:sz w:val="18"/>
        </w:rPr>
        <w:t> </w:t>
      </w:r>
      <w:r>
        <w:rPr>
          <w:sz w:val="18"/>
        </w:rPr>
        <w:t>have</w:t>
      </w:r>
      <w:r>
        <w:rPr>
          <w:spacing w:val="-2"/>
          <w:sz w:val="18"/>
        </w:rPr>
        <w:t> </w:t>
      </w:r>
      <w:r>
        <w:rPr>
          <w:sz w:val="18"/>
        </w:rPr>
        <w:t>resulted</w:t>
      </w:r>
      <w:r>
        <w:rPr>
          <w:spacing w:val="-2"/>
          <w:sz w:val="18"/>
        </w:rPr>
        <w:t> </w:t>
      </w:r>
      <w:r>
        <w:rPr>
          <w:sz w:val="18"/>
        </w:rPr>
        <w:t>had</w:t>
      </w:r>
      <w:r>
        <w:rPr>
          <w:spacing w:val="-2"/>
          <w:sz w:val="18"/>
        </w:rPr>
        <w:t> </w:t>
      </w:r>
      <w:r>
        <w:rPr>
          <w:sz w:val="18"/>
        </w:rPr>
        <w:t>foreign</w:t>
      </w:r>
      <w:r>
        <w:rPr>
          <w:spacing w:val="-2"/>
          <w:sz w:val="18"/>
        </w:rPr>
        <w:t> </w:t>
      </w:r>
      <w:r>
        <w:rPr>
          <w:sz w:val="18"/>
        </w:rPr>
        <w:t>exchange</w:t>
      </w:r>
      <w:r>
        <w:rPr>
          <w:spacing w:val="-2"/>
          <w:sz w:val="18"/>
        </w:rPr>
        <w:t> </w:t>
      </w:r>
      <w:r>
        <w:rPr>
          <w:sz w:val="18"/>
        </w:rPr>
        <w:t>rates</w:t>
      </w:r>
      <w:r>
        <w:rPr>
          <w:spacing w:val="-2"/>
          <w:sz w:val="18"/>
        </w:rPr>
        <w:t> </w:t>
      </w:r>
      <w:r>
        <w:rPr>
          <w:sz w:val="18"/>
        </w:rPr>
        <w:t>in</w:t>
      </w:r>
      <w:r>
        <w:rPr>
          <w:spacing w:val="-2"/>
          <w:sz w:val="18"/>
        </w:rPr>
        <w:t> </w:t>
      </w:r>
      <w:r>
        <w:rPr>
          <w:sz w:val="18"/>
        </w:rPr>
        <w:t>the</w:t>
      </w:r>
      <w:r>
        <w:rPr>
          <w:spacing w:val="-2"/>
          <w:sz w:val="18"/>
        </w:rPr>
        <w:t> </w:t>
      </w:r>
      <w:r>
        <w:rPr>
          <w:sz w:val="18"/>
        </w:rPr>
        <w:t>reported</w:t>
      </w:r>
      <w:r>
        <w:rPr>
          <w:spacing w:val="-2"/>
          <w:sz w:val="18"/>
        </w:rPr>
        <w:t> </w:t>
      </w:r>
      <w:r>
        <w:rPr>
          <w:sz w:val="18"/>
        </w:rPr>
        <w:t>period</w:t>
      </w:r>
      <w:r>
        <w:rPr>
          <w:spacing w:val="-2"/>
          <w:sz w:val="18"/>
        </w:rPr>
        <w:t> </w:t>
      </w:r>
      <w:r>
        <w:rPr>
          <w:sz w:val="18"/>
        </w:rPr>
        <w:t>been</w:t>
      </w:r>
      <w:r>
        <w:rPr>
          <w:spacing w:val="-2"/>
          <w:sz w:val="18"/>
        </w:rPr>
        <w:t> </w:t>
      </w:r>
      <w:r>
        <w:rPr>
          <w:sz w:val="18"/>
        </w:rPr>
        <w:t>the</w:t>
      </w:r>
      <w:r>
        <w:rPr>
          <w:spacing w:val="-2"/>
          <w:sz w:val="18"/>
        </w:rPr>
        <w:t> </w:t>
      </w:r>
      <w:r>
        <w:rPr>
          <w:sz w:val="18"/>
        </w:rPr>
        <w:t>same</w:t>
      </w:r>
      <w:r>
        <w:rPr>
          <w:spacing w:val="-2"/>
          <w:sz w:val="18"/>
        </w:rPr>
        <w:t> </w:t>
      </w:r>
      <w:r>
        <w:rPr>
          <w:sz w:val="18"/>
        </w:rPr>
        <w:t>as</w:t>
      </w:r>
      <w:r>
        <w:rPr>
          <w:spacing w:val="-2"/>
          <w:sz w:val="18"/>
        </w:rPr>
        <w:t> </w:t>
      </w:r>
      <w:r>
        <w:rPr>
          <w:sz w:val="18"/>
        </w:rPr>
        <w:t>those</w:t>
      </w:r>
      <w:r>
        <w:rPr>
          <w:spacing w:val="-2"/>
          <w:sz w:val="18"/>
        </w:rPr>
        <w:t> </w:t>
      </w:r>
      <w:r>
        <w:rPr>
          <w:sz w:val="18"/>
        </w:rPr>
        <w:t>in</w:t>
      </w:r>
      <w:r>
        <w:rPr>
          <w:spacing w:val="-2"/>
          <w:sz w:val="18"/>
        </w:rPr>
        <w:t> </w:t>
      </w:r>
      <w:r>
        <w:rPr>
          <w:sz w:val="18"/>
        </w:rPr>
        <w:t>effect</w:t>
      </w:r>
      <w:r>
        <w:rPr>
          <w:spacing w:val="-2"/>
          <w:sz w:val="18"/>
        </w:rPr>
        <w:t> </w:t>
      </w:r>
      <w:r>
        <w:rPr>
          <w:sz w:val="18"/>
        </w:rPr>
        <w:t>in</w:t>
      </w:r>
      <w:r>
        <w:rPr>
          <w:spacing w:val="-2"/>
          <w:sz w:val="18"/>
        </w:rPr>
        <w:t> </w:t>
      </w:r>
      <w:r>
        <w:rPr>
          <w:sz w:val="18"/>
        </w:rPr>
        <w:t>the</w:t>
      </w:r>
      <w:r>
        <w:rPr>
          <w:spacing w:val="-2"/>
          <w:sz w:val="18"/>
        </w:rPr>
        <w:t> </w:t>
      </w:r>
      <w:r>
        <w:rPr>
          <w:sz w:val="18"/>
        </w:rPr>
        <w:t>comparable</w:t>
      </w:r>
      <w:r>
        <w:rPr>
          <w:spacing w:val="-2"/>
          <w:sz w:val="18"/>
        </w:rPr>
        <w:t> </w:t>
      </w:r>
      <w:r>
        <w:rPr>
          <w:sz w:val="18"/>
        </w:rPr>
        <w:t>prior year period for operating results.</w:t>
      </w:r>
    </w:p>
    <w:p>
      <w:pPr>
        <w:pStyle w:val="BodyText"/>
        <w:ind w:left="0"/>
      </w:pPr>
    </w:p>
    <w:p>
      <w:pPr>
        <w:pStyle w:val="BodyText"/>
        <w:spacing w:before="141"/>
        <w:ind w:left="0"/>
      </w:pPr>
    </w:p>
    <w:p>
      <w:pPr>
        <w:pStyle w:val="BodyText"/>
        <w:jc w:val="center"/>
      </w:pPr>
      <w:r>
        <w:rPr/>
        <mc:AlternateContent>
          <mc:Choice Requires="wps">
            <w:drawing>
              <wp:anchor distT="0" distB="0" distL="0" distR="0" allowOverlap="1" layoutInCell="1" locked="0" behindDoc="0" simplePos="0" relativeHeight="15739904">
                <wp:simplePos x="0" y="0"/>
                <wp:positionH relativeFrom="page">
                  <wp:posOffset>231457</wp:posOffset>
                </wp:positionH>
                <wp:positionV relativeFrom="paragraph">
                  <wp:posOffset>192806</wp:posOffset>
                </wp:positionV>
                <wp:extent cx="7312659" cy="1714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7312659" cy="17145"/>
                          <a:chExt cx="7312659" cy="17145"/>
                        </a:xfrm>
                      </wpg:grpSpPr>
                      <wps:wsp>
                        <wps:cNvPr id="58" name="Graphic 5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0" name="Graphic 6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181651pt;width:575.8pt;height:1.35pt;mso-position-horizontal-relative:page;mso-position-vertical-relative:paragraph;z-index:15739904" id="docshapegroup57" coordorigin="364,304" coordsize="11516,27">
                <v:rect style="position:absolute;left:364;top:303;width:11516;height:14" id="docshape58" filled="true" fillcolor="#999999" stroked="false">
                  <v:fill type="solid"/>
                </v:rect>
                <v:shape style="position:absolute;left:364;top:303;width:11516;height:27" id="docshape59" coordorigin="364,304" coordsize="11516,27" path="m11880,304l11866,317,364,317,364,331,11866,331,11880,331,11880,317,11880,304xe" filled="true" fillcolor="#ededed" stroked="false">
                  <v:path arrowok="t"/>
                  <v:fill type="solid"/>
                </v:shape>
                <v:shape style="position:absolute;left:364;top:303;width:14;height:27" id="docshape60" coordorigin="364,304" coordsize="14,27" path="m364,331l364,304,378,304,378,317,364,331xe" filled="true" fillcolor="#999999" stroked="false">
                  <v:path arrowok="t"/>
                  <v:fill type="solid"/>
                </v:shape>
                <w10:wrap type="none"/>
              </v:group>
            </w:pict>
          </mc:Fallback>
        </mc:AlternateContent>
      </w:r>
      <w:r>
        <w:rPr>
          <w:spacing w:val="-5"/>
        </w:rPr>
        <w:t>29</w:t>
      </w:r>
    </w:p>
    <w:p>
      <w:pPr>
        <w:pStyle w:val="BodyText"/>
        <w:spacing w:after="0"/>
        <w:jc w:val="center"/>
        <w:sectPr>
          <w:pgSz w:w="12240" w:h="15840"/>
          <w:pgMar w:header="460" w:footer="0" w:top="1180" w:bottom="280" w:left="360" w:right="360"/>
        </w:sectPr>
      </w:pPr>
    </w:p>
    <w:p>
      <w:pPr>
        <w:pStyle w:val="BodyText"/>
        <w:spacing w:before="77"/>
        <w:ind w:left="0"/>
      </w:pPr>
    </w:p>
    <w:p>
      <w:pPr>
        <w:pStyle w:val="Heading2"/>
        <w:spacing w:before="1"/>
      </w:pPr>
      <w:r>
        <w:rPr>
          <w:spacing w:val="-2"/>
        </w:rPr>
        <w:t>Guidance</w:t>
      </w:r>
    </w:p>
    <w:p>
      <w:pPr>
        <w:pStyle w:val="BodyText"/>
        <w:spacing w:line="249" w:lineRule="auto" w:before="90"/>
        <w:ind w:firstLine="445"/>
      </w:pPr>
      <w:r>
        <w:rPr/>
        <w:t>We provided guidance on February 6, 2025, in our earnings release furnished on Form 8-K as set forth below. These forward-looking statements reflect Amazon.com’s expectations as of February 6, 2025, and are subject to substantial uncertainty. Our results are inherently unpredictable and may be materially affected by many factors, such as fluctuations in foreign exchange rates, changes in global economic and geopolitical conditions and customer demand and spending</w:t>
      </w:r>
      <w:r>
        <w:rPr>
          <w:spacing w:val="-2"/>
        </w:rPr>
        <w:t> </w:t>
      </w:r>
      <w:r>
        <w:rPr/>
        <w:t>(including</w:t>
      </w:r>
      <w:r>
        <w:rPr>
          <w:spacing w:val="-2"/>
        </w:rPr>
        <w:t> </w:t>
      </w:r>
      <w:r>
        <w:rPr/>
        <w:t>the</w:t>
      </w:r>
      <w:r>
        <w:rPr>
          <w:spacing w:val="-2"/>
        </w:rPr>
        <w:t> </w:t>
      </w:r>
      <w:r>
        <w:rPr/>
        <w:t>impact</w:t>
      </w:r>
      <w:r>
        <w:rPr>
          <w:spacing w:val="-2"/>
        </w:rPr>
        <w:t> </w:t>
      </w:r>
      <w:r>
        <w:rPr/>
        <w:t>of</w:t>
      </w:r>
      <w:r>
        <w:rPr>
          <w:spacing w:val="-2"/>
        </w:rPr>
        <w:t> </w:t>
      </w:r>
      <w:r>
        <w:rPr/>
        <w:t>recessionary</w:t>
      </w:r>
      <w:r>
        <w:rPr>
          <w:spacing w:val="-2"/>
        </w:rPr>
        <w:t> </w:t>
      </w:r>
      <w:r>
        <w:rPr/>
        <w:t>fears),</w:t>
      </w:r>
      <w:r>
        <w:rPr>
          <w:spacing w:val="-2"/>
        </w:rPr>
        <w:t> </w:t>
      </w:r>
      <w:r>
        <w:rPr/>
        <w:t>inflation,</w:t>
      </w:r>
      <w:r>
        <w:rPr>
          <w:spacing w:val="-2"/>
        </w:rPr>
        <w:t> </w:t>
      </w:r>
      <w:r>
        <w:rPr/>
        <w:t>interest</w:t>
      </w:r>
      <w:r>
        <w:rPr>
          <w:spacing w:val="-2"/>
        </w:rPr>
        <w:t> </w:t>
      </w:r>
      <w:r>
        <w:rPr/>
        <w:t>rates,</w:t>
      </w:r>
      <w:r>
        <w:rPr>
          <w:spacing w:val="-2"/>
        </w:rPr>
        <w:t> </w:t>
      </w:r>
      <w:r>
        <w:rPr/>
        <w:t>regional</w:t>
      </w:r>
      <w:r>
        <w:rPr>
          <w:spacing w:val="-2"/>
        </w:rPr>
        <w:t> </w:t>
      </w:r>
      <w:r>
        <w:rPr/>
        <w:t>labor</w:t>
      </w:r>
      <w:r>
        <w:rPr>
          <w:spacing w:val="-2"/>
        </w:rPr>
        <w:t> </w:t>
      </w:r>
      <w:r>
        <w:rPr/>
        <w:t>market</w:t>
      </w:r>
      <w:r>
        <w:rPr>
          <w:spacing w:val="-2"/>
        </w:rPr>
        <w:t> </w:t>
      </w:r>
      <w:r>
        <w:rPr/>
        <w:t>constraints,</w:t>
      </w:r>
      <w:r>
        <w:rPr>
          <w:spacing w:val="-2"/>
        </w:rPr>
        <w:t> </w:t>
      </w:r>
      <w:r>
        <w:rPr/>
        <w:t>world</w:t>
      </w:r>
      <w:r>
        <w:rPr>
          <w:spacing w:val="-2"/>
        </w:rPr>
        <w:t> </w:t>
      </w:r>
      <w:r>
        <w:rPr/>
        <w:t>events,</w:t>
      </w:r>
      <w:r>
        <w:rPr>
          <w:spacing w:val="-2"/>
        </w:rPr>
        <w:t> </w:t>
      </w:r>
      <w:r>
        <w:rPr/>
        <w:t>the</w:t>
      </w:r>
      <w:r>
        <w:rPr>
          <w:spacing w:val="-2"/>
        </w:rPr>
        <w:t> </w:t>
      </w:r>
      <w:r>
        <w:rPr/>
        <w:t>rate</w:t>
      </w:r>
      <w:r>
        <w:rPr>
          <w:spacing w:val="-2"/>
        </w:rPr>
        <w:t> </w:t>
      </w:r>
      <w:r>
        <w:rPr/>
        <w:t>of</w:t>
      </w:r>
      <w:r>
        <w:rPr>
          <w:spacing w:val="-2"/>
        </w:rPr>
        <w:t> </w:t>
      </w:r>
      <w:r>
        <w:rPr/>
        <w:t>growth</w:t>
      </w:r>
      <w:r>
        <w:rPr>
          <w:spacing w:val="-2"/>
        </w:rPr>
        <w:t> </w:t>
      </w:r>
      <w:r>
        <w:rPr/>
        <w:t>of</w:t>
      </w:r>
      <w:r>
        <w:rPr>
          <w:spacing w:val="-2"/>
        </w:rPr>
        <w:t> </w:t>
      </w:r>
      <w:r>
        <w:rPr/>
        <w:t>the</w:t>
      </w:r>
      <w:r>
        <w:rPr>
          <w:spacing w:val="-2"/>
        </w:rPr>
        <w:t> </w:t>
      </w:r>
      <w:r>
        <w:rPr/>
        <w:t>internet, online commerce, cloud services, and new and emerging technologies, as well as those outlined in Item 1A</w:t>
      </w:r>
      <w:r>
        <w:rPr>
          <w:spacing w:val="-5"/>
        </w:rPr>
        <w:t> </w:t>
      </w:r>
      <w:r>
        <w:rPr/>
        <w:t>of Part I, “Risk Factors.”</w:t>
      </w:r>
    </w:p>
    <w:p>
      <w:pPr>
        <w:pStyle w:val="BodyText"/>
        <w:spacing w:before="98"/>
      </w:pPr>
      <w:r>
        <w:rPr/>
        <w:t>First</w:t>
      </w:r>
      <w:r>
        <w:rPr>
          <w:spacing w:val="-3"/>
        </w:rPr>
        <w:t> </w:t>
      </w:r>
      <w:r>
        <w:rPr/>
        <w:t>Quarter</w:t>
      </w:r>
      <w:r>
        <w:rPr>
          <w:spacing w:val="-1"/>
        </w:rPr>
        <w:t> </w:t>
      </w:r>
      <w:r>
        <w:rPr/>
        <w:t>2025</w:t>
      </w:r>
      <w:r>
        <w:rPr>
          <w:spacing w:val="-1"/>
        </w:rPr>
        <w:t> </w:t>
      </w:r>
      <w:r>
        <w:rPr>
          <w:spacing w:val="-2"/>
        </w:rPr>
        <w:t>Guidance</w:t>
      </w:r>
    </w:p>
    <w:p>
      <w:pPr>
        <w:pStyle w:val="ListParagraph"/>
        <w:numPr>
          <w:ilvl w:val="1"/>
          <w:numId w:val="2"/>
        </w:numPr>
        <w:tabs>
          <w:tab w:pos="733" w:val="left" w:leader="none"/>
        </w:tabs>
        <w:spacing w:line="249" w:lineRule="auto" w:before="103" w:after="0"/>
        <w:ind w:left="733" w:right="103" w:hanging="324"/>
        <w:jc w:val="left"/>
        <w:rPr>
          <w:sz w:val="18"/>
        </w:rPr>
      </w:pPr>
      <w:r>
        <w:rPr>
          <w:sz w:val="18"/>
        </w:rPr>
        <w:t>Net sales are expected to be between $151.0 billion and $155.5 billion, or to grow between 5% and 9% compared with first quarter 2024. This guidance</w:t>
      </w:r>
      <w:r>
        <w:rPr>
          <w:spacing w:val="-3"/>
          <w:sz w:val="18"/>
        </w:rPr>
        <w:t> </w:t>
      </w:r>
      <w:r>
        <w:rPr>
          <w:sz w:val="18"/>
        </w:rPr>
        <w:t>anticipates</w:t>
      </w:r>
      <w:r>
        <w:rPr>
          <w:spacing w:val="-3"/>
          <w:sz w:val="18"/>
        </w:rPr>
        <w:t> </w:t>
      </w:r>
      <w:r>
        <w:rPr>
          <w:sz w:val="18"/>
        </w:rPr>
        <w:t>an</w:t>
      </w:r>
      <w:r>
        <w:rPr>
          <w:spacing w:val="-3"/>
          <w:sz w:val="18"/>
        </w:rPr>
        <w:t> </w:t>
      </w:r>
      <w:r>
        <w:rPr>
          <w:sz w:val="18"/>
        </w:rPr>
        <w:t>unusually</w:t>
      </w:r>
      <w:r>
        <w:rPr>
          <w:spacing w:val="-3"/>
          <w:sz w:val="18"/>
        </w:rPr>
        <w:t> </w:t>
      </w:r>
      <w:r>
        <w:rPr>
          <w:sz w:val="18"/>
        </w:rPr>
        <w:t>large,</w:t>
      </w:r>
      <w:r>
        <w:rPr>
          <w:spacing w:val="-3"/>
          <w:sz w:val="18"/>
        </w:rPr>
        <w:t> </w:t>
      </w:r>
      <w:r>
        <w:rPr>
          <w:sz w:val="18"/>
        </w:rPr>
        <w:t>unfavorable</w:t>
      </w:r>
      <w:r>
        <w:rPr>
          <w:spacing w:val="-3"/>
          <w:sz w:val="18"/>
        </w:rPr>
        <w:t> </w:t>
      </w:r>
      <w:r>
        <w:rPr>
          <w:sz w:val="18"/>
        </w:rPr>
        <w:t>impact</w:t>
      </w:r>
      <w:r>
        <w:rPr>
          <w:spacing w:val="-3"/>
          <w:sz w:val="18"/>
        </w:rPr>
        <w:t> </w:t>
      </w:r>
      <w:r>
        <w:rPr>
          <w:sz w:val="18"/>
        </w:rPr>
        <w:t>of</w:t>
      </w:r>
      <w:r>
        <w:rPr>
          <w:spacing w:val="-3"/>
          <w:sz w:val="18"/>
        </w:rPr>
        <w:t> </w:t>
      </w:r>
      <w:r>
        <w:rPr>
          <w:sz w:val="18"/>
        </w:rPr>
        <w:t>approximately</w:t>
      </w:r>
      <w:r>
        <w:rPr>
          <w:spacing w:val="-3"/>
          <w:sz w:val="18"/>
        </w:rPr>
        <w:t> </w:t>
      </w:r>
      <w:r>
        <w:rPr>
          <w:sz w:val="18"/>
        </w:rPr>
        <w:t>$2.1</w:t>
      </w:r>
      <w:r>
        <w:rPr>
          <w:spacing w:val="-3"/>
          <w:sz w:val="18"/>
        </w:rPr>
        <w:t> </w:t>
      </w:r>
      <w:r>
        <w:rPr>
          <w:sz w:val="18"/>
        </w:rPr>
        <w:t>billion,</w:t>
      </w:r>
      <w:r>
        <w:rPr>
          <w:spacing w:val="-3"/>
          <w:sz w:val="18"/>
        </w:rPr>
        <w:t> </w:t>
      </w:r>
      <w:r>
        <w:rPr>
          <w:sz w:val="18"/>
        </w:rPr>
        <w:t>or</w:t>
      </w:r>
      <w:r>
        <w:rPr>
          <w:spacing w:val="-3"/>
          <w:sz w:val="18"/>
        </w:rPr>
        <w:t> </w:t>
      </w:r>
      <w:r>
        <w:rPr>
          <w:sz w:val="18"/>
        </w:rPr>
        <w:t>150</w:t>
      </w:r>
      <w:r>
        <w:rPr>
          <w:spacing w:val="-3"/>
          <w:sz w:val="18"/>
        </w:rPr>
        <w:t> </w:t>
      </w:r>
      <w:r>
        <w:rPr>
          <w:sz w:val="18"/>
        </w:rPr>
        <w:t>basis</w:t>
      </w:r>
      <w:r>
        <w:rPr>
          <w:spacing w:val="-3"/>
          <w:sz w:val="18"/>
        </w:rPr>
        <w:t> </w:t>
      </w:r>
      <w:r>
        <w:rPr>
          <w:sz w:val="18"/>
        </w:rPr>
        <w:t>points,</w:t>
      </w:r>
      <w:r>
        <w:rPr>
          <w:spacing w:val="-3"/>
          <w:sz w:val="18"/>
        </w:rPr>
        <w:t> </w:t>
      </w:r>
      <w:r>
        <w:rPr>
          <w:sz w:val="18"/>
        </w:rPr>
        <w:t>from</w:t>
      </w:r>
      <w:r>
        <w:rPr>
          <w:spacing w:val="-3"/>
          <w:sz w:val="18"/>
        </w:rPr>
        <w:t> </w:t>
      </w:r>
      <w:r>
        <w:rPr>
          <w:sz w:val="18"/>
        </w:rPr>
        <w:t>foreign</w:t>
      </w:r>
      <w:r>
        <w:rPr>
          <w:spacing w:val="-3"/>
          <w:sz w:val="18"/>
        </w:rPr>
        <w:t> </w:t>
      </w:r>
      <w:r>
        <w:rPr>
          <w:sz w:val="18"/>
        </w:rPr>
        <w:t>exchange</w:t>
      </w:r>
      <w:r>
        <w:rPr>
          <w:spacing w:val="-3"/>
          <w:sz w:val="18"/>
        </w:rPr>
        <w:t> </w:t>
      </w:r>
      <w:r>
        <w:rPr>
          <w:sz w:val="18"/>
        </w:rPr>
        <w:t>rates.</w:t>
      </w:r>
      <w:r>
        <w:rPr>
          <w:spacing w:val="-11"/>
          <w:sz w:val="18"/>
        </w:rPr>
        <w:t> </w:t>
      </w:r>
      <w:r>
        <w:rPr>
          <w:sz w:val="18"/>
        </w:rPr>
        <w:t>Also,</w:t>
      </w:r>
      <w:r>
        <w:rPr>
          <w:spacing w:val="-3"/>
          <w:sz w:val="18"/>
        </w:rPr>
        <w:t> </w:t>
      </w:r>
      <w:r>
        <w:rPr>
          <w:sz w:val="18"/>
        </w:rPr>
        <w:t>as a reminder, in first quarter 2024 the impact from Leap</w:t>
      </w:r>
      <w:r>
        <w:rPr>
          <w:spacing w:val="-1"/>
          <w:sz w:val="18"/>
        </w:rPr>
        <w:t> </w:t>
      </w:r>
      <w:r>
        <w:rPr>
          <w:sz w:val="18"/>
        </w:rPr>
        <w:t>Year added approximately $1.5 billion in net sales.</w:t>
      </w:r>
    </w:p>
    <w:p>
      <w:pPr>
        <w:pStyle w:val="ListParagraph"/>
        <w:numPr>
          <w:ilvl w:val="1"/>
          <w:numId w:val="2"/>
        </w:numPr>
        <w:tabs>
          <w:tab w:pos="733" w:val="left" w:leader="none"/>
        </w:tabs>
        <w:spacing w:line="240" w:lineRule="auto" w:before="83" w:after="0"/>
        <w:ind w:left="733" w:right="0" w:hanging="324"/>
        <w:jc w:val="left"/>
        <w:rPr>
          <w:sz w:val="18"/>
        </w:rPr>
      </w:pPr>
      <w:r>
        <w:rPr>
          <w:sz w:val="18"/>
        </w:rPr>
        <w:t>Operating</w:t>
      </w:r>
      <w:r>
        <w:rPr>
          <w:spacing w:val="-1"/>
          <w:sz w:val="18"/>
        </w:rPr>
        <w:t> </w:t>
      </w:r>
      <w:r>
        <w:rPr>
          <w:sz w:val="18"/>
        </w:rPr>
        <w:t>income</w:t>
      </w:r>
      <w:r>
        <w:rPr>
          <w:spacing w:val="-1"/>
          <w:sz w:val="18"/>
        </w:rPr>
        <w:t> </w:t>
      </w:r>
      <w:r>
        <w:rPr>
          <w:sz w:val="18"/>
        </w:rPr>
        <w:t>is</w:t>
      </w:r>
      <w:r>
        <w:rPr>
          <w:spacing w:val="-1"/>
          <w:sz w:val="18"/>
        </w:rPr>
        <w:t> </w:t>
      </w:r>
      <w:r>
        <w:rPr>
          <w:sz w:val="18"/>
        </w:rPr>
        <w:t>expected</w:t>
      </w:r>
      <w:r>
        <w:rPr>
          <w:spacing w:val="-1"/>
          <w:sz w:val="18"/>
        </w:rPr>
        <w:t> </w:t>
      </w:r>
      <w:r>
        <w:rPr>
          <w:sz w:val="18"/>
        </w:rPr>
        <w:t>to</w:t>
      </w:r>
      <w:r>
        <w:rPr>
          <w:spacing w:val="-1"/>
          <w:sz w:val="18"/>
        </w:rPr>
        <w:t> </w:t>
      </w:r>
      <w:r>
        <w:rPr>
          <w:sz w:val="18"/>
        </w:rPr>
        <w:t>be</w:t>
      </w:r>
      <w:r>
        <w:rPr>
          <w:spacing w:val="-1"/>
          <w:sz w:val="18"/>
        </w:rPr>
        <w:t> </w:t>
      </w:r>
      <w:r>
        <w:rPr>
          <w:sz w:val="18"/>
        </w:rPr>
        <w:t>between</w:t>
      </w:r>
      <w:r>
        <w:rPr>
          <w:spacing w:val="-1"/>
          <w:sz w:val="18"/>
        </w:rPr>
        <w:t> </w:t>
      </w:r>
      <w:r>
        <w:rPr>
          <w:sz w:val="18"/>
        </w:rPr>
        <w:t>$14.0</w:t>
      </w:r>
      <w:r>
        <w:rPr>
          <w:spacing w:val="-1"/>
          <w:sz w:val="18"/>
        </w:rPr>
        <w:t> </w:t>
      </w:r>
      <w:r>
        <w:rPr>
          <w:sz w:val="18"/>
        </w:rPr>
        <w:t>billion</w:t>
      </w:r>
      <w:r>
        <w:rPr>
          <w:spacing w:val="-1"/>
          <w:sz w:val="18"/>
        </w:rPr>
        <w:t> </w:t>
      </w:r>
      <w:r>
        <w:rPr>
          <w:sz w:val="18"/>
        </w:rPr>
        <w:t>and</w:t>
      </w:r>
      <w:r>
        <w:rPr>
          <w:spacing w:val="-1"/>
          <w:sz w:val="18"/>
        </w:rPr>
        <w:t> </w:t>
      </w:r>
      <w:r>
        <w:rPr>
          <w:sz w:val="18"/>
        </w:rPr>
        <w:t>$18.0</w:t>
      </w:r>
      <w:r>
        <w:rPr>
          <w:spacing w:val="-1"/>
          <w:sz w:val="18"/>
        </w:rPr>
        <w:t> </w:t>
      </w:r>
      <w:r>
        <w:rPr>
          <w:sz w:val="18"/>
        </w:rPr>
        <w:t>billion,</w:t>
      </w:r>
      <w:r>
        <w:rPr>
          <w:spacing w:val="-1"/>
          <w:sz w:val="18"/>
        </w:rPr>
        <w:t> </w:t>
      </w:r>
      <w:r>
        <w:rPr>
          <w:sz w:val="18"/>
        </w:rPr>
        <w:t>compared</w:t>
      </w:r>
      <w:r>
        <w:rPr>
          <w:spacing w:val="-1"/>
          <w:sz w:val="18"/>
        </w:rPr>
        <w:t> </w:t>
      </w:r>
      <w:r>
        <w:rPr>
          <w:sz w:val="18"/>
        </w:rPr>
        <w:t>with</w:t>
      </w:r>
      <w:r>
        <w:rPr>
          <w:spacing w:val="-1"/>
          <w:sz w:val="18"/>
        </w:rPr>
        <w:t> </w:t>
      </w:r>
      <w:r>
        <w:rPr>
          <w:sz w:val="18"/>
        </w:rPr>
        <w:t>$15.3</w:t>
      </w:r>
      <w:r>
        <w:rPr>
          <w:spacing w:val="-1"/>
          <w:sz w:val="18"/>
        </w:rPr>
        <w:t> </w:t>
      </w:r>
      <w:r>
        <w:rPr>
          <w:sz w:val="18"/>
        </w:rPr>
        <w:t>billion</w:t>
      </w:r>
      <w:r>
        <w:rPr>
          <w:spacing w:val="-1"/>
          <w:sz w:val="18"/>
        </w:rPr>
        <w:t> </w:t>
      </w:r>
      <w:r>
        <w:rPr>
          <w:sz w:val="18"/>
        </w:rPr>
        <w:t>in</w:t>
      </w:r>
      <w:r>
        <w:rPr>
          <w:spacing w:val="-1"/>
          <w:sz w:val="18"/>
        </w:rPr>
        <w:t> </w:t>
      </w:r>
      <w:r>
        <w:rPr>
          <w:sz w:val="18"/>
        </w:rPr>
        <w:t>first</w:t>
      </w:r>
      <w:r>
        <w:rPr>
          <w:spacing w:val="-1"/>
          <w:sz w:val="18"/>
        </w:rPr>
        <w:t> </w:t>
      </w:r>
      <w:r>
        <w:rPr>
          <w:sz w:val="18"/>
        </w:rPr>
        <w:t>quarter</w:t>
      </w:r>
      <w:r>
        <w:rPr>
          <w:spacing w:val="-1"/>
          <w:sz w:val="18"/>
        </w:rPr>
        <w:t> </w:t>
      </w:r>
      <w:r>
        <w:rPr>
          <w:spacing w:val="-2"/>
          <w:sz w:val="18"/>
        </w:rPr>
        <w:t>2024.</w:t>
      </w:r>
    </w:p>
    <w:p>
      <w:pPr>
        <w:pStyle w:val="ListParagraph"/>
        <w:numPr>
          <w:ilvl w:val="1"/>
          <w:numId w:val="2"/>
        </w:numPr>
        <w:tabs>
          <w:tab w:pos="733" w:val="left" w:leader="none"/>
        </w:tabs>
        <w:spacing w:line="240" w:lineRule="auto" w:before="104" w:after="0"/>
        <w:ind w:left="733" w:right="0" w:hanging="324"/>
        <w:jc w:val="left"/>
        <w:rPr>
          <w:sz w:val="18"/>
        </w:rPr>
      </w:pPr>
      <w:r>
        <w:rPr>
          <w:sz w:val="18"/>
        </w:rPr>
        <w:t>This</w:t>
      </w:r>
      <w:r>
        <w:rPr>
          <w:spacing w:val="-1"/>
          <w:sz w:val="18"/>
        </w:rPr>
        <w:t> </w:t>
      </w:r>
      <w:r>
        <w:rPr>
          <w:sz w:val="18"/>
        </w:rPr>
        <w:t>guidance</w:t>
      </w:r>
      <w:r>
        <w:rPr>
          <w:spacing w:val="-1"/>
          <w:sz w:val="18"/>
        </w:rPr>
        <w:t> </w:t>
      </w:r>
      <w:r>
        <w:rPr>
          <w:sz w:val="18"/>
        </w:rPr>
        <w:t>assumes,</w:t>
      </w:r>
      <w:r>
        <w:rPr>
          <w:spacing w:val="-1"/>
          <w:sz w:val="18"/>
        </w:rPr>
        <w:t> </w:t>
      </w:r>
      <w:r>
        <w:rPr>
          <w:sz w:val="18"/>
        </w:rPr>
        <w:t>among</w:t>
      </w:r>
      <w:r>
        <w:rPr>
          <w:spacing w:val="-1"/>
          <w:sz w:val="18"/>
        </w:rPr>
        <w:t> </w:t>
      </w:r>
      <w:r>
        <w:rPr>
          <w:sz w:val="18"/>
        </w:rPr>
        <w:t>other</w:t>
      </w:r>
      <w:r>
        <w:rPr>
          <w:spacing w:val="-1"/>
          <w:sz w:val="18"/>
        </w:rPr>
        <w:t> </w:t>
      </w:r>
      <w:r>
        <w:rPr>
          <w:sz w:val="18"/>
        </w:rPr>
        <w:t>things,</w:t>
      </w:r>
      <w:r>
        <w:rPr>
          <w:spacing w:val="-1"/>
          <w:sz w:val="18"/>
        </w:rPr>
        <w:t> </w:t>
      </w:r>
      <w:r>
        <w:rPr>
          <w:sz w:val="18"/>
        </w:rPr>
        <w:t>that</w:t>
      </w:r>
      <w:r>
        <w:rPr>
          <w:spacing w:val="-1"/>
          <w:sz w:val="18"/>
        </w:rPr>
        <w:t> </w:t>
      </w:r>
      <w:r>
        <w:rPr>
          <w:sz w:val="18"/>
        </w:rPr>
        <w:t>no</w:t>
      </w:r>
      <w:r>
        <w:rPr>
          <w:spacing w:val="-1"/>
          <w:sz w:val="18"/>
        </w:rPr>
        <w:t> </w:t>
      </w:r>
      <w:r>
        <w:rPr>
          <w:sz w:val="18"/>
        </w:rPr>
        <w:t>additional</w:t>
      </w:r>
      <w:r>
        <w:rPr>
          <w:spacing w:val="-1"/>
          <w:sz w:val="18"/>
        </w:rPr>
        <w:t> </w:t>
      </w:r>
      <w:r>
        <w:rPr>
          <w:sz w:val="18"/>
        </w:rPr>
        <w:t>business</w:t>
      </w:r>
      <w:r>
        <w:rPr>
          <w:spacing w:val="-1"/>
          <w:sz w:val="18"/>
        </w:rPr>
        <w:t> </w:t>
      </w:r>
      <w:r>
        <w:rPr>
          <w:sz w:val="18"/>
        </w:rPr>
        <w:t>acquisitions,</w:t>
      </w:r>
      <w:r>
        <w:rPr>
          <w:spacing w:val="-1"/>
          <w:sz w:val="18"/>
        </w:rPr>
        <w:t> </w:t>
      </w:r>
      <w:r>
        <w:rPr>
          <w:sz w:val="18"/>
        </w:rPr>
        <w:t>restructurings,</w:t>
      </w:r>
      <w:r>
        <w:rPr>
          <w:spacing w:val="-1"/>
          <w:sz w:val="18"/>
        </w:rPr>
        <w:t> </w:t>
      </w:r>
      <w:r>
        <w:rPr>
          <w:sz w:val="18"/>
        </w:rPr>
        <w:t>or</w:t>
      </w:r>
      <w:r>
        <w:rPr>
          <w:spacing w:val="-1"/>
          <w:sz w:val="18"/>
        </w:rPr>
        <w:t> </w:t>
      </w:r>
      <w:r>
        <w:rPr>
          <w:sz w:val="18"/>
        </w:rPr>
        <w:t>legal</w:t>
      </w:r>
      <w:r>
        <w:rPr>
          <w:spacing w:val="-1"/>
          <w:sz w:val="18"/>
        </w:rPr>
        <w:t> </w:t>
      </w:r>
      <w:r>
        <w:rPr>
          <w:sz w:val="18"/>
        </w:rPr>
        <w:t>settlements</w:t>
      </w:r>
      <w:r>
        <w:rPr>
          <w:spacing w:val="-1"/>
          <w:sz w:val="18"/>
        </w:rPr>
        <w:t> </w:t>
      </w:r>
      <w:r>
        <w:rPr>
          <w:sz w:val="18"/>
        </w:rPr>
        <w:t>are</w:t>
      </w:r>
      <w:r>
        <w:rPr>
          <w:spacing w:val="-1"/>
          <w:sz w:val="18"/>
        </w:rPr>
        <w:t> </w:t>
      </w:r>
      <w:r>
        <w:rPr>
          <w:spacing w:val="-2"/>
          <w:sz w:val="18"/>
        </w:rPr>
        <w:t>concluded.</w:t>
      </w:r>
    </w:p>
    <w:p>
      <w:pPr>
        <w:pStyle w:val="BodyText"/>
        <w:ind w:left="0"/>
      </w:pPr>
    </w:p>
    <w:p>
      <w:pPr>
        <w:pStyle w:val="BodyText"/>
        <w:spacing w:before="148"/>
        <w:ind w:left="0"/>
      </w:pPr>
    </w:p>
    <w:p>
      <w:pPr>
        <w:pStyle w:val="BodyText"/>
        <w:spacing w:before="1"/>
        <w:jc w:val="center"/>
      </w:pPr>
      <w:r>
        <w:rPr/>
        <mc:AlternateContent>
          <mc:Choice Requires="wps">
            <w:drawing>
              <wp:anchor distT="0" distB="0" distL="0" distR="0" allowOverlap="1" layoutInCell="1" locked="0" behindDoc="0" simplePos="0" relativeHeight="15740416">
                <wp:simplePos x="0" y="0"/>
                <wp:positionH relativeFrom="page">
                  <wp:posOffset>231457</wp:posOffset>
                </wp:positionH>
                <wp:positionV relativeFrom="paragraph">
                  <wp:posOffset>201559</wp:posOffset>
                </wp:positionV>
                <wp:extent cx="7312659" cy="1714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312659" cy="17145"/>
                          <a:chExt cx="7312659" cy="17145"/>
                        </a:xfrm>
                      </wpg:grpSpPr>
                      <wps:wsp>
                        <wps:cNvPr id="62" name="Graphic 6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12" y="7"/>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15.870836pt;width:575.8pt;height:1.35pt;mso-position-horizontal-relative:page;mso-position-vertical-relative:paragraph;z-index:15740416" id="docshapegroup61" coordorigin="364,317" coordsize="11516,27">
                <v:rect style="position:absolute;left:364;top:317;width:11516;height:14" id="docshape62" filled="true" fillcolor="#999999" stroked="false">
                  <v:fill type="solid"/>
                </v:rect>
                <v:shape style="position:absolute;left:364;top:317;width:11516;height:27" id="docshape63" coordorigin="364,317" coordsize="11516,27" path="m11880,317l11866,331,364,331,364,344,11866,344,11880,344,11880,331,11880,317xe" filled="true" fillcolor="#ededed" stroked="false">
                  <v:path arrowok="t"/>
                  <v:fill type="solid"/>
                </v:shape>
                <v:shape style="position:absolute;left:364;top:317;width:14;height:27" id="docshape64" coordorigin="364,317" coordsize="14,27" path="m364,344l364,317,378,317,378,331,364,344xe" filled="true" fillcolor="#999999" stroked="false">
                  <v:path arrowok="t"/>
                  <v:fill type="solid"/>
                </v:shape>
                <w10:wrap type="none"/>
              </v:group>
            </w:pict>
          </mc:Fallback>
        </mc:AlternateContent>
      </w:r>
      <w:r>
        <w:rPr>
          <w:spacing w:val="-5"/>
        </w:rPr>
        <w:t>30</w:t>
      </w:r>
    </w:p>
    <w:sectPr>
      <w:pgSz w:w="12240" w:h="15840"/>
      <w:pgMar w:header="460" w:footer="0" w:top="118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9"/>
      </w:rPr>
    </w:pPr>
    <w:r>
      <w:rPr>
        <w:sz w:val="19"/>
      </w:rPr>
      <mc:AlternateContent>
        <mc:Choice Requires="wps">
          <w:drawing>
            <wp:anchor distT="0" distB="0" distL="0" distR="0" allowOverlap="1" layoutInCell="1" locked="0" behindDoc="1" simplePos="0" relativeHeight="487022592">
              <wp:simplePos x="0" y="0"/>
              <wp:positionH relativeFrom="page">
                <wp:posOffset>218757</wp:posOffset>
              </wp:positionH>
              <wp:positionV relativeFrom="page">
                <wp:posOffset>271232</wp:posOffset>
              </wp:positionV>
              <wp:extent cx="836294"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6294" cy="152400"/>
                      </a:xfrm>
                      <a:prstGeom prst="rect">
                        <a:avLst/>
                      </a:prstGeom>
                    </wps:spPr>
                    <wps:txbx>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24997pt;margin-top:21.356855pt;width:65.850pt;height:12pt;mso-position-horizontal-relative:page;mso-position-vertical-relative:page;z-index:-16293888" type="#_x0000_t202" id="docshape1" filled="false" stroked="false">
              <v:textbox inset="0,0,0,0">
                <w:txbxContent>
                  <w:p>
                    <w:pPr>
                      <w:pStyle w:val="BodyText"/>
                      <w:spacing w:before="12"/>
                      <w:ind w:left="20"/>
                    </w:pPr>
                    <w:r>
                      <w:rPr>
                        <w:color w:val="0000FF"/>
                        <w:u w:val="single" w:color="0000FF"/>
                      </w:rPr>
                      <w:t>Table</w:t>
                    </w:r>
                    <w:r>
                      <w:rPr>
                        <w:color w:val="0000FF"/>
                        <w:spacing w:val="-8"/>
                        <w:u w:val="single" w:color="0000FF"/>
                      </w:rPr>
                      <w:t> </w:t>
                    </w:r>
                    <w:r>
                      <w:rPr>
                        <w:color w:val="0000FF"/>
                        <w:u w:val="single" w:color="0000FF"/>
                      </w:rPr>
                      <w:t>of</w:t>
                    </w:r>
                    <w:r>
                      <w:rPr>
                        <w:color w:val="0000FF"/>
                        <w:spacing w:val="-7"/>
                        <w:u w:val="single" w:color="0000FF"/>
                      </w:rPr>
                      <w:t> </w:t>
                    </w:r>
                    <w:r>
                      <w:rPr>
                        <w:color w:val="0000FF"/>
                        <w:spacing w:val="-2"/>
                        <w:u w:val="single" w:color="0000FF"/>
                      </w:rPr>
                      <w:t>Contents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28" w:hanging="324"/>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733" w:hanging="324"/>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1937" w:hanging="324"/>
      </w:pPr>
      <w:rPr>
        <w:rFonts w:hint="default"/>
        <w:lang w:val="en-US" w:eastAsia="en-US" w:bidi="ar-SA"/>
      </w:rPr>
    </w:lvl>
    <w:lvl w:ilvl="3">
      <w:start w:val="0"/>
      <w:numFmt w:val="bullet"/>
      <w:lvlText w:val="•"/>
      <w:lvlJc w:val="left"/>
      <w:pPr>
        <w:ind w:left="3135" w:hanging="324"/>
      </w:pPr>
      <w:rPr>
        <w:rFonts w:hint="default"/>
        <w:lang w:val="en-US" w:eastAsia="en-US" w:bidi="ar-SA"/>
      </w:rPr>
    </w:lvl>
    <w:lvl w:ilvl="4">
      <w:start w:val="0"/>
      <w:numFmt w:val="bullet"/>
      <w:lvlText w:val="•"/>
      <w:lvlJc w:val="left"/>
      <w:pPr>
        <w:ind w:left="4333" w:hanging="324"/>
      </w:pPr>
      <w:rPr>
        <w:rFonts w:hint="default"/>
        <w:lang w:val="en-US" w:eastAsia="en-US" w:bidi="ar-SA"/>
      </w:rPr>
    </w:lvl>
    <w:lvl w:ilvl="5">
      <w:start w:val="0"/>
      <w:numFmt w:val="bullet"/>
      <w:lvlText w:val="•"/>
      <w:lvlJc w:val="left"/>
      <w:pPr>
        <w:ind w:left="5531" w:hanging="324"/>
      </w:pPr>
      <w:rPr>
        <w:rFonts w:hint="default"/>
        <w:lang w:val="en-US" w:eastAsia="en-US" w:bidi="ar-SA"/>
      </w:rPr>
    </w:lvl>
    <w:lvl w:ilvl="6">
      <w:start w:val="0"/>
      <w:numFmt w:val="bullet"/>
      <w:lvlText w:val="•"/>
      <w:lvlJc w:val="left"/>
      <w:pPr>
        <w:ind w:left="6728" w:hanging="324"/>
      </w:pPr>
      <w:rPr>
        <w:rFonts w:hint="default"/>
        <w:lang w:val="en-US" w:eastAsia="en-US" w:bidi="ar-SA"/>
      </w:rPr>
    </w:lvl>
    <w:lvl w:ilvl="7">
      <w:start w:val="0"/>
      <w:numFmt w:val="bullet"/>
      <w:lvlText w:val="•"/>
      <w:lvlJc w:val="left"/>
      <w:pPr>
        <w:ind w:left="7926" w:hanging="324"/>
      </w:pPr>
      <w:rPr>
        <w:rFonts w:hint="default"/>
        <w:lang w:val="en-US" w:eastAsia="en-US" w:bidi="ar-SA"/>
      </w:rPr>
    </w:lvl>
    <w:lvl w:ilvl="8">
      <w:start w:val="0"/>
      <w:numFmt w:val="bullet"/>
      <w:lvlText w:val="•"/>
      <w:lvlJc w:val="left"/>
      <w:pPr>
        <w:ind w:left="9124" w:hanging="324"/>
      </w:pPr>
      <w:rPr>
        <w:rFonts w:hint="default"/>
        <w:lang w:val="en-US" w:eastAsia="en-US" w:bidi="ar-SA"/>
      </w:rPr>
    </w:lvl>
  </w:abstractNum>
  <w:abstractNum w:abstractNumId="0">
    <w:multiLevelType w:val="hybridMultilevel"/>
    <w:lvl w:ilvl="0">
      <w:start w:val="1"/>
      <w:numFmt w:val="decimal"/>
      <w:lvlText w:val="(%1)"/>
      <w:lvlJc w:val="left"/>
      <w:pPr>
        <w:ind w:left="328" w:hanging="324"/>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1440" w:hanging="324"/>
      </w:pPr>
      <w:rPr>
        <w:rFonts w:hint="default"/>
        <w:lang w:val="en-US" w:eastAsia="en-US" w:bidi="ar-SA"/>
      </w:rPr>
    </w:lvl>
    <w:lvl w:ilvl="2">
      <w:start w:val="0"/>
      <w:numFmt w:val="bullet"/>
      <w:lvlText w:val="•"/>
      <w:lvlJc w:val="left"/>
      <w:pPr>
        <w:ind w:left="2560" w:hanging="324"/>
      </w:pPr>
      <w:rPr>
        <w:rFonts w:hint="default"/>
        <w:lang w:val="en-US" w:eastAsia="en-US" w:bidi="ar-SA"/>
      </w:rPr>
    </w:lvl>
    <w:lvl w:ilvl="3">
      <w:start w:val="0"/>
      <w:numFmt w:val="bullet"/>
      <w:lvlText w:val="•"/>
      <w:lvlJc w:val="left"/>
      <w:pPr>
        <w:ind w:left="3680" w:hanging="324"/>
      </w:pPr>
      <w:rPr>
        <w:rFonts w:hint="default"/>
        <w:lang w:val="en-US" w:eastAsia="en-US" w:bidi="ar-SA"/>
      </w:rPr>
    </w:lvl>
    <w:lvl w:ilvl="4">
      <w:start w:val="0"/>
      <w:numFmt w:val="bullet"/>
      <w:lvlText w:val="•"/>
      <w:lvlJc w:val="left"/>
      <w:pPr>
        <w:ind w:left="4800" w:hanging="324"/>
      </w:pPr>
      <w:rPr>
        <w:rFonts w:hint="default"/>
        <w:lang w:val="en-US" w:eastAsia="en-US" w:bidi="ar-SA"/>
      </w:rPr>
    </w:lvl>
    <w:lvl w:ilvl="5">
      <w:start w:val="0"/>
      <w:numFmt w:val="bullet"/>
      <w:lvlText w:val="•"/>
      <w:lvlJc w:val="left"/>
      <w:pPr>
        <w:ind w:left="5920" w:hanging="324"/>
      </w:pPr>
      <w:rPr>
        <w:rFonts w:hint="default"/>
        <w:lang w:val="en-US" w:eastAsia="en-US" w:bidi="ar-SA"/>
      </w:rPr>
    </w:lvl>
    <w:lvl w:ilvl="6">
      <w:start w:val="0"/>
      <w:numFmt w:val="bullet"/>
      <w:lvlText w:val="•"/>
      <w:lvlJc w:val="left"/>
      <w:pPr>
        <w:ind w:left="7040" w:hanging="324"/>
      </w:pPr>
      <w:rPr>
        <w:rFonts w:hint="default"/>
        <w:lang w:val="en-US" w:eastAsia="en-US" w:bidi="ar-SA"/>
      </w:rPr>
    </w:lvl>
    <w:lvl w:ilvl="7">
      <w:start w:val="0"/>
      <w:numFmt w:val="bullet"/>
      <w:lvlText w:val="•"/>
      <w:lvlJc w:val="left"/>
      <w:pPr>
        <w:ind w:left="8160" w:hanging="324"/>
      </w:pPr>
      <w:rPr>
        <w:rFonts w:hint="default"/>
        <w:lang w:val="en-US" w:eastAsia="en-US" w:bidi="ar-SA"/>
      </w:rPr>
    </w:lvl>
    <w:lvl w:ilvl="8">
      <w:start w:val="0"/>
      <w:numFmt w:val="bullet"/>
      <w:lvlText w:val="•"/>
      <w:lvlJc w:val="left"/>
      <w:pPr>
        <w:ind w:left="9280" w:hanging="324"/>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18"/>
      <w:szCs w:val="18"/>
      <w:lang w:val="en-US" w:eastAsia="en-US" w:bidi="ar-SA"/>
    </w:rPr>
  </w:style>
  <w:style w:styleId="Heading2" w:type="paragraph">
    <w:name w:val="Heading 2"/>
    <w:basedOn w:val="Normal"/>
    <w:uiPriority w:val="1"/>
    <w:qFormat/>
    <w:pPr>
      <w:ind w:left="206"/>
      <w:outlineLvl w:val="2"/>
    </w:pPr>
    <w:rPr>
      <w:rFonts w:ascii="Times New Roman" w:hAnsi="Times New Roman" w:eastAsia="Times New Roman" w:cs="Times New Roman"/>
      <w:b/>
      <w:bCs/>
      <w:i/>
      <w:iCs/>
      <w:sz w:val="18"/>
      <w:szCs w:val="18"/>
      <w:lang w:val="en-US" w:eastAsia="en-US" w:bidi="ar-SA"/>
    </w:rPr>
  </w:style>
  <w:style w:styleId="ListParagraph" w:type="paragraph">
    <w:name w:val="List Paragraph"/>
    <w:basedOn w:val="Normal"/>
    <w:uiPriority w:val="1"/>
    <w:qFormat/>
    <w:pPr>
      <w:spacing w:before="1"/>
      <w:ind w:left="328" w:hanging="32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2025-12-21T14:19:03Z</dcterms:created>
  <dcterms:modified xsi:type="dcterms:W3CDTF">2025-12-21T14:19:03Z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LastSaved">
    <vt:filetime>2025-12-21T00:00:00Z</vt:filetime>
  </property>
  <property fmtid="{D5CDD505-2E9C-101B-9397-08002B2CF9AE}" pid="4" name="Producer">
    <vt:lpwstr>iLovePDF</vt:lpwstr>
  </property>
</Properties>
</file>