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Paper brief for the team</w:t>
      </w:r>
    </w:p>
    <w:p>
      <w:pPr>
        <w:spacing w:after="120"/>
      </w:pPr>
      <w:r>
        <w:rPr>
          <w:b/>
          <w:bCs/>
        </w:rPr>
        <w:t xml:space="preserve">Working title: </w:t>
      </w:r>
      <w:r>
        <w:rPr>
          <w:b w:val="false"/>
          <w:bCs w:val="false"/>
        </w:rPr>
        <w:t xml:space="preserve">Validation design and sampling distance control the reported accuracy of soil nutrient prediction from Soil Health Card monitoring data in Maharashtra, India</w:t>
      </w:r>
    </w:p>
    <w:p>
      <w:pPr>
        <w:spacing w:after="120"/>
      </w:pPr>
      <w:r>
        <w:rPr>
          <w:b/>
          <w:bCs/>
        </w:rPr>
        <w:t xml:space="preserve">Target journal: </w:t>
      </w:r>
      <w:r>
        <w:rPr>
          <w:b w:val="false"/>
          <w:bCs w:val="false"/>
        </w:rPr>
        <w:t xml:space="preserve">Environmental Monitoring and Assessment (Springer) — https://link.springer.com/journal/10661 (up to 9,000 words; abstract up to 350 words).</w:t>
      </w:r>
    </w:p>
    <w:p>
      <w:pPr>
        <w:spacing w:after="120"/>
      </w:pPr>
      <w:r>
        <w:rPr>
          <w:b/>
          <w:bCs/>
        </w:rPr>
        <w:t xml:space="preserve">Submission target: </w:t>
      </w:r>
      <w:r>
        <w:rPr>
          <w:b w:val="false"/>
          <w:bCs w:val="false"/>
        </w:rPr>
        <w:t xml:space="preserve">19 October 2026.</w:t>
      </w:r>
    </w:p>
    <w:p>
      <w:pPr>
        <w:spacing w:after="120"/>
      </w:pPr>
      <w:r>
        <w:rPr>
          <w:b/>
          <w:bCs/>
        </w:rPr>
        <w:t xml:space="preserve">Detailed guide: </w:t>
      </w:r>
      <w:r>
        <w:rPr>
          <w:b w:val="false"/>
          <w:bCs w:val="false"/>
        </w:rPr>
        <w:t xml:space="preserve">Start/TEAM_SHARE/MANUSCRIPT_HANDOVER.md in our GitHub repository (EXP_PAS_DOCS). This brief is the overview; the handover has every number, wording rule and citation.</w:t>
      </w:r>
    </w:p>
    <w:p>
      <w:pPr>
        <w:pStyle w:val="Heading1"/>
      </w:pPr>
      <w:r>
        <w:t xml:space="preserve">1. What the paper is about</w:t>
      </w:r>
    </w:p>
    <w:p>
      <w:pPr>
        <w:spacing w:after="120"/>
      </w:pPr>
      <w:r>
        <w:t xml:space="preserve">Machine-learning studies on Soil Health Card (SHC) data usually report accuracy from a random train–test split. In a random split, most test samples have a lab-tested training sample right next to them, so the reported accuracy mainly measures prediction close to already-sampled sites.</w:t>
      </w:r>
    </w:p>
    <w:p>
      <w:pPr>
        <w:spacing w:after="120"/>
      </w:pPr>
      <w:r>
        <w:t xml:space="preserve">We take one base model (LightGBM), first evaluate it with the usual random 70/30 split, and then evaluate the same model with spatial block cross-validation at 10, 25, 50 and 100 km. We show how much accuracy remains as test samples move away from training samples, how this differs between regions, that the drop is the same for five algorithms, and which inputs drive the predictions.</w:t>
      </w:r>
    </w:p>
    <w:p>
      <w:pPr>
        <w:spacing w:after="120"/>
      </w:pPr>
      <w:r>
        <w:t xml:space="preserve">Focus of the paper: validation design, geographic separation, regional differences and predictor contributions. It is not a paper about data-quality problems.</w:t>
      </w:r>
    </w:p>
    <w:p>
      <w:pPr>
        <w:pStyle w:val="Heading1"/>
      </w:pPr>
      <w:r>
        <w:t xml:space="preserve">2.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26"/>
        <w:gridCol w:w="3000"/>
      </w:tblGrid>
      <w:tr>
        <w:trPr>
          <w:tblHeader/>
        </w:trPr>
        <w:tc>
          <w:tcPr>
            <w:tcW w:type="dxa" w:w="6026"/>
            <w:tcBorders>
              <w:top w:val="single" w:color="BFBFBF" w:sz="4"/>
              <w:left w:val="single" w:color="BFBFBF" w:sz="4"/>
              <w:bottom w:val="single" w:color="BFBFBF" w:sz="4"/>
              <w:right w:val="single" w:color="BFBFBF" w:sz="4"/>
            </w:tcBorders>
            <w:shd w:fill="DCE6F2" w:val="clear"/>
            <w:tcMar>
              <w:top w:type="dxa" w:w="50"/>
              <w:left w:type="dxa" w:w="90"/>
              <w:bottom w:type="dxa" w:w="50"/>
              <w:right w:type="dxa" w:w="90"/>
            </w:tcMar>
          </w:tcPr>
          <w:p>
            <w:pPr>
              <w:jc w:val="left"/>
            </w:pPr>
            <w:r>
              <w:rPr>
                <w:b/>
                <w:bCs/>
                <w:sz w:val="19"/>
                <w:szCs w:val="19"/>
              </w:rPr>
              <w:t xml:space="preserve">Stage</w:t>
            </w:r>
          </w:p>
        </w:tc>
        <w:tc>
          <w:tcPr>
            <w:tcW w:type="dxa" w:w="3000"/>
            <w:tcBorders>
              <w:top w:val="single" w:color="BFBFBF" w:sz="4"/>
              <w:left w:val="single" w:color="BFBFBF" w:sz="4"/>
              <w:bottom w:val="single" w:color="BFBFBF" w:sz="4"/>
              <w:right w:val="single" w:color="BFBFBF" w:sz="4"/>
            </w:tcBorders>
            <w:shd w:fill="DCE6F2" w:val="clear"/>
            <w:tcMar>
              <w:top w:type="dxa" w:w="50"/>
              <w:left w:type="dxa" w:w="90"/>
              <w:bottom w:type="dxa" w:w="50"/>
              <w:right w:type="dxa" w:w="90"/>
            </w:tcMar>
          </w:tcPr>
          <w:p>
            <w:pPr>
              <w:jc w:val="center"/>
            </w:pPr>
            <w:r>
              <w:rPr>
                <w:b/>
                <w:bCs/>
                <w:sz w:val="19"/>
                <w:szCs w:val="19"/>
              </w:rPr>
              <w:t xml:space="preserve">Records</w:t>
            </w:r>
          </w:p>
        </w:tc>
      </w:tr>
      <w:tr>
        <w:tc>
          <w:tcPr>
            <w:tcW w:type="dxa" w:w="60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All-India SHC records (SLUSI)</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5,182,371</w:t>
            </w:r>
          </w:p>
        </w:tc>
      </w:tr>
      <w:tr>
        <w:tc>
          <w:tcPr>
            <w:tcW w:type="dxa" w:w="60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Maharashtra</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355,562</w:t>
            </w:r>
          </w:p>
        </w:tc>
      </w:tr>
      <w:tr>
        <w:tc>
          <w:tcPr>
            <w:tcW w:type="dxa" w:w="60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Single record at its GPS point, valid date, numeric N/P/K</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119,814</w:t>
            </w:r>
          </w:p>
        </w:tc>
      </w:tr>
      <w:tr>
        <w:tc>
          <w:tcPr>
            <w:tcW w:type="dxa" w:w="60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Sampled January–June</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91,818</w:t>
            </w:r>
          </w:p>
        </w:tc>
      </w:tr>
      <w:tr>
        <w:tc>
          <w:tcPr>
            <w:tcW w:type="dxa" w:w="60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Sentinel-2 scene within ±3 days (sample–scene pairs)</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151,831</w:t>
            </w:r>
          </w:p>
        </w:tc>
      </w:tr>
      <w:tr>
        <w:tc>
          <w:tcPr>
            <w:tcW w:type="dxa" w:w="60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All 9 pixels of the 3×3 window bare soil (SCL = 5)</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36,005</w:t>
            </w:r>
          </w:p>
        </w:tc>
      </w:tr>
      <w:tr>
        <w:tc>
          <w:tcPr>
            <w:tcW w:type="dxa" w:w="60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Laboratory values within limits</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34,578</w:t>
            </w:r>
          </w:p>
        </w:tc>
      </w:tr>
      <w:tr>
        <w:tc>
          <w:tcPr>
            <w:tcW w:type="dxa" w:w="60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Reflectance within 0–1</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33,877</w:t>
            </w:r>
          </w:p>
        </w:tc>
      </w:tr>
      <w:tr>
        <w:tc>
          <w:tcPr>
            <w:tcW w:type="dxa" w:w="6026"/>
            <w:tcBorders>
              <w:top w:val="single" w:color="BFBFBF" w:sz="4"/>
              <w:left w:val="single" w:color="BFBFBF" w:sz="4"/>
              <w:bottom w:val="single" w:color="BFBFBF" w:sz="4"/>
              <w:right w:val="single" w:color="BFBFBF" w:sz="4"/>
            </w:tcBorders>
            <w:shd w:fill="EEF3FA" w:val="clear"/>
            <w:tcMar>
              <w:top w:type="dxa" w:w="50"/>
              <w:left w:type="dxa" w:w="90"/>
              <w:bottom w:type="dxa" w:w="50"/>
              <w:right w:type="dxa" w:w="90"/>
            </w:tcMar>
          </w:tcPr>
          <w:p>
            <w:pPr>
              <w:jc w:val="left"/>
            </w:pPr>
            <w:r>
              <w:rPr>
                <w:b/>
                <w:bCs/>
                <w:sz w:val="19"/>
                <w:szCs w:val="19"/>
              </w:rPr>
              <w:t xml:space="preserve">Raigad district excluded → final data</w:t>
            </w:r>
          </w:p>
        </w:tc>
        <w:tc>
          <w:tcPr>
            <w:tcW w:type="dxa" w:w="3000"/>
            <w:tcBorders>
              <w:top w:val="single" w:color="BFBFBF" w:sz="4"/>
              <w:left w:val="single" w:color="BFBFBF" w:sz="4"/>
              <w:bottom w:val="single" w:color="BFBFBF" w:sz="4"/>
              <w:right w:val="single" w:color="BFBFBF" w:sz="4"/>
            </w:tcBorders>
            <w:shd w:fill="EEF3FA" w:val="clear"/>
            <w:tcMar>
              <w:top w:type="dxa" w:w="50"/>
              <w:left w:type="dxa" w:w="90"/>
              <w:bottom w:type="dxa" w:w="50"/>
              <w:right w:type="dxa" w:w="90"/>
            </w:tcMar>
          </w:tcPr>
          <w:p>
            <w:pPr>
              <w:jc w:val="center"/>
            </w:pPr>
            <w:r>
              <w:rPr>
                <w:b w:val="false"/>
                <w:bCs w:val="false"/>
                <w:sz w:val="19"/>
                <w:szCs w:val="19"/>
              </w:rPr>
              <w:t xml:space="preserve">32,096</w:t>
            </w:r>
          </w:p>
        </w:tc>
      </w:tr>
    </w:tbl>
    <w:p>
      <w:pPr>
        <w:spacing w:after="100"/>
      </w:pPr>
    </w:p>
    <w:p>
      <w:pPr>
        <w:pStyle w:val="ListParagraph"/>
        <w:numPr>
          <w:ilvl w:val="0"/>
          <w:numId w:val="2"/>
        </w:numPr>
        <w:spacing w:after="60"/>
      </w:pPr>
      <w:r>
        <w:t xml:space="preserve">Samples from 1 January to 31 May 2024. Regions: Vidarbha 7,236; Marathwada 9,293; North Maharashtra 9,738; Western Maharashtra 4,329; Konkan 1,500.</w:t>
      </w:r>
    </w:p>
    <w:p>
      <w:pPr>
        <w:pStyle w:val="ListParagraph"/>
        <w:numPr>
          <w:ilvl w:val="0"/>
          <w:numId w:val="2"/>
        </w:numPr>
        <w:spacing w:after="60"/>
      </w:pPr>
      <w:r>
        <w:t xml:space="preserve">Targets: available N, P, K (kg/ha) and organic carbon (%), SHC laboratory values.</w:t>
      </w:r>
    </w:p>
    <w:p>
      <w:pPr>
        <w:pStyle w:val="ListParagraph"/>
        <w:numPr>
          <w:ilvl w:val="0"/>
          <w:numId w:val="2"/>
        </w:numPr>
        <w:spacing w:after="60"/>
      </w:pPr>
      <w:r>
        <w:t xml:space="preserve">Source: SLUSI Soil Health Card data, republished by the Datameet community (GitHub ramSeraph/indian_land_features, release 'soil-health', licence CC0 1.0). Credit SLUSI and Datameet.</w:t>
      </w:r>
    </w:p>
    <w:p>
      <w:pPr>
        <w:pStyle w:val="ListParagraph"/>
        <w:numPr>
          <w:ilvl w:val="0"/>
          <w:numId w:val="2"/>
        </w:numPr>
        <w:spacing w:after="60"/>
      </w:pPr>
      <w:r>
        <w:t xml:space="preserve">Raigad: excluded because half of its samples report N above 850 kg/ha (median 872 vs 301 in neighbouring Ratnagiri). Write that this suggests a district-level offset; it is not proven.</w:t>
      </w:r>
    </w:p>
    <w:p>
      <w:pPr>
        <w:pStyle w:val="Heading1"/>
      </w:pPr>
      <w:r>
        <w:t xml:space="preserve">3. Inputs (39 + 4)</w:t>
      </w:r>
    </w:p>
    <w:p>
      <w:pPr>
        <w:pStyle w:val="ListParagraph"/>
        <w:numPr>
          <w:ilvl w:val="0"/>
          <w:numId w:val="2"/>
        </w:numPr>
        <w:spacing w:after="60"/>
      </w:pPr>
      <w:r>
        <w:t xml:space="preserve">Sentinel-2: 12 bands and 16 spectral indices (3×3 window, image within ±3 days).</w:t>
      </w:r>
    </w:p>
    <w:p>
      <w:pPr>
        <w:pStyle w:val="ListParagraph"/>
        <w:numPr>
          <w:ilvl w:val="0"/>
          <w:numId w:val="2"/>
        </w:numPr>
        <w:spacing w:after="60"/>
      </w:pPr>
      <w:r>
        <w:t xml:space="preserve">pH and EC from the SHC laboratory analyses.</w:t>
      </w:r>
    </w:p>
    <w:p>
      <w:pPr>
        <w:pStyle w:val="ListParagraph"/>
        <w:numPr>
          <w:ilvl w:val="0"/>
          <w:numId w:val="2"/>
        </w:numPr>
        <w:spacing w:after="60"/>
      </w:pPr>
      <w:r>
        <w:t xml:space="preserve">Elevation (Copernicus DEM) and six climate variables (TerraClimate), extracted at 17,620 de-duplicated locations and assigned to each sample from the nearest one (median 3 m; 4.2 % of samples more than 1 km away). Do not write that every value was extracted at the sample's own point.</w:t>
      </w:r>
    </w:p>
    <w:p>
      <w:pPr>
        <w:pStyle w:val="ListParagraph"/>
        <w:numPr>
          <w:ilvl w:val="0"/>
          <w:numId w:val="2"/>
        </w:numPr>
        <w:spacing w:after="60"/>
      </w:pPr>
      <w:r>
        <w:t xml:space="preserve">Longitude and latitude.</w:t>
      </w:r>
    </w:p>
    <w:p>
      <w:pPr>
        <w:pStyle w:val="ListParagraph"/>
        <w:numPr>
          <w:ilvl w:val="0"/>
          <w:numId w:val="2"/>
        </w:numPr>
        <w:spacing w:after="60"/>
      </w:pPr>
      <w:r>
        <w:t xml:space="preserve">Four local reference sample (LRS) features from the 10 nearest training samples: weighted mean, nearest value, nearest distance, spread. Computed from training samples only; a sample never uses itself; test labels never enter.</w:t>
      </w:r>
    </w:p>
    <w:p>
      <w:pPr>
        <w:pStyle w:val="Heading1"/>
      </w:pPr>
      <w:r>
        <w:t xml:space="preserve">4. Model and validation</w:t>
      </w:r>
    </w:p>
    <w:p>
      <w:pPr>
        <w:pStyle w:val="ListParagraph"/>
        <w:numPr>
          <w:ilvl w:val="0"/>
          <w:numId w:val="2"/>
        </w:numPr>
        <w:spacing w:after="60"/>
      </w:pPr>
      <w:r>
        <w:t xml:space="preserve">Base model: LightGBM (400 trees, learning rate 0.05, 15 leaves; fixed, not tuned). Target log(1 + y); all metrics on the original scale.</w:t>
      </w:r>
    </w:p>
    <w:p>
      <w:pPr>
        <w:pStyle w:val="ListParagraph"/>
        <w:numPr>
          <w:ilvl w:val="0"/>
          <w:numId w:val="2"/>
        </w:numPr>
        <w:spacing w:after="60"/>
      </w:pPr>
      <w:r>
        <w:t xml:space="preserve">Random 70/30 split, and spatial block cross-validation: square blocks of 10, 25, 50 or 100 km, randomly assigned to 5 folds, no buffer. Because there is no buffer, block size is not a guaranteed distance — we report the measured distances.</w:t>
      </w:r>
    </w:p>
    <w:p>
      <w:pPr>
        <w:pStyle w:val="ListParagraph"/>
        <w:numPr>
          <w:ilvl w:val="0"/>
          <w:numId w:val="2"/>
        </w:numPr>
        <w:spacing w:after="60"/>
      </w:pPr>
      <w:r>
        <w:t xml:space="preserve">Statewide model and one model per region. The headline is repeated with 5 seeds (mean ± SD); everything else is a single run (seed 42).</w:t>
      </w:r>
    </w:p>
    <w:p>
      <w:pPr>
        <w:pStyle w:val="ListParagraph"/>
        <w:numPr>
          <w:ilvl w:val="0"/>
          <w:numId w:val="2"/>
        </w:numPr>
        <w:spacing w:after="60"/>
      </w:pPr>
      <w:r>
        <w:t xml:space="preserve">Comparison models: ridge regression, k-nearest neighbours, multilayer perceptron, random forest.</w:t>
      </w:r>
    </w:p>
    <w:p>
      <w:pPr>
        <w:pStyle w:val="ListParagraph"/>
        <w:numPr>
          <w:ilvl w:val="0"/>
          <w:numId w:val="2"/>
        </w:numPr>
        <w:spacing w:after="60"/>
      </w:pPr>
      <w:r>
        <w:t xml:space="preserve">Importance: SHAP on test data, and input ablation (retraining without input groups).</w:t>
      </w:r>
    </w:p>
    <w:p>
      <w:pPr>
        <w:pStyle w:val="ListParagraph"/>
        <w:numPr>
          <w:ilvl w:val="0"/>
          <w:numId w:val="2"/>
        </w:numPr>
        <w:spacing w:after="60"/>
      </w:pPr>
      <w:r>
        <w:t xml:space="preserve">Reproducibility: a standalone script reproduces every result file exactly (difference 0).</w:t>
      </w:r>
    </w:p>
    <w:p>
      <w:pPr>
        <w:pStyle w:val="Heading1"/>
      </w:pPr>
      <w:r>
        <w:t xml:space="preserve">5. Key results</w:t>
      </w:r>
    </w:p>
    <w:p>
      <w:pPr>
        <w:pStyle w:val="Heading2"/>
      </w:pPr>
      <w:r>
        <w:t xml:space="preserve">Headline (statewide LightGBM, mean ± SD of 5 runs)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26"/>
        <w:gridCol w:w="1550"/>
        <w:gridCol w:w="1550"/>
        <w:gridCol w:w="1550"/>
        <w:gridCol w:w="1550"/>
      </w:tblGrid>
      <w:tr>
        <w:trPr>
          <w:tblHeader/>
        </w:trPr>
        <w:tc>
          <w:tcPr>
            <w:tcW w:type="dxa" w:w="2826"/>
            <w:tcBorders>
              <w:top w:val="single" w:color="BFBFBF" w:sz="4"/>
              <w:left w:val="single" w:color="BFBFBF" w:sz="4"/>
              <w:bottom w:val="single" w:color="BFBFBF" w:sz="4"/>
              <w:right w:val="single" w:color="BFBFBF" w:sz="4"/>
            </w:tcBorders>
            <w:shd w:fill="DCE6F2" w:val="clear"/>
            <w:tcMar>
              <w:top w:type="dxa" w:w="50"/>
              <w:left w:type="dxa" w:w="90"/>
              <w:bottom w:type="dxa" w:w="50"/>
              <w:right w:type="dxa" w:w="90"/>
            </w:tcMar>
          </w:tcPr>
          <w:p>
            <w:pPr>
              <w:jc w:val="left"/>
            </w:pPr>
            <w:r>
              <w:rPr>
                <w:b/>
                <w:bCs/>
                <w:sz w:val="19"/>
                <w:szCs w:val="19"/>
              </w:rPr>
              <w:t xml:space="preserve"/>
            </w:r>
          </w:p>
        </w:tc>
        <w:tc>
          <w:tcPr>
            <w:tcW w:type="dxa" w:w="1550"/>
            <w:tcBorders>
              <w:top w:val="single" w:color="BFBFBF" w:sz="4"/>
              <w:left w:val="single" w:color="BFBFBF" w:sz="4"/>
              <w:bottom w:val="single" w:color="BFBFBF" w:sz="4"/>
              <w:right w:val="single" w:color="BFBFBF" w:sz="4"/>
            </w:tcBorders>
            <w:shd w:fill="DCE6F2" w:val="clear"/>
            <w:tcMar>
              <w:top w:type="dxa" w:w="50"/>
              <w:left w:type="dxa" w:w="90"/>
              <w:bottom w:type="dxa" w:w="50"/>
              <w:right w:type="dxa" w:w="90"/>
            </w:tcMar>
          </w:tcPr>
          <w:p>
            <w:pPr>
              <w:jc w:val="center"/>
            </w:pPr>
            <w:r>
              <w:rPr>
                <w:b/>
                <w:bCs/>
                <w:sz w:val="19"/>
                <w:szCs w:val="19"/>
              </w:rPr>
              <w:t xml:space="preserve">N</w:t>
            </w:r>
          </w:p>
        </w:tc>
        <w:tc>
          <w:tcPr>
            <w:tcW w:type="dxa" w:w="1550"/>
            <w:tcBorders>
              <w:top w:val="single" w:color="BFBFBF" w:sz="4"/>
              <w:left w:val="single" w:color="BFBFBF" w:sz="4"/>
              <w:bottom w:val="single" w:color="BFBFBF" w:sz="4"/>
              <w:right w:val="single" w:color="BFBFBF" w:sz="4"/>
            </w:tcBorders>
            <w:shd w:fill="DCE6F2" w:val="clear"/>
            <w:tcMar>
              <w:top w:type="dxa" w:w="50"/>
              <w:left w:type="dxa" w:w="90"/>
              <w:bottom w:type="dxa" w:w="50"/>
              <w:right w:type="dxa" w:w="90"/>
            </w:tcMar>
          </w:tcPr>
          <w:p>
            <w:pPr>
              <w:jc w:val="center"/>
            </w:pPr>
            <w:r>
              <w:rPr>
                <w:b/>
                <w:bCs/>
                <w:sz w:val="19"/>
                <w:szCs w:val="19"/>
              </w:rPr>
              <w:t xml:space="preserve">P</w:t>
            </w:r>
          </w:p>
        </w:tc>
        <w:tc>
          <w:tcPr>
            <w:tcW w:type="dxa" w:w="1550"/>
            <w:tcBorders>
              <w:top w:val="single" w:color="BFBFBF" w:sz="4"/>
              <w:left w:val="single" w:color="BFBFBF" w:sz="4"/>
              <w:bottom w:val="single" w:color="BFBFBF" w:sz="4"/>
              <w:right w:val="single" w:color="BFBFBF" w:sz="4"/>
            </w:tcBorders>
            <w:shd w:fill="DCE6F2" w:val="clear"/>
            <w:tcMar>
              <w:top w:type="dxa" w:w="50"/>
              <w:left w:type="dxa" w:w="90"/>
              <w:bottom w:type="dxa" w:w="50"/>
              <w:right w:type="dxa" w:w="90"/>
            </w:tcMar>
          </w:tcPr>
          <w:p>
            <w:pPr>
              <w:jc w:val="center"/>
            </w:pPr>
            <w:r>
              <w:rPr>
                <w:b/>
                <w:bCs/>
                <w:sz w:val="19"/>
                <w:szCs w:val="19"/>
              </w:rPr>
              <w:t xml:space="preserve">K</w:t>
            </w:r>
          </w:p>
        </w:tc>
        <w:tc>
          <w:tcPr>
            <w:tcW w:type="dxa" w:w="1550"/>
            <w:tcBorders>
              <w:top w:val="single" w:color="BFBFBF" w:sz="4"/>
              <w:left w:val="single" w:color="BFBFBF" w:sz="4"/>
              <w:bottom w:val="single" w:color="BFBFBF" w:sz="4"/>
              <w:right w:val="single" w:color="BFBFBF" w:sz="4"/>
            </w:tcBorders>
            <w:shd w:fill="DCE6F2" w:val="clear"/>
            <w:tcMar>
              <w:top w:type="dxa" w:w="50"/>
              <w:left w:type="dxa" w:w="90"/>
              <w:bottom w:type="dxa" w:w="50"/>
              <w:right w:type="dxa" w:w="90"/>
            </w:tcMar>
          </w:tcPr>
          <w:p>
            <w:pPr>
              <w:jc w:val="center"/>
            </w:pPr>
            <w:r>
              <w:rPr>
                <w:b/>
                <w:bCs/>
                <w:sz w:val="19"/>
                <w:szCs w:val="19"/>
              </w:rPr>
              <w:t xml:space="preserve">OC</w:t>
            </w:r>
          </w:p>
        </w:tc>
      </w:tr>
      <w:tr>
        <w:tc>
          <w:tcPr>
            <w:tcW w:type="dxa" w:w="2826"/>
            <w:tcBorders>
              <w:top w:val="single" w:color="BFBFBF" w:sz="4"/>
              <w:left w:val="single" w:color="BFBFBF" w:sz="4"/>
              <w:bottom w:val="single" w:color="BFBFBF" w:sz="4"/>
              <w:right w:val="single" w:color="BFBFBF" w:sz="4"/>
            </w:tcBorders>
            <w:shd w:fill="EEF3FA" w:val="clear"/>
            <w:tcMar>
              <w:top w:type="dxa" w:w="50"/>
              <w:left w:type="dxa" w:w="90"/>
              <w:bottom w:type="dxa" w:w="50"/>
              <w:right w:type="dxa" w:w="90"/>
            </w:tcMar>
          </w:tcPr>
          <w:p>
            <w:pPr>
              <w:jc w:val="left"/>
            </w:pPr>
            <w:r>
              <w:rPr>
                <w:b/>
                <w:bCs/>
                <w:sz w:val="19"/>
                <w:szCs w:val="19"/>
              </w:rPr>
              <w:t xml:space="preserve">R², random 70/30</w:t>
            </w:r>
          </w:p>
        </w:tc>
        <w:tc>
          <w:tcPr>
            <w:tcW w:type="dxa" w:w="1550"/>
            <w:tcBorders>
              <w:top w:val="single" w:color="BFBFBF" w:sz="4"/>
              <w:left w:val="single" w:color="BFBFBF" w:sz="4"/>
              <w:bottom w:val="single" w:color="BFBFBF" w:sz="4"/>
              <w:right w:val="single" w:color="BFBFBF" w:sz="4"/>
            </w:tcBorders>
            <w:shd w:fill="EEF3FA" w:val="clear"/>
            <w:tcMar>
              <w:top w:type="dxa" w:w="50"/>
              <w:left w:type="dxa" w:w="90"/>
              <w:bottom w:type="dxa" w:w="50"/>
              <w:right w:type="dxa" w:w="90"/>
            </w:tcMar>
          </w:tcPr>
          <w:p>
            <w:pPr>
              <w:jc w:val="center"/>
            </w:pPr>
            <w:r>
              <w:rPr>
                <w:b w:val="false"/>
                <w:bCs w:val="false"/>
                <w:sz w:val="19"/>
                <w:szCs w:val="19"/>
              </w:rPr>
              <w:t xml:space="preserve">0.71 ± 0.01</w:t>
            </w:r>
          </w:p>
        </w:tc>
        <w:tc>
          <w:tcPr>
            <w:tcW w:type="dxa" w:w="1550"/>
            <w:tcBorders>
              <w:top w:val="single" w:color="BFBFBF" w:sz="4"/>
              <w:left w:val="single" w:color="BFBFBF" w:sz="4"/>
              <w:bottom w:val="single" w:color="BFBFBF" w:sz="4"/>
              <w:right w:val="single" w:color="BFBFBF" w:sz="4"/>
            </w:tcBorders>
            <w:shd w:fill="EEF3FA" w:val="clear"/>
            <w:tcMar>
              <w:top w:type="dxa" w:w="50"/>
              <w:left w:type="dxa" w:w="90"/>
              <w:bottom w:type="dxa" w:w="50"/>
              <w:right w:type="dxa" w:w="90"/>
            </w:tcMar>
          </w:tcPr>
          <w:p>
            <w:pPr>
              <w:jc w:val="center"/>
            </w:pPr>
            <w:r>
              <w:rPr>
                <w:b w:val="false"/>
                <w:bCs w:val="false"/>
                <w:sz w:val="19"/>
                <w:szCs w:val="19"/>
              </w:rPr>
              <w:t xml:space="preserve">0.62 ± 0.01</w:t>
            </w:r>
          </w:p>
        </w:tc>
        <w:tc>
          <w:tcPr>
            <w:tcW w:type="dxa" w:w="1550"/>
            <w:tcBorders>
              <w:top w:val="single" w:color="BFBFBF" w:sz="4"/>
              <w:left w:val="single" w:color="BFBFBF" w:sz="4"/>
              <w:bottom w:val="single" w:color="BFBFBF" w:sz="4"/>
              <w:right w:val="single" w:color="BFBFBF" w:sz="4"/>
            </w:tcBorders>
            <w:shd w:fill="EEF3FA" w:val="clear"/>
            <w:tcMar>
              <w:top w:type="dxa" w:w="50"/>
              <w:left w:type="dxa" w:w="90"/>
              <w:bottom w:type="dxa" w:w="50"/>
              <w:right w:type="dxa" w:w="90"/>
            </w:tcMar>
          </w:tcPr>
          <w:p>
            <w:pPr>
              <w:jc w:val="center"/>
            </w:pPr>
            <w:r>
              <w:rPr>
                <w:b w:val="false"/>
                <w:bCs w:val="false"/>
                <w:sz w:val="19"/>
                <w:szCs w:val="19"/>
              </w:rPr>
              <w:t xml:space="preserve">0.57 ± 0.01</w:t>
            </w:r>
          </w:p>
        </w:tc>
        <w:tc>
          <w:tcPr>
            <w:tcW w:type="dxa" w:w="1550"/>
            <w:tcBorders>
              <w:top w:val="single" w:color="BFBFBF" w:sz="4"/>
              <w:left w:val="single" w:color="BFBFBF" w:sz="4"/>
              <w:bottom w:val="single" w:color="BFBFBF" w:sz="4"/>
              <w:right w:val="single" w:color="BFBFBF" w:sz="4"/>
            </w:tcBorders>
            <w:shd w:fill="EEF3FA" w:val="clear"/>
            <w:tcMar>
              <w:top w:type="dxa" w:w="50"/>
              <w:left w:type="dxa" w:w="90"/>
              <w:bottom w:type="dxa" w:w="50"/>
              <w:right w:type="dxa" w:w="90"/>
            </w:tcMar>
          </w:tcPr>
          <w:p>
            <w:pPr>
              <w:jc w:val="center"/>
            </w:pPr>
            <w:r>
              <w:rPr>
                <w:b w:val="false"/>
                <w:bCs w:val="false"/>
                <w:sz w:val="19"/>
                <w:szCs w:val="19"/>
              </w:rPr>
              <w:t xml:space="preserve">0.70 ± 0.01</w:t>
            </w:r>
          </w:p>
        </w:tc>
      </w:tr>
      <w:tr>
        <w:tc>
          <w:tcPr>
            <w:tcW w:type="dxa" w:w="2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RMSE, random 70/30</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54.0</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15.2</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163.5</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0.21</w:t>
            </w:r>
          </w:p>
        </w:tc>
      </w:tr>
      <w:tr>
        <w:tc>
          <w:tcPr>
            <w:tcW w:type="dxa" w:w="2826"/>
            <w:tcBorders>
              <w:top w:val="single" w:color="BFBFBF" w:sz="4"/>
              <w:left w:val="single" w:color="BFBFBF" w:sz="4"/>
              <w:bottom w:val="single" w:color="BFBFBF" w:sz="4"/>
              <w:right w:val="single" w:color="BFBFBF" w:sz="4"/>
            </w:tcBorders>
            <w:shd w:fill="EEF3FA" w:val="clear"/>
            <w:tcMar>
              <w:top w:type="dxa" w:w="50"/>
              <w:left w:type="dxa" w:w="90"/>
              <w:bottom w:type="dxa" w:w="50"/>
              <w:right w:type="dxa" w:w="90"/>
            </w:tcMar>
          </w:tcPr>
          <w:p>
            <w:pPr>
              <w:jc w:val="left"/>
            </w:pPr>
            <w:r>
              <w:rPr>
                <w:b/>
                <w:bCs/>
                <w:sz w:val="19"/>
                <w:szCs w:val="19"/>
              </w:rPr>
              <w:t xml:space="preserve">R², spatial 10 km</w:t>
            </w:r>
          </w:p>
        </w:tc>
        <w:tc>
          <w:tcPr>
            <w:tcW w:type="dxa" w:w="1550"/>
            <w:tcBorders>
              <w:top w:val="single" w:color="BFBFBF" w:sz="4"/>
              <w:left w:val="single" w:color="BFBFBF" w:sz="4"/>
              <w:bottom w:val="single" w:color="BFBFBF" w:sz="4"/>
              <w:right w:val="single" w:color="BFBFBF" w:sz="4"/>
            </w:tcBorders>
            <w:shd w:fill="EEF3FA" w:val="clear"/>
            <w:tcMar>
              <w:top w:type="dxa" w:w="50"/>
              <w:left w:type="dxa" w:w="90"/>
              <w:bottom w:type="dxa" w:w="50"/>
              <w:right w:type="dxa" w:w="90"/>
            </w:tcMar>
          </w:tcPr>
          <w:p>
            <w:pPr>
              <w:jc w:val="center"/>
            </w:pPr>
            <w:r>
              <w:rPr>
                <w:b w:val="false"/>
                <w:bCs w:val="false"/>
                <w:sz w:val="19"/>
                <w:szCs w:val="19"/>
              </w:rPr>
              <w:t xml:space="preserve">0.39 ± 0.03</w:t>
            </w:r>
          </w:p>
        </w:tc>
        <w:tc>
          <w:tcPr>
            <w:tcW w:type="dxa" w:w="1550"/>
            <w:tcBorders>
              <w:top w:val="single" w:color="BFBFBF" w:sz="4"/>
              <w:left w:val="single" w:color="BFBFBF" w:sz="4"/>
              <w:bottom w:val="single" w:color="BFBFBF" w:sz="4"/>
              <w:right w:val="single" w:color="BFBFBF" w:sz="4"/>
            </w:tcBorders>
            <w:shd w:fill="EEF3FA" w:val="clear"/>
            <w:tcMar>
              <w:top w:type="dxa" w:w="50"/>
              <w:left w:type="dxa" w:w="90"/>
              <w:bottom w:type="dxa" w:w="50"/>
              <w:right w:type="dxa" w:w="90"/>
            </w:tcMar>
          </w:tcPr>
          <w:p>
            <w:pPr>
              <w:jc w:val="center"/>
            </w:pPr>
            <w:r>
              <w:rPr>
                <w:b w:val="false"/>
                <w:bCs w:val="false"/>
                <w:sz w:val="19"/>
                <w:szCs w:val="19"/>
              </w:rPr>
              <w:t xml:space="preserve">0.39 ± 0.01</w:t>
            </w:r>
          </w:p>
        </w:tc>
        <w:tc>
          <w:tcPr>
            <w:tcW w:type="dxa" w:w="1550"/>
            <w:tcBorders>
              <w:top w:val="single" w:color="BFBFBF" w:sz="4"/>
              <w:left w:val="single" w:color="BFBFBF" w:sz="4"/>
              <w:bottom w:val="single" w:color="BFBFBF" w:sz="4"/>
              <w:right w:val="single" w:color="BFBFBF" w:sz="4"/>
            </w:tcBorders>
            <w:shd w:fill="EEF3FA" w:val="clear"/>
            <w:tcMar>
              <w:top w:type="dxa" w:w="50"/>
              <w:left w:type="dxa" w:w="90"/>
              <w:bottom w:type="dxa" w:w="50"/>
              <w:right w:type="dxa" w:w="90"/>
            </w:tcMar>
          </w:tcPr>
          <w:p>
            <w:pPr>
              <w:jc w:val="center"/>
            </w:pPr>
            <w:r>
              <w:rPr>
                <w:b w:val="false"/>
                <w:bCs w:val="false"/>
                <w:sz w:val="19"/>
                <w:szCs w:val="19"/>
              </w:rPr>
              <w:t xml:space="preserve">0.34 ± 0.02</w:t>
            </w:r>
          </w:p>
        </w:tc>
        <w:tc>
          <w:tcPr>
            <w:tcW w:type="dxa" w:w="1550"/>
            <w:tcBorders>
              <w:top w:val="single" w:color="BFBFBF" w:sz="4"/>
              <w:left w:val="single" w:color="BFBFBF" w:sz="4"/>
              <w:bottom w:val="single" w:color="BFBFBF" w:sz="4"/>
              <w:right w:val="single" w:color="BFBFBF" w:sz="4"/>
            </w:tcBorders>
            <w:shd w:fill="EEF3FA" w:val="clear"/>
            <w:tcMar>
              <w:top w:type="dxa" w:w="50"/>
              <w:left w:type="dxa" w:w="90"/>
              <w:bottom w:type="dxa" w:w="50"/>
              <w:right w:type="dxa" w:w="90"/>
            </w:tcMar>
          </w:tcPr>
          <w:p>
            <w:pPr>
              <w:jc w:val="center"/>
            </w:pPr>
            <w:r>
              <w:rPr>
                <w:b w:val="false"/>
                <w:bCs w:val="false"/>
                <w:sz w:val="19"/>
                <w:szCs w:val="19"/>
              </w:rPr>
              <w:t xml:space="preserve">0.56 ± 0.02</w:t>
            </w:r>
          </w:p>
        </w:tc>
      </w:tr>
      <w:tr>
        <w:tc>
          <w:tcPr>
            <w:tcW w:type="dxa" w:w="2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RMSE, spatial 10 km</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76.8</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19.3</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201.8</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0.26</w:t>
            </w:r>
          </w:p>
        </w:tc>
      </w:tr>
    </w:tbl>
    <w:p>
      <w:pPr>
        <w:spacing w:after="120"/>
        <w:rPr>
          <w:sz w:val="18"/>
          <w:szCs w:val="18"/>
        </w:rPr>
      </w:pPr>
      <w:r>
        <w:rPr>
          <w:sz w:val="18"/>
          <w:szCs w:val="18"/>
        </w:rPr>
        <w:t xml:space="preserve">RMSE in kg/ha (N, P, K) and % (OC).</w:t>
      </w:r>
    </w:p>
    <w:p>
      <w:pPr>
        <w:pStyle w:val="Heading2"/>
      </w:pPr>
      <w:r>
        <w:t xml:space="preserve">R² against validation design (statewide, single run)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26"/>
        <w:gridCol w:w="1550"/>
        <w:gridCol w:w="1550"/>
        <w:gridCol w:w="1550"/>
        <w:gridCol w:w="1550"/>
      </w:tblGrid>
      <w:tr>
        <w:trPr>
          <w:tblHeader/>
        </w:trPr>
        <w:tc>
          <w:tcPr>
            <w:tcW w:type="dxa" w:w="2826"/>
            <w:tcBorders>
              <w:top w:val="single" w:color="BFBFBF" w:sz="4"/>
              <w:left w:val="single" w:color="BFBFBF" w:sz="4"/>
              <w:bottom w:val="single" w:color="BFBFBF" w:sz="4"/>
              <w:right w:val="single" w:color="BFBFBF" w:sz="4"/>
            </w:tcBorders>
            <w:shd w:fill="DCE6F2" w:val="clear"/>
            <w:tcMar>
              <w:top w:type="dxa" w:w="50"/>
              <w:left w:type="dxa" w:w="90"/>
              <w:bottom w:type="dxa" w:w="50"/>
              <w:right w:type="dxa" w:w="90"/>
            </w:tcMar>
          </w:tcPr>
          <w:p>
            <w:pPr>
              <w:jc w:val="left"/>
            </w:pPr>
            <w:r>
              <w:rPr>
                <w:b/>
                <w:bCs/>
                <w:sz w:val="19"/>
                <w:szCs w:val="19"/>
              </w:rPr>
              <w:t xml:space="preserve">Validation</w:t>
            </w:r>
          </w:p>
        </w:tc>
        <w:tc>
          <w:tcPr>
            <w:tcW w:type="dxa" w:w="1550"/>
            <w:tcBorders>
              <w:top w:val="single" w:color="BFBFBF" w:sz="4"/>
              <w:left w:val="single" w:color="BFBFBF" w:sz="4"/>
              <w:bottom w:val="single" w:color="BFBFBF" w:sz="4"/>
              <w:right w:val="single" w:color="BFBFBF" w:sz="4"/>
            </w:tcBorders>
            <w:shd w:fill="DCE6F2" w:val="clear"/>
            <w:tcMar>
              <w:top w:type="dxa" w:w="50"/>
              <w:left w:type="dxa" w:w="90"/>
              <w:bottom w:type="dxa" w:w="50"/>
              <w:right w:type="dxa" w:w="90"/>
            </w:tcMar>
          </w:tcPr>
          <w:p>
            <w:pPr>
              <w:jc w:val="center"/>
            </w:pPr>
            <w:r>
              <w:rPr>
                <w:b/>
                <w:bCs/>
                <w:sz w:val="19"/>
                <w:szCs w:val="19"/>
              </w:rPr>
              <w:t xml:space="preserve">N</w:t>
            </w:r>
          </w:p>
        </w:tc>
        <w:tc>
          <w:tcPr>
            <w:tcW w:type="dxa" w:w="1550"/>
            <w:tcBorders>
              <w:top w:val="single" w:color="BFBFBF" w:sz="4"/>
              <w:left w:val="single" w:color="BFBFBF" w:sz="4"/>
              <w:bottom w:val="single" w:color="BFBFBF" w:sz="4"/>
              <w:right w:val="single" w:color="BFBFBF" w:sz="4"/>
            </w:tcBorders>
            <w:shd w:fill="DCE6F2" w:val="clear"/>
            <w:tcMar>
              <w:top w:type="dxa" w:w="50"/>
              <w:left w:type="dxa" w:w="90"/>
              <w:bottom w:type="dxa" w:w="50"/>
              <w:right w:type="dxa" w:w="90"/>
            </w:tcMar>
          </w:tcPr>
          <w:p>
            <w:pPr>
              <w:jc w:val="center"/>
            </w:pPr>
            <w:r>
              <w:rPr>
                <w:b/>
                <w:bCs/>
                <w:sz w:val="19"/>
                <w:szCs w:val="19"/>
              </w:rPr>
              <w:t xml:space="preserve">P</w:t>
            </w:r>
          </w:p>
        </w:tc>
        <w:tc>
          <w:tcPr>
            <w:tcW w:type="dxa" w:w="1550"/>
            <w:tcBorders>
              <w:top w:val="single" w:color="BFBFBF" w:sz="4"/>
              <w:left w:val="single" w:color="BFBFBF" w:sz="4"/>
              <w:bottom w:val="single" w:color="BFBFBF" w:sz="4"/>
              <w:right w:val="single" w:color="BFBFBF" w:sz="4"/>
            </w:tcBorders>
            <w:shd w:fill="DCE6F2" w:val="clear"/>
            <w:tcMar>
              <w:top w:type="dxa" w:w="50"/>
              <w:left w:type="dxa" w:w="90"/>
              <w:bottom w:type="dxa" w:w="50"/>
              <w:right w:type="dxa" w:w="90"/>
            </w:tcMar>
          </w:tcPr>
          <w:p>
            <w:pPr>
              <w:jc w:val="center"/>
            </w:pPr>
            <w:r>
              <w:rPr>
                <w:b/>
                <w:bCs/>
                <w:sz w:val="19"/>
                <w:szCs w:val="19"/>
              </w:rPr>
              <w:t xml:space="preserve">K</w:t>
            </w:r>
          </w:p>
        </w:tc>
        <w:tc>
          <w:tcPr>
            <w:tcW w:type="dxa" w:w="1550"/>
            <w:tcBorders>
              <w:top w:val="single" w:color="BFBFBF" w:sz="4"/>
              <w:left w:val="single" w:color="BFBFBF" w:sz="4"/>
              <w:bottom w:val="single" w:color="BFBFBF" w:sz="4"/>
              <w:right w:val="single" w:color="BFBFBF" w:sz="4"/>
            </w:tcBorders>
            <w:shd w:fill="DCE6F2" w:val="clear"/>
            <w:tcMar>
              <w:top w:type="dxa" w:w="50"/>
              <w:left w:type="dxa" w:w="90"/>
              <w:bottom w:type="dxa" w:w="50"/>
              <w:right w:type="dxa" w:w="90"/>
            </w:tcMar>
          </w:tcPr>
          <w:p>
            <w:pPr>
              <w:jc w:val="center"/>
            </w:pPr>
            <w:r>
              <w:rPr>
                <w:b/>
                <w:bCs/>
                <w:sz w:val="19"/>
                <w:szCs w:val="19"/>
              </w:rPr>
              <w:t xml:space="preserve">OC</w:t>
            </w:r>
          </w:p>
        </w:tc>
      </w:tr>
      <w:tr>
        <w:tc>
          <w:tcPr>
            <w:tcW w:type="dxa" w:w="2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Random 70/30</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0.71</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0.61</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0.56</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0.70</w:t>
            </w:r>
          </w:p>
        </w:tc>
      </w:tr>
      <w:tr>
        <w:tc>
          <w:tcPr>
            <w:tcW w:type="dxa" w:w="2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Spatial 10 km</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0.39</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0.40</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0.35</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0.58</w:t>
            </w:r>
          </w:p>
        </w:tc>
      </w:tr>
      <w:tr>
        <w:tc>
          <w:tcPr>
            <w:tcW w:type="dxa" w:w="2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Spatial 25 km</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0.31</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0.37</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0.27</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0.50</w:t>
            </w:r>
          </w:p>
        </w:tc>
      </w:tr>
      <w:tr>
        <w:tc>
          <w:tcPr>
            <w:tcW w:type="dxa" w:w="2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Spatial 50 km</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0.23</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0.34</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0.21</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0.48</w:t>
            </w:r>
          </w:p>
        </w:tc>
      </w:tr>
      <w:tr>
        <w:tc>
          <w:tcPr>
            <w:tcW w:type="dxa" w:w="2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Spatial 100 km</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0.22</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0.29</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0.17</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0.33</w:t>
            </w:r>
          </w:p>
        </w:tc>
      </w:tr>
    </w:tbl>
    <w:p>
      <w:pPr>
        <w:spacing w:after="100"/>
      </w:pPr>
    </w:p>
    <w:p>
      <w:pPr>
        <w:spacing w:after="60" w:before="100"/>
        <w:jc w:val="center"/>
      </w:pPr>
      <w:r>
        <w:drawing>
          <wp:inline distT="0" distB="0" distL="0" distR="0">
            <wp:extent cx="57150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390775"/>
                    </a:xfrm>
                    <a:prstGeom prst="rect">
                      <a:avLst/>
                    </a:prstGeom>
                  </pic:spPr>
                </pic:pic>
              </a:graphicData>
            </a:graphic>
          </wp:inline>
        </w:drawing>
      </w:r>
    </w:p>
    <w:p>
      <w:pPr>
        <w:spacing w:after="200"/>
      </w:pPr>
      <w:r>
        <w:rPr>
          <w:b/>
          <w:bCs/>
          <w:sz w:val="20"/>
          <w:szCs w:val="20"/>
        </w:rPr>
        <w:t xml:space="preserve">Figure. </w:t>
      </w:r>
      <w:r>
        <w:rPr>
          <w:sz w:val="20"/>
          <w:szCs w:val="20"/>
        </w:rPr>
        <w:t xml:space="preserve">R² against validation design; statewide model (left) and mean of five regional models (right); single run (seed 42).</w:t>
      </w:r>
    </w:p>
    <w:p>
      <w:pPr>
        <w:pStyle w:val="Heading2"/>
      </w:pPr>
      <w:r>
        <w:t xml:space="preserve">How far test samples are from training samples (single run)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26"/>
        <w:gridCol w:w="1650"/>
        <w:gridCol w:w="1650"/>
        <w:gridCol w:w="1650"/>
        <w:gridCol w:w="1650"/>
      </w:tblGrid>
      <w:tr>
        <w:trPr>
          <w:tblHeader/>
        </w:trPr>
        <w:tc>
          <w:tcPr>
            <w:tcW w:type="dxa" w:w="2426"/>
            <w:tcBorders>
              <w:top w:val="single" w:color="BFBFBF" w:sz="4"/>
              <w:left w:val="single" w:color="BFBFBF" w:sz="4"/>
              <w:bottom w:val="single" w:color="BFBFBF" w:sz="4"/>
              <w:right w:val="single" w:color="BFBFBF" w:sz="4"/>
            </w:tcBorders>
            <w:shd w:fill="DCE6F2" w:val="clear"/>
            <w:tcMar>
              <w:top w:type="dxa" w:w="50"/>
              <w:left w:type="dxa" w:w="90"/>
              <w:bottom w:type="dxa" w:w="50"/>
              <w:right w:type="dxa" w:w="90"/>
            </w:tcMar>
          </w:tcPr>
          <w:p>
            <w:pPr>
              <w:jc w:val="left"/>
            </w:pPr>
            <w:r>
              <w:rPr>
                <w:b/>
                <w:bCs/>
                <w:sz w:val="19"/>
                <w:szCs w:val="19"/>
              </w:rPr>
              <w:t xml:space="preserve">Validation</w:t>
            </w:r>
          </w:p>
        </w:tc>
        <w:tc>
          <w:tcPr>
            <w:tcW w:type="dxa" w:w="1650"/>
            <w:tcBorders>
              <w:top w:val="single" w:color="BFBFBF" w:sz="4"/>
              <w:left w:val="single" w:color="BFBFBF" w:sz="4"/>
              <w:bottom w:val="single" w:color="BFBFBF" w:sz="4"/>
              <w:right w:val="single" w:color="BFBFBF" w:sz="4"/>
            </w:tcBorders>
            <w:shd w:fill="DCE6F2" w:val="clear"/>
            <w:tcMar>
              <w:top w:type="dxa" w:w="50"/>
              <w:left w:type="dxa" w:w="90"/>
              <w:bottom w:type="dxa" w:w="50"/>
              <w:right w:type="dxa" w:w="90"/>
            </w:tcMar>
          </w:tcPr>
          <w:p>
            <w:pPr>
              <w:jc w:val="center"/>
            </w:pPr>
            <w:r>
              <w:rPr>
                <w:b/>
                <w:bCs/>
                <w:sz w:val="19"/>
                <w:szCs w:val="19"/>
              </w:rPr>
              <w:t xml:space="preserve">Median distance</w:t>
            </w:r>
          </w:p>
        </w:tc>
        <w:tc>
          <w:tcPr>
            <w:tcW w:type="dxa" w:w="1650"/>
            <w:tcBorders>
              <w:top w:val="single" w:color="BFBFBF" w:sz="4"/>
              <w:left w:val="single" w:color="BFBFBF" w:sz="4"/>
              <w:bottom w:val="single" w:color="BFBFBF" w:sz="4"/>
              <w:right w:val="single" w:color="BFBFBF" w:sz="4"/>
            </w:tcBorders>
            <w:shd w:fill="DCE6F2" w:val="clear"/>
            <w:tcMar>
              <w:top w:type="dxa" w:w="50"/>
              <w:left w:type="dxa" w:w="90"/>
              <w:bottom w:type="dxa" w:w="50"/>
              <w:right w:type="dxa" w:w="90"/>
            </w:tcMar>
          </w:tcPr>
          <w:p>
            <w:pPr>
              <w:jc w:val="center"/>
            </w:pPr>
            <w:r>
              <w:rPr>
                <w:b/>
                <w:bCs/>
                <w:sz w:val="19"/>
                <w:szCs w:val="19"/>
              </w:rPr>
              <w:t xml:space="preserve">Within 30 m</w:t>
            </w:r>
          </w:p>
        </w:tc>
        <w:tc>
          <w:tcPr>
            <w:tcW w:type="dxa" w:w="1650"/>
            <w:tcBorders>
              <w:top w:val="single" w:color="BFBFBF" w:sz="4"/>
              <w:left w:val="single" w:color="BFBFBF" w:sz="4"/>
              <w:bottom w:val="single" w:color="BFBFBF" w:sz="4"/>
              <w:right w:val="single" w:color="BFBFBF" w:sz="4"/>
            </w:tcBorders>
            <w:shd w:fill="DCE6F2" w:val="clear"/>
            <w:tcMar>
              <w:top w:type="dxa" w:w="50"/>
              <w:left w:type="dxa" w:w="90"/>
              <w:bottom w:type="dxa" w:w="50"/>
              <w:right w:type="dxa" w:w="90"/>
            </w:tcMar>
          </w:tcPr>
          <w:p>
            <w:pPr>
              <w:jc w:val="center"/>
            </w:pPr>
            <w:r>
              <w:rPr>
                <w:b/>
                <w:bCs/>
                <w:sz w:val="19"/>
                <w:szCs w:val="19"/>
              </w:rPr>
              <w:t xml:space="preserve">Within 1 km</w:t>
            </w:r>
          </w:p>
        </w:tc>
        <w:tc>
          <w:tcPr>
            <w:tcW w:type="dxa" w:w="1650"/>
            <w:tcBorders>
              <w:top w:val="single" w:color="BFBFBF" w:sz="4"/>
              <w:left w:val="single" w:color="BFBFBF" w:sz="4"/>
              <w:bottom w:val="single" w:color="BFBFBF" w:sz="4"/>
              <w:right w:val="single" w:color="BFBFBF" w:sz="4"/>
            </w:tcBorders>
            <w:shd w:fill="DCE6F2" w:val="clear"/>
            <w:tcMar>
              <w:top w:type="dxa" w:w="50"/>
              <w:left w:type="dxa" w:w="90"/>
              <w:bottom w:type="dxa" w:w="50"/>
              <w:right w:type="dxa" w:w="90"/>
            </w:tcMar>
          </w:tcPr>
          <w:p>
            <w:pPr>
              <w:jc w:val="center"/>
            </w:pPr>
            <w:r>
              <w:rPr>
                <w:b/>
                <w:bCs/>
                <w:sz w:val="19"/>
                <w:szCs w:val="19"/>
              </w:rPr>
              <w:t xml:space="preserve">Within 5 km</w:t>
            </w:r>
          </w:p>
        </w:tc>
      </w:tr>
      <w:tr>
        <w:tc>
          <w:tcPr>
            <w:tcW w:type="dxa" w:w="24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Random 70/30</w:t>
            </w:r>
          </w:p>
        </w:tc>
        <w:tc>
          <w:tcPr>
            <w:tcW w:type="dxa" w:w="16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24 m</w:t>
            </w:r>
          </w:p>
        </w:tc>
        <w:tc>
          <w:tcPr>
            <w:tcW w:type="dxa" w:w="16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53.7 %</w:t>
            </w:r>
          </w:p>
        </w:tc>
        <w:tc>
          <w:tcPr>
            <w:tcW w:type="dxa" w:w="16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93.1 %</w:t>
            </w:r>
          </w:p>
        </w:tc>
        <w:tc>
          <w:tcPr>
            <w:tcW w:type="dxa" w:w="16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98.8 %</w:t>
            </w:r>
          </w:p>
        </w:tc>
      </w:tr>
      <w:tr>
        <w:tc>
          <w:tcPr>
            <w:tcW w:type="dxa" w:w="24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Spatial 10 km</w:t>
            </w:r>
          </w:p>
        </w:tc>
        <w:tc>
          <w:tcPr>
            <w:tcW w:type="dxa" w:w="16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4.7 km</w:t>
            </w:r>
          </w:p>
        </w:tc>
        <w:tc>
          <w:tcPr>
            <w:tcW w:type="dxa" w:w="16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0.3 %</w:t>
            </w:r>
          </w:p>
        </w:tc>
        <w:tc>
          <w:tcPr>
            <w:tcW w:type="dxa" w:w="16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10.2 %</w:t>
            </w:r>
          </w:p>
        </w:tc>
        <w:tc>
          <w:tcPr>
            <w:tcW w:type="dxa" w:w="16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53.7 %</w:t>
            </w:r>
          </w:p>
        </w:tc>
      </w:tr>
      <w:tr>
        <w:tc>
          <w:tcPr>
            <w:tcW w:type="dxa" w:w="24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Spatial 25 km</w:t>
            </w:r>
          </w:p>
        </w:tc>
        <w:tc>
          <w:tcPr>
            <w:tcW w:type="dxa" w:w="16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9.0 km</w:t>
            </w:r>
          </w:p>
        </w:tc>
        <w:tc>
          <w:tcPr>
            <w:tcW w:type="dxa" w:w="16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0.2 %</w:t>
            </w:r>
          </w:p>
        </w:tc>
        <w:tc>
          <w:tcPr>
            <w:tcW w:type="dxa" w:w="16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4.7 %</w:t>
            </w:r>
          </w:p>
        </w:tc>
        <w:tc>
          <w:tcPr>
            <w:tcW w:type="dxa" w:w="16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23.9 %</w:t>
            </w:r>
          </w:p>
        </w:tc>
      </w:tr>
      <w:tr>
        <w:tc>
          <w:tcPr>
            <w:tcW w:type="dxa" w:w="24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Spatial 50 km</w:t>
            </w:r>
          </w:p>
        </w:tc>
        <w:tc>
          <w:tcPr>
            <w:tcW w:type="dxa" w:w="16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14.2 km</w:t>
            </w:r>
          </w:p>
        </w:tc>
        <w:tc>
          <w:tcPr>
            <w:tcW w:type="dxa" w:w="16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0.0 %</w:t>
            </w:r>
          </w:p>
        </w:tc>
        <w:tc>
          <w:tcPr>
            <w:tcW w:type="dxa" w:w="16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1.8 %</w:t>
            </w:r>
          </w:p>
        </w:tc>
        <w:tc>
          <w:tcPr>
            <w:tcW w:type="dxa" w:w="16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11.6 %</w:t>
            </w:r>
          </w:p>
        </w:tc>
      </w:tr>
      <w:tr>
        <w:tc>
          <w:tcPr>
            <w:tcW w:type="dxa" w:w="24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Spatial 100 km</w:t>
            </w:r>
          </w:p>
        </w:tc>
        <w:tc>
          <w:tcPr>
            <w:tcW w:type="dxa" w:w="16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22.2 km</w:t>
            </w:r>
          </w:p>
        </w:tc>
        <w:tc>
          <w:tcPr>
            <w:tcW w:type="dxa" w:w="16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0.2 %</w:t>
            </w:r>
          </w:p>
        </w:tc>
        <w:tc>
          <w:tcPr>
            <w:tcW w:type="dxa" w:w="16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1.5 %</w:t>
            </w:r>
          </w:p>
        </w:tc>
        <w:tc>
          <w:tcPr>
            <w:tcW w:type="dxa" w:w="16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sz w:val="19"/>
                <w:szCs w:val="19"/>
              </w:rPr>
              <w:t xml:space="preserve">7.1 %</w:t>
            </w:r>
          </w:p>
        </w:tc>
      </w:tr>
    </w:tbl>
    <w:p>
      <w:pPr>
        <w:spacing w:after="100"/>
      </w:pPr>
    </w:p>
    <w:p>
      <w:pPr>
        <w:pStyle w:val="Heading2"/>
      </w:pPr>
      <w:r>
        <w:t xml:space="preserve">Other results (single run)</w:t>
      </w:r>
    </w:p>
    <w:p>
      <w:pPr>
        <w:pStyle w:val="ListParagraph"/>
        <w:numPr>
          <w:ilvl w:val="0"/>
          <w:numId w:val="2"/>
        </w:numPr>
        <w:spacing w:after="60"/>
      </w:pPr>
      <w:r>
        <w:rPr>
          <w:b/>
          <w:bCs/>
        </w:rPr>
        <w:t xml:space="preserve">Algorithms: </w:t>
      </w:r>
      <w:r>
        <w:t xml:space="preserve">Five algorithms all lose a similar amount from random to 10 km (N 0.31–0.35, P 0.21–0.26, K 0.21–0.24, OC 0.12–0.13). LightGBM and random forest are best and tied.</w:t>
      </w:r>
    </w:p>
    <w:p>
      <w:pPr>
        <w:pStyle w:val="ListParagraph"/>
        <w:numPr>
          <w:ilvl w:val="0"/>
          <w:numId w:val="2"/>
        </w:numPr>
        <w:spacing w:after="60"/>
      </w:pPr>
      <w:r>
        <w:rPr>
          <w:b/>
          <w:bCs/>
        </w:rPr>
        <w:t xml:space="preserve">Regions: </w:t>
      </w:r>
      <w:r>
        <w:t xml:space="preserve">With 50 km blocks, N and P keep R² of 0.30–0.53 in Marathwada and Western Maharashtra. N falls to 0.16 or below in North Maharashtra, Vidarbha and Konkan; P to 0.15 or below in Vidarbha and Konkan, while P in North Maharashtra keeps 0.31.</w:t>
      </w:r>
    </w:p>
    <w:p>
      <w:pPr>
        <w:pStyle w:val="ListParagraph"/>
        <w:numPr>
          <w:ilvl w:val="0"/>
          <w:numId w:val="2"/>
        </w:numPr>
        <w:spacing w:after="60"/>
      </w:pPr>
      <w:r>
        <w:rPr>
          <w:b/>
          <w:bCs/>
        </w:rPr>
        <w:t xml:space="preserve">Predictors: </w:t>
      </w:r>
      <w:r>
        <w:t xml:space="preserve">LRS features (≈ 63 % of SHAP) and climate (10–15 %) dominate. Without location inputs, Sentinel-2 with pH and EC explains R² 0.12–0.32 (random split). In the full model Sentinel-2 receives 11–13 % of SHAP but removing it changes R² by less than 0.02.</w:t>
      </w:r>
    </w:p>
    <w:p>
      <w:pPr>
        <w:spacing w:after="100"/>
      </w:pPr>
    </w:p>
    <w:p>
      <w:pPr>
        <w:spacing w:after="60" w:before="100"/>
        <w:jc w:val="center"/>
      </w:pPr>
      <w:r>
        <w:drawing>
          <wp:inline distT="0" distB="0" distL="0" distR="0">
            <wp:extent cx="5715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857500"/>
                    </a:xfrm>
                    <a:prstGeom prst="rect">
                      <a:avLst/>
                    </a:prstGeom>
                  </pic:spPr>
                </pic:pic>
              </a:graphicData>
            </a:graphic>
          </wp:inline>
        </w:drawing>
      </w:r>
    </w:p>
    <w:p>
      <w:pPr>
        <w:spacing w:after="200"/>
      </w:pPr>
      <w:r>
        <w:rPr>
          <w:b/>
          <w:bCs/>
          <w:sz w:val="20"/>
          <w:szCs w:val="20"/>
        </w:rPr>
        <w:t xml:space="preserve">Figure. </w:t>
      </w:r>
      <w:r>
        <w:rPr>
          <w:sz w:val="20"/>
          <w:szCs w:val="20"/>
        </w:rPr>
        <w:t xml:space="preserve">Measured vs predicted; top: random 70/30 test; bottom: spatial 10 km; single run (seed 42).</w:t>
      </w:r>
    </w:p>
    <w:p>
      <w:pPr>
        <w:pStyle w:val="Heading1"/>
      </w:pPr>
      <w:r>
        <w:t xml:space="preserve">6. Writing rules (must follow)</w:t>
      </w:r>
    </w:p>
    <w:p>
      <w:pPr>
        <w:pStyle w:val="ListParagraph"/>
        <w:numPr>
          <w:ilvl w:val="0"/>
          <w:numId w:val="3"/>
        </w:numPr>
        <w:spacing w:after="60"/>
      </w:pPr>
      <w:r>
        <w:t xml:space="preserve">Label every R² with its validation design, and say whether it is a 5-run mean or a single run.</w:t>
      </w:r>
    </w:p>
    <w:p>
      <w:pPr>
        <w:pStyle w:val="ListParagraph"/>
        <w:numPr>
          <w:ilvl w:val="0"/>
          <w:numId w:val="3"/>
        </w:numPr>
        <w:spacing w:after="60"/>
      </w:pPr>
      <w:r>
        <w:t xml:space="preserve">Say 'local reference sample (LRS) features'. Never 'interpolation', 'spatial context' or 'neighbourhood context'.</w:t>
      </w:r>
    </w:p>
    <w:p>
      <w:pPr>
        <w:pStyle w:val="ListParagraph"/>
        <w:numPr>
          <w:ilvl w:val="0"/>
          <w:numId w:val="3"/>
        </w:numPr>
        <w:spacing w:after="60"/>
      </w:pPr>
      <w:r>
        <w:t xml:space="preserve">Never 'Sentinel-2 alone': the stand-alone set is Sentinel-2 + pH + EC without location inputs.</w:t>
      </w:r>
    </w:p>
    <w:p>
      <w:pPr>
        <w:pStyle w:val="ListParagraph"/>
        <w:numPr>
          <w:ilvl w:val="0"/>
          <w:numId w:val="3"/>
        </w:numPr>
        <w:spacing w:after="60"/>
      </w:pPr>
      <w:r>
        <w:t xml:space="preserve">Spatial blocks have no buffer: describe separation by the measured distances, never 'at least 10 km apart'.</w:t>
      </w:r>
    </w:p>
    <w:p>
      <w:pPr>
        <w:pStyle w:val="ListParagraph"/>
        <w:numPr>
          <w:ilvl w:val="0"/>
          <w:numId w:val="3"/>
        </w:numPr>
        <w:spacing w:after="60"/>
      </w:pPr>
      <w:r>
        <w:t xml:space="preserve">Do not claim the study is 'the first'. Do not describe the clustered records as invalid.</w:t>
      </w:r>
    </w:p>
    <w:p>
      <w:pPr>
        <w:pStyle w:val="ListParagraph"/>
        <w:numPr>
          <w:ilvl w:val="0"/>
          <w:numId w:val="3"/>
        </w:numPr>
        <w:spacing w:after="60"/>
      </w:pPr>
      <w:r>
        <w:t xml:space="preserve">Use only the numbers in the handover (files 49–57 in Start/results). Do not use Start/results_final (a separate sensitivity analysis) or older experiments.</w:t>
      </w:r>
    </w:p>
    <w:p>
      <w:pPr>
        <w:pStyle w:val="ListParagraph"/>
        <w:numPr>
          <w:ilvl w:val="0"/>
          <w:numId w:val="3"/>
        </w:numPr>
        <w:spacing w:after="60"/>
      </w:pPr>
      <w:r>
        <w:t xml:space="preserve">Computing time, if mentioned: random forest took 15–18 times the CPU time of LightGBM in two runs.</w:t>
      </w:r>
    </w:p>
    <w:p>
      <w:pPr>
        <w:pStyle w:val="Heading1"/>
      </w:pPr>
      <w:r>
        <w:t xml:space="preserve">7. Literature to cite (verified)</w:t>
      </w:r>
    </w:p>
    <w:p>
      <w:pPr>
        <w:pStyle w:val="ListParagraph"/>
        <w:numPr>
          <w:ilvl w:val="0"/>
          <w:numId w:val="2"/>
        </w:numPr>
        <w:spacing w:after="60"/>
      </w:pPr>
      <w:r>
        <w:t xml:space="preserve">Roberts et al. 2017, Ecography 40:913–929 — block cross-validation for structured data.</w:t>
      </w:r>
    </w:p>
    <w:p>
      <w:pPr>
        <w:pStyle w:val="ListParagraph"/>
        <w:numPr>
          <w:ilvl w:val="0"/>
          <w:numId w:val="2"/>
        </w:numPr>
        <w:spacing w:after="60"/>
      </w:pPr>
      <w:r>
        <w:t xml:space="preserve">Ploton et al. 2020, Nature Communications 11:4540 — non-spatial validation overestimates mapping accuracy.</w:t>
      </w:r>
    </w:p>
    <w:p>
      <w:pPr>
        <w:pStyle w:val="ListParagraph"/>
        <w:numPr>
          <w:ilvl w:val="0"/>
          <w:numId w:val="2"/>
        </w:numPr>
        <w:spacing w:after="60"/>
      </w:pPr>
      <w:r>
        <w:t xml:space="preserve">Meyer et al. 2019, Ecological Modelling 411:108815; Wadoux et al. 2021, Ecological Modelling 457:109692 (counter-view); Valavi et al. 2019, Methods in Ecology and Evolution 10:225–232.</w:t>
      </w:r>
    </w:p>
    <w:p>
      <w:pPr>
        <w:pStyle w:val="ListParagraph"/>
        <w:numPr>
          <w:ilvl w:val="0"/>
          <w:numId w:val="2"/>
        </w:numPr>
        <w:spacing w:after="60"/>
      </w:pPr>
      <w:r>
        <w:t xml:space="preserve">Gupta &amp; Patil 2026, J. Indian Society of Remote Sensing 54:2405–2421 — closest SHC study (Karnataka, LightGBM, location and neighbourhood context; R² 0.61–0.77). Their validation design is not stated in the abstract; do not describe it.</w:t>
      </w:r>
    </w:p>
    <w:p>
      <w:pPr>
        <w:pStyle w:val="ListParagraph"/>
        <w:numPr>
          <w:ilvl w:val="0"/>
          <w:numId w:val="2"/>
        </w:numPr>
        <w:spacing w:after="60"/>
      </w:pPr>
      <w:r>
        <w:t xml:space="preserve">Garg et al. 2026, Discover Soil 3:95; Moharana et al. 2023, Arabian J. Geosciences 16:560; Kumar et al. 2026, Environmental Challenges 22:101375 (cite by topic only); Balkrishna et al. 2026, Soil Advances 5:100124.</w:t>
      </w:r>
    </w:p>
    <w:p>
      <w:pPr>
        <w:spacing w:after="120"/>
      </w:pPr>
      <w:r>
        <w:t xml:space="preserve">Full references with DOIs are in the handover. Do not cite Gunasekaran et al. 2025 (Frontiers) as an SHC/Sentinel-2 study, 'Mundada &amp; Jain 2025', or the IBM paper (Kaur et al. 2020).</w:t>
      </w:r>
    </w:p>
    <w:p>
      <w:pPr>
        <w:pStyle w:val="Heading1"/>
      </w:pPr>
      <w:r>
        <w:t xml:space="preserve">8. What to write and in which order</w:t>
      </w:r>
    </w:p>
    <w:p>
      <w:pPr>
        <w:pStyle w:val="ListParagraph"/>
        <w:numPr>
          <w:ilvl w:val="0"/>
          <w:numId w:val="3"/>
        </w:numPr>
        <w:spacing w:after="60"/>
      </w:pPr>
      <w:r>
        <w:t xml:space="preserve">Methods (data table, inputs, model, validation) — all facts are in sections 3 of the handover.</w:t>
      </w:r>
    </w:p>
    <w:p>
      <w:pPr>
        <w:pStyle w:val="ListParagraph"/>
        <w:numPr>
          <w:ilvl w:val="0"/>
          <w:numId w:val="3"/>
        </w:numPr>
        <w:spacing w:after="60"/>
      </w:pPr>
      <w:r>
        <w:t xml:space="preserve">Results — the tables and figures above, with the labels.</w:t>
      </w:r>
    </w:p>
    <w:p>
      <w:pPr>
        <w:pStyle w:val="ListParagraph"/>
        <w:numPr>
          <w:ilvl w:val="0"/>
          <w:numId w:val="3"/>
        </w:numPr>
        <w:spacing w:after="60"/>
      </w:pPr>
      <w:r>
        <w:t xml:space="preserve">Discussion — why random splits score higher (test fields next to training samples), what it means for monitoring and sampling density, regional differences, Sentinel-2 result, comparison with published values, limitations.</w:t>
      </w:r>
    </w:p>
    <w:p>
      <w:pPr>
        <w:pStyle w:val="ListParagraph"/>
        <w:numPr>
          <w:ilvl w:val="0"/>
          <w:numId w:val="3"/>
        </w:numPr>
        <w:spacing w:after="60"/>
      </w:pPr>
      <w:r>
        <w:t xml:space="preserve">Introduction — SHC programme, ML soil mapping, spatial validation literature, our contribution (no 'first').</w:t>
      </w:r>
    </w:p>
    <w:p>
      <w:pPr>
        <w:pStyle w:val="ListParagraph"/>
        <w:numPr>
          <w:ilvl w:val="0"/>
          <w:numId w:val="3"/>
        </w:numPr>
        <w:spacing w:after="60"/>
      </w:pPr>
      <w:r>
        <w:t xml:space="preserve">Abstract (draft in the handover), conclusion, declarations.</w:t>
      </w:r>
    </w:p>
    <w:p>
      <w:pPr>
        <w:pStyle w:val="Heading2"/>
      </w:pPr>
      <w:r>
        <w:t xml:space="preserve">Still open</w:t>
      </w:r>
    </w:p>
    <w:p>
      <w:pPr>
        <w:pStyle w:val="ListParagraph"/>
        <w:numPr>
          <w:ilvl w:val="0"/>
          <w:numId w:val="2"/>
        </w:numPr>
        <w:spacing w:after="60"/>
      </w:pPr>
      <w:r>
        <w:t xml:space="preserve">Workflow figure (Fig. 2) to draw.</w:t>
      </w:r>
    </w:p>
    <w:p>
      <w:pPr>
        <w:pStyle w:val="ListParagraph"/>
        <w:numPr>
          <w:ilvl w:val="0"/>
          <w:numId w:val="2"/>
        </w:numPr>
        <w:spacing w:after="60"/>
      </w:pPr>
      <w:r>
        <w:t xml:space="preserve">Repository link for code availability; competing interests, funding and author contributions.</w:t>
      </w:r>
    </w:p>
    <w:p>
      <w:pPr>
        <w:pStyle w:val="Heading2"/>
      </w:pPr>
      <w:r>
        <w:t xml:space="preserve">Limitations to state</w:t>
      </w:r>
    </w:p>
    <w:p>
      <w:pPr>
        <w:spacing w:after="120"/>
      </w:pPr>
      <w:r>
        <w:t xml:space="preserve">One season of one year (Jan–May 2024) and one state; single-date Sentinel-2; laboratory pH and EC; elevation/climate assigned from the nearest extracted location; clustered sample locations retained; blocks without buffer; most analyses single runs; regional values at 50–100 km rest on few blocks; hyperparameters fixed; Raigad excluded (offset not proven).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pPr>
    <w:rPr>
      <w:rFonts w:ascii="Arial" w:cs="Arial" w:eastAsia="Arial" w:hAnsi="Arial"/>
      <w:b/>
      <w:bCs/>
      <w:color w:val="1F3864"/>
      <w:sz w:val="34"/>
      <w:szCs w:val="34"/>
    </w:rPr>
  </w:style>
  <w:style w:type="paragraph" w:styleId="Heading1">
    <w:name w:val="Heading 1"/>
    <w:basedOn w:val="Normal"/>
    <w:next w:val="Normal"/>
    <w:qFormat/>
    <w:pPr>
      <w:spacing w:after="120" w:before="280"/>
      <w:outlineLvl w:val="0"/>
    </w:pPr>
    <w:rPr>
      <w:rFonts w:ascii="Arial" w:cs="Arial" w:eastAsia="Arial" w:hAnsi="Arial"/>
      <w:b/>
      <w:bCs/>
      <w:color w:val="1F3864"/>
      <w:sz w:val="26"/>
      <w:szCs w:val="26"/>
    </w:rPr>
  </w:style>
  <w:style w:type="paragraph" w:styleId="Heading2">
    <w:name w:val="Heading 2"/>
    <w:basedOn w:val="Normal"/>
    <w:next w:val="Normal"/>
    <w:qFormat/>
    <w:pPr>
      <w:spacing w:after="100" w:before="20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8d79a54cc30ac1d13de49ffaa6e8c0389bfbb3f.png"/><Relationship Id="rId8" Type="http://schemas.openxmlformats.org/officeDocument/2006/relationships/image" Target="media/79e8854c6fbb76e84c80a56350dc3eb17e30ca4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2026-10-15T13:58:18.133Z</dcterms:created>
  <dcterms:modified xsi:type="dcterms:W3CDTF">2026-10-15T13:58:18.133Z</dcterms:modified>
</cp:coreProperties>
</file>

<file path=docProps/custom.xml><?xml version="1.0" encoding="utf-8"?>
<Properties xmlns="http://schemas.openxmlformats.org/officeDocument/2006/custom-properties" xmlns:vt="http://schemas.openxmlformats.org/officeDocument/2006/docPropsVTypes"/>
</file>