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Portfolio Risk-O-Meter Scoring Methodology (Version 1)</w:t>
      </w:r>
    </w:p>
    <w:p>
      <w:r>
        <w:t>This document defines the modules, formulas, thresholds and rating bands used to compute the Portfolio Risk-O-Meter. Every underlying metric is normalized to a 0-100 risk score, where a higher score means higher measured risk. The overall Risk-O-Meter score is the weighted average of seven risk modules, each covering a distinct dimension of portfolio risk.</w:t>
      </w:r>
    </w:p>
    <w:p>
      <w:pPr>
        <w:pStyle w:val="Heading1"/>
      </w:pPr>
      <w:r>
        <w:t>1. Module Weights</w:t>
      </w:r>
    </w:p>
    <w:p>
      <w:r>
        <w:t>The overall score is: Sum(Module Score x Module Weight), across all seven modules. All module scores and weights are on the same 0-100 / percentage basis, so the overall score is also 0-100.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Module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Weight</w:t>
            </w:r>
          </w:p>
        </w:tc>
      </w:tr>
      <w:tr>
        <w:tc>
          <w:tcPr>
            <w:tcW w:type="dxa" w:w="4320"/>
          </w:tcPr>
          <w:p>
            <w:r>
              <w:t>Concentration Risk</w:t>
            </w:r>
          </w:p>
        </w:tc>
        <w:tc>
          <w:tcPr>
            <w:tcW w:type="dxa" w:w="4320"/>
          </w:tcPr>
          <w:p>
            <w:r>
              <w:t>15%</w:t>
            </w:r>
          </w:p>
        </w:tc>
      </w:tr>
      <w:tr>
        <w:tc>
          <w:tcPr>
            <w:tcW w:type="dxa" w:w="4320"/>
          </w:tcPr>
          <w:p>
            <w:r>
              <w:t>Sector Risk</w:t>
            </w:r>
          </w:p>
        </w:tc>
        <w:tc>
          <w:tcPr>
            <w:tcW w:type="dxa" w:w="4320"/>
          </w:tcPr>
          <w:p>
            <w:r>
              <w:t>15%</w:t>
            </w:r>
          </w:p>
        </w:tc>
      </w:tr>
      <w:tr>
        <w:tc>
          <w:tcPr>
            <w:tcW w:type="dxa" w:w="4320"/>
          </w:tcPr>
          <w:p>
            <w:r>
              <w:t>Market Cap Risk</w:t>
            </w:r>
          </w:p>
        </w:tc>
        <w:tc>
          <w:tcPr>
            <w:tcW w:type="dxa" w:w="4320"/>
          </w:tcPr>
          <w:p>
            <w:r>
              <w:t>10%</w:t>
            </w:r>
          </w:p>
        </w:tc>
      </w:tr>
      <w:tr>
        <w:tc>
          <w:tcPr>
            <w:tcW w:type="dxa" w:w="4320"/>
          </w:tcPr>
          <w:p>
            <w:r>
              <w:t>Fundamental Quality Risk</w:t>
            </w:r>
          </w:p>
        </w:tc>
        <w:tc>
          <w:tcPr>
            <w:tcW w:type="dxa" w:w="4320"/>
          </w:tcPr>
          <w:p>
            <w:r>
              <w:t>15%</w:t>
            </w:r>
          </w:p>
        </w:tc>
      </w:tr>
      <w:tr>
        <w:tc>
          <w:tcPr>
            <w:tcW w:type="dxa" w:w="4320"/>
          </w:tcPr>
          <w:p>
            <w:r>
              <w:t>Liquidity Risk</w:t>
            </w:r>
          </w:p>
        </w:tc>
        <w:tc>
          <w:tcPr>
            <w:tcW w:type="dxa" w:w="4320"/>
          </w:tcPr>
          <w:p>
            <w:r>
              <w:t>10%</w:t>
            </w:r>
          </w:p>
        </w:tc>
      </w:tr>
      <w:tr>
        <w:tc>
          <w:tcPr>
            <w:tcW w:type="dxa" w:w="4320"/>
          </w:tcPr>
          <w:p>
            <w:r>
              <w:t>Volatility Risk</w:t>
            </w:r>
          </w:p>
        </w:tc>
        <w:tc>
          <w:tcPr>
            <w:tcW w:type="dxa" w:w="4320"/>
          </w:tcPr>
          <w:p>
            <w:r>
              <w:t>20%</w:t>
            </w:r>
          </w:p>
        </w:tc>
      </w:tr>
      <w:tr>
        <w:tc>
          <w:tcPr>
            <w:tcW w:type="dxa" w:w="4320"/>
          </w:tcPr>
          <w:p>
            <w:r>
              <w:t>Beta Risk</w:t>
            </w:r>
          </w:p>
        </w:tc>
        <w:tc>
          <w:tcPr>
            <w:tcW w:type="dxa" w:w="4320"/>
          </w:tcPr>
          <w:p>
            <w:r>
              <w:t>15%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100%</w:t>
            </w:r>
          </w:p>
        </w:tc>
      </w:tr>
    </w:tbl>
    <w:p>
      <w:pPr>
        <w:pStyle w:val="Heading1"/>
      </w:pPr>
      <w:r>
        <w:t>2. Risk Rating Bands</w:t>
      </w:r>
    </w:p>
    <w:p>
      <w:r>
        <w:t>The overall 0-100 score is mapped to a rating band. Bands are cumulative upper limits: a score is assigned to the first band whose maximum it does not exceed.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Score Range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Rating</w:t>
            </w:r>
          </w:p>
        </w:tc>
      </w:tr>
      <w:tr>
        <w:tc>
          <w:tcPr>
            <w:tcW w:type="dxa" w:w="4320"/>
          </w:tcPr>
          <w:p>
            <w:r>
              <w:t>0-20</w:t>
            </w:r>
          </w:p>
        </w:tc>
        <w:tc>
          <w:tcPr>
            <w:tcW w:type="dxa" w:w="4320"/>
          </w:tcPr>
          <w:p>
            <w:r>
              <w:t>Very Low</w:t>
            </w:r>
          </w:p>
        </w:tc>
      </w:tr>
      <w:tr>
        <w:tc>
          <w:tcPr>
            <w:tcW w:type="dxa" w:w="4320"/>
          </w:tcPr>
          <w:p>
            <w:r>
              <w:t>20-40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t>40-60</w:t>
            </w:r>
          </w:p>
        </w:tc>
        <w:tc>
          <w:tcPr>
            <w:tcW w:type="dxa" w:w="4320"/>
          </w:tcPr>
          <w:p>
            <w:r>
              <w:t>Moderate</w:t>
            </w:r>
          </w:p>
        </w:tc>
      </w:tr>
      <w:tr>
        <w:tc>
          <w:tcPr>
            <w:tcW w:type="dxa" w:w="4320"/>
          </w:tcPr>
          <w:p>
            <w:r>
              <w:t>60-80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80-100</w:t>
            </w:r>
          </w:p>
        </w:tc>
        <w:tc>
          <w:tcPr>
            <w:tcW w:type="dxa" w:w="4320"/>
          </w:tcPr>
          <w:p>
            <w:r>
              <w:t>Very High</w:t>
            </w:r>
          </w:p>
        </w:tc>
      </w:tr>
    </w:tbl>
    <w:p>
      <w:pPr>
        <w:pStyle w:val="Heading1"/>
      </w:pPr>
      <w:r>
        <w:t>3. Normalization Methods</w:t>
      </w:r>
    </w:p>
    <w:p>
      <w:r>
        <w:t>Three normalization methods convert raw metrics onto the common 0-100 risk scale. Every module below states which method applies to each of its metrics.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Used When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Formula</w:t>
            </w:r>
          </w:p>
        </w:tc>
      </w:tr>
      <w:tr>
        <w:tc>
          <w:tcPr>
            <w:tcW w:type="dxa" w:w="2880"/>
          </w:tcPr>
          <w:p>
            <w:r>
              <w:t>Direct-Bad</w:t>
            </w:r>
          </w:p>
        </w:tc>
        <w:tc>
          <w:tcPr>
            <w:tcW w:type="dxa" w:w="2880"/>
          </w:tcPr>
          <w:p>
            <w:r>
              <w:t>Higher raw value = higher risk (e.g. concentration %, Debt/Equity, volatility)</w:t>
            </w:r>
          </w:p>
        </w:tc>
        <w:tc>
          <w:tcPr>
            <w:tcW w:type="dxa" w:w="2880"/>
          </w:tcPr>
          <w:p>
            <w:r>
              <w:t>Risk = 100 x min(max(Value, 0), High) / High</w:t>
            </w:r>
          </w:p>
        </w:tc>
      </w:tr>
      <w:tr>
        <w:tc>
          <w:tcPr>
            <w:tcW w:type="dxa" w:w="2880"/>
          </w:tcPr>
          <w:p>
            <w:r>
              <w:t>Inverse-Good</w:t>
            </w:r>
          </w:p>
        </w:tc>
        <w:tc>
          <w:tcPr>
            <w:tcW w:type="dxa" w:w="2880"/>
          </w:tcPr>
          <w:p>
            <w:r>
              <w:t>Higher raw value = lower risk (e.g. ROE, ROCE, Interest Cover, sector count)</w:t>
            </w:r>
          </w:p>
        </w:tc>
        <w:tc>
          <w:tcPr>
            <w:tcW w:type="dxa" w:w="2880"/>
          </w:tcPr>
          <w:p>
            <w:r>
              <w:t>Risk = 100 x (1 - min(max(Value, 0), Good) / Good)</w:t>
            </w:r>
          </w:p>
        </w:tc>
      </w:tr>
      <w:tr>
        <w:tc>
          <w:tcPr>
            <w:tcW w:type="dxa" w:w="2880"/>
          </w:tcPr>
          <w:p>
            <w:r>
              <w:t>Log-Inverse</w:t>
            </w:r>
          </w:p>
        </w:tc>
        <w:tc>
          <w:tcPr>
            <w:tcW w:type="dxa" w:w="2880"/>
          </w:tcPr>
          <w:p>
            <w:r>
              <w:t>Higher raw value = lower risk, over a wide multi-order-of-magnitude range (traded volume, turnover)</w:t>
            </w:r>
          </w:p>
        </w:tc>
        <w:tc>
          <w:tcPr>
            <w:tcW w:type="dxa" w:w="2880"/>
          </w:tcPr>
          <w:p>
            <w:r>
              <w:t>Risk = 100 if Value &lt;= Low; 0 if Value &gt;= High; otherwise 100 x (1 - (ln(Value) - ln(Low)) / (ln(High) - ln(Low)))</w:t>
            </w:r>
          </w:p>
        </w:tc>
      </w:tr>
      <w:tr>
        <w:tc>
          <w:tcPr>
            <w:tcW w:type="dxa" w:w="2880"/>
          </w:tcPr>
          <w:p>
            <w:r>
              <w:t>Linear Scale</w:t>
            </w:r>
          </w:p>
        </w:tc>
        <w:tc>
          <w:tcPr>
            <w:tcW w:type="dxa" w:w="2880"/>
          </w:tcPr>
          <w:p>
            <w:r>
              <w:t>Beta, which can meaningfully be below the low bound or above the high bound</w:t>
            </w:r>
          </w:p>
        </w:tc>
        <w:tc>
          <w:tcPr>
            <w:tcW w:type="dxa" w:w="2880"/>
          </w:tcPr>
          <w:p>
            <w:r>
              <w:t>Risk = clip(100 x (Beta - Low) / (High - Low), 0, 100)</w:t>
            </w:r>
          </w:p>
        </w:tc>
      </w:tr>
    </w:tbl>
    <w:p>
      <w:r>
        <w:t>All results are clipped to the 0-100 range and rounded to two decimals. All thresholds ("High", "Good", "Low") are configured in riskometer_config.json and can be revised without code changes.</w:t>
      </w:r>
    </w:p>
    <w:p>
      <w:pPr>
        <w:pStyle w:val="Heading1"/>
      </w:pPr>
      <w:r>
        <w:t>4. Risk Modules</w:t>
      </w:r>
    </w:p>
    <w:p>
      <w:pPr>
        <w:pStyle w:val="Heading2"/>
      </w:pPr>
      <w:r>
        <w:t>4.1 Concentration Risk</w:t>
      </w:r>
    </w:p>
    <w:p>
      <w:r>
        <w:t>Definition: Risk arising from a small number of holdings dominating the portfolio.</w:t>
      </w:r>
    </w:p>
    <w:p>
      <w:r>
        <w:t>Metrics: Largest Holding %, Top 3 Holdings %, Top 5 Holdings %, and Holding HHI (sum of squared portfolio weights).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Threshold (High)</w:t>
            </w:r>
          </w:p>
        </w:tc>
      </w:tr>
      <w:tr>
        <w:tc>
          <w:tcPr>
            <w:tcW w:type="dxa" w:w="2880"/>
          </w:tcPr>
          <w:p>
            <w:r>
              <w:t>Largest Holding %</w:t>
            </w:r>
          </w:p>
        </w:tc>
        <w:tc>
          <w:tcPr>
            <w:tcW w:type="dxa" w:w="2880"/>
          </w:tcPr>
          <w:p>
            <w:r>
              <w:t>Direct-Bad</w:t>
            </w:r>
          </w:p>
        </w:tc>
        <w:tc>
          <w:tcPr>
            <w:tcW w:type="dxa" w:w="2880"/>
          </w:tcPr>
          <w:p>
            <w:r>
              <w:t>40%</w:t>
            </w:r>
          </w:p>
        </w:tc>
      </w:tr>
      <w:tr>
        <w:tc>
          <w:tcPr>
            <w:tcW w:type="dxa" w:w="2880"/>
          </w:tcPr>
          <w:p>
            <w:r>
              <w:t>Top 3 Holdings %</w:t>
            </w:r>
          </w:p>
        </w:tc>
        <w:tc>
          <w:tcPr>
            <w:tcW w:type="dxa" w:w="2880"/>
          </w:tcPr>
          <w:p>
            <w:r>
              <w:t>Direct-Bad</w:t>
            </w:r>
          </w:p>
        </w:tc>
        <w:tc>
          <w:tcPr>
            <w:tcW w:type="dxa" w:w="2880"/>
          </w:tcPr>
          <w:p>
            <w:r>
              <w:t>70%</w:t>
            </w:r>
          </w:p>
        </w:tc>
      </w:tr>
      <w:tr>
        <w:tc>
          <w:tcPr>
            <w:tcW w:type="dxa" w:w="2880"/>
          </w:tcPr>
          <w:p>
            <w:r>
              <w:t>Top 5 Holdings %</w:t>
            </w:r>
          </w:p>
        </w:tc>
        <w:tc>
          <w:tcPr>
            <w:tcW w:type="dxa" w:w="2880"/>
          </w:tcPr>
          <w:p>
            <w:r>
              <w:t>Direct-Bad</w:t>
            </w:r>
          </w:p>
        </w:tc>
        <w:tc>
          <w:tcPr>
            <w:tcW w:type="dxa" w:w="2880"/>
          </w:tcPr>
          <w:p>
            <w:r>
              <w:t>85%</w:t>
            </w:r>
          </w:p>
        </w:tc>
      </w:tr>
      <w:tr>
        <w:tc>
          <w:tcPr>
            <w:tcW w:type="dxa" w:w="2880"/>
          </w:tcPr>
          <w:p>
            <w:r>
              <w:t>Holding HHI</w:t>
            </w:r>
          </w:p>
        </w:tc>
        <w:tc>
          <w:tcPr>
            <w:tcW w:type="dxa" w:w="2880"/>
          </w:tcPr>
          <w:p>
            <w:r>
              <w:t>Direct-Bad</w:t>
            </w:r>
          </w:p>
        </w:tc>
        <w:tc>
          <w:tcPr>
            <w:tcW w:type="dxa" w:w="2880"/>
          </w:tcPr>
          <w:p>
            <w:r>
              <w:t>0.25</w:t>
            </w:r>
          </w:p>
        </w:tc>
      </w:tr>
    </w:tbl>
    <w:p>
      <w:r>
        <w:t>Scoring: Concentration Risk = simple average of the four normalized risks.</w:t>
      </w:r>
    </w:p>
    <w:p>
      <w:pPr>
        <w:pStyle w:val="Heading2"/>
      </w:pPr>
      <w:r>
        <w:t>4.2 Sector Risk</w:t>
      </w:r>
    </w:p>
    <w:p>
      <w:r>
        <w:t>Definition: Risk arising from overexposure to, or under-diversification across, NSE sectors.</w:t>
      </w:r>
    </w:p>
    <w:p>
      <w:r>
        <w:t>Metrics: Largest Sector %, Sector HHI (sum of squared sector weights), and Sector Count.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Threshold</w:t>
            </w:r>
          </w:p>
        </w:tc>
      </w:tr>
      <w:tr>
        <w:tc>
          <w:tcPr>
            <w:tcW w:type="dxa" w:w="2880"/>
          </w:tcPr>
          <w:p>
            <w:r>
              <w:t>Largest Sector %</w:t>
            </w:r>
          </w:p>
        </w:tc>
        <w:tc>
          <w:tcPr>
            <w:tcW w:type="dxa" w:w="2880"/>
          </w:tcPr>
          <w:p>
            <w:r>
              <w:t>Direct-Bad</w:t>
            </w:r>
          </w:p>
        </w:tc>
        <w:tc>
          <w:tcPr>
            <w:tcW w:type="dxa" w:w="2880"/>
          </w:tcPr>
          <w:p>
            <w:r>
              <w:t>High = 50%</w:t>
            </w:r>
          </w:p>
        </w:tc>
      </w:tr>
      <w:tr>
        <w:tc>
          <w:tcPr>
            <w:tcW w:type="dxa" w:w="2880"/>
          </w:tcPr>
          <w:p>
            <w:r>
              <w:t>Sector HHI</w:t>
            </w:r>
          </w:p>
        </w:tc>
        <w:tc>
          <w:tcPr>
            <w:tcW w:type="dxa" w:w="2880"/>
          </w:tcPr>
          <w:p>
            <w:r>
              <w:t>Direct-Bad</w:t>
            </w:r>
          </w:p>
        </w:tc>
        <w:tc>
          <w:tcPr>
            <w:tcW w:type="dxa" w:w="2880"/>
          </w:tcPr>
          <w:p>
            <w:r>
              <w:t>High = 0.3</w:t>
            </w:r>
          </w:p>
        </w:tc>
      </w:tr>
      <w:tr>
        <w:tc>
          <w:tcPr>
            <w:tcW w:type="dxa" w:w="2880"/>
          </w:tcPr>
          <w:p>
            <w:r>
              <w:t>Sector Count</w:t>
            </w:r>
          </w:p>
        </w:tc>
        <w:tc>
          <w:tcPr>
            <w:tcW w:type="dxa" w:w="2880"/>
          </w:tcPr>
          <w:p>
            <w:r>
              <w:t>Inverse-Good</w:t>
            </w:r>
          </w:p>
        </w:tc>
        <w:tc>
          <w:tcPr>
            <w:tcW w:type="dxa" w:w="2880"/>
          </w:tcPr>
          <w:p>
            <w:r>
              <w:t>Good (well-diversified) = 10 sectors</w:t>
            </w:r>
          </w:p>
        </w:tc>
      </w:tr>
    </w:tbl>
    <w:p>
      <w:r>
        <w:t>Scoring: Sector Risk = simple average of the three normalized risks.</w:t>
      </w:r>
    </w:p>
    <w:p>
      <w:pPr>
        <w:pStyle w:val="Heading2"/>
      </w:pPr>
      <w:r>
        <w:t>4.3 Market Cap Risk</w:t>
      </w:r>
    </w:p>
    <w:p>
      <w:r>
        <w:t>Definition: Risk arising from allocation to smaller, less-established market capitalization categories, per the SEBI market-cap classification.</w:t>
      </w:r>
    </w:p>
    <w:p>
      <w:r>
        <w:t>Method: portfolio-weighted sum of a configured risk score per SEBI market-cap category.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Configured Risk Score</w:t>
            </w:r>
          </w:p>
        </w:tc>
      </w:tr>
      <w:tr>
        <w:tc>
          <w:tcPr>
            <w:tcW w:type="dxa" w:w="4320"/>
          </w:tcPr>
          <w:p>
            <w:r>
              <w:t>Large Cap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Mid Cap</w:t>
            </w:r>
          </w:p>
        </w:tc>
        <w:tc>
          <w:tcPr>
            <w:tcW w:type="dxa" w:w="4320"/>
          </w:tcPr>
          <w:p>
            <w:r>
              <w:t>45</w:t>
            </w:r>
          </w:p>
        </w:tc>
      </w:tr>
      <w:tr>
        <w:tc>
          <w:tcPr>
            <w:tcW w:type="dxa" w:w="4320"/>
          </w:tcPr>
          <w:p>
            <w:r>
              <w:t>Small Cap</w:t>
            </w:r>
          </w:p>
        </w:tc>
        <w:tc>
          <w:tcPr>
            <w:tcW w:type="dxa" w:w="4320"/>
          </w:tcPr>
          <w:p>
            <w:r>
              <w:t>75</w:t>
            </w:r>
          </w:p>
        </w:tc>
      </w:tr>
      <w:tr>
        <w:tc>
          <w:tcPr>
            <w:tcW w:type="dxa" w:w="4320"/>
          </w:tcPr>
          <w:p>
            <w:r>
              <w:t>Micro Cap</w:t>
            </w:r>
          </w:p>
        </w:tc>
        <w:tc>
          <w:tcPr>
            <w:tcW w:type="dxa" w:w="4320"/>
          </w:tcPr>
          <w:p>
            <w:r>
              <w:t>95</w:t>
            </w:r>
          </w:p>
        </w:tc>
      </w:tr>
      <w:tr>
        <w:tc>
          <w:tcPr>
            <w:tcW w:type="dxa" w:w="4320"/>
          </w:tcPr>
          <w:p>
            <w:r>
              <w:t>Unknown</w:t>
            </w:r>
          </w:p>
        </w:tc>
        <w:tc>
          <w:tcPr>
            <w:tcW w:type="dxa" w:w="4320"/>
          </w:tcPr>
          <w:p>
            <w:r>
              <w:t>80</w:t>
            </w:r>
          </w:p>
        </w:tc>
      </w:tr>
    </w:tbl>
    <w:p>
      <w:r>
        <w:t>Scoring: Market Cap Risk = Sum(Portfolio weight in category x Configured category score), across all categories held.</w:t>
      </w:r>
    </w:p>
    <w:p>
      <w:pPr>
        <w:pStyle w:val="Heading2"/>
      </w:pPr>
      <w:r>
        <w:t>4.4 Fundamental Quality Risk</w:t>
      </w:r>
    </w:p>
    <w:p>
      <w:r>
        <w:t>Definition: Risk arising from weak profitability, capital efficiency or balance-sheet leverage at the underlying companies.</w:t>
      </w:r>
    </w:p>
    <w:p>
      <w:r>
        <w:t>Metrics: ROE, ROCE, Debt/Equity, and Interest Coverage (most recent financial year available per company).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Threshold</w:t>
            </w:r>
          </w:p>
        </w:tc>
      </w:tr>
      <w:tr>
        <w:tc>
          <w:tcPr>
            <w:tcW w:type="dxa" w:w="2880"/>
          </w:tcPr>
          <w:p>
            <w:r>
              <w:t>ROE</w:t>
            </w:r>
          </w:p>
        </w:tc>
        <w:tc>
          <w:tcPr>
            <w:tcW w:type="dxa" w:w="2880"/>
          </w:tcPr>
          <w:p>
            <w:r>
              <w:t>Inverse-Good</w:t>
            </w:r>
          </w:p>
        </w:tc>
        <w:tc>
          <w:tcPr>
            <w:tcW w:type="dxa" w:w="2880"/>
          </w:tcPr>
          <w:p>
            <w:r>
              <w:t>Good = 20%</w:t>
            </w:r>
          </w:p>
        </w:tc>
      </w:tr>
      <w:tr>
        <w:tc>
          <w:tcPr>
            <w:tcW w:type="dxa" w:w="2880"/>
          </w:tcPr>
          <w:p>
            <w:r>
              <w:t>ROCE</w:t>
            </w:r>
          </w:p>
        </w:tc>
        <w:tc>
          <w:tcPr>
            <w:tcW w:type="dxa" w:w="2880"/>
          </w:tcPr>
          <w:p>
            <w:r>
              <w:t>Inverse-Good</w:t>
            </w:r>
          </w:p>
        </w:tc>
        <w:tc>
          <w:tcPr>
            <w:tcW w:type="dxa" w:w="2880"/>
          </w:tcPr>
          <w:p>
            <w:r>
              <w:t>Good = 20%</w:t>
            </w:r>
          </w:p>
        </w:tc>
      </w:tr>
      <w:tr>
        <w:tc>
          <w:tcPr>
            <w:tcW w:type="dxa" w:w="2880"/>
          </w:tcPr>
          <w:p>
            <w:r>
              <w:t>Debt/Equity</w:t>
            </w:r>
          </w:p>
        </w:tc>
        <w:tc>
          <w:tcPr>
            <w:tcW w:type="dxa" w:w="2880"/>
          </w:tcPr>
          <w:p>
            <w:r>
              <w:t>Direct-Bad</w:t>
            </w:r>
          </w:p>
        </w:tc>
        <w:tc>
          <w:tcPr>
            <w:tcW w:type="dxa" w:w="2880"/>
          </w:tcPr>
          <w:p>
            <w:r>
              <w:t>High = 2</w:t>
            </w:r>
          </w:p>
        </w:tc>
      </w:tr>
      <w:tr>
        <w:tc>
          <w:tcPr>
            <w:tcW w:type="dxa" w:w="2880"/>
          </w:tcPr>
          <w:p>
            <w:r>
              <w:t>Interest Coverage</w:t>
            </w:r>
          </w:p>
        </w:tc>
        <w:tc>
          <w:tcPr>
            <w:tcW w:type="dxa" w:w="2880"/>
          </w:tcPr>
          <w:p>
            <w:r>
              <w:t>Inverse-Good</w:t>
            </w:r>
          </w:p>
        </w:tc>
        <w:tc>
          <w:tcPr>
            <w:tcW w:type="dxa" w:w="2880"/>
          </w:tcPr>
          <w:p>
            <w:r>
              <w:t>Good = 8x</w:t>
            </w:r>
          </w:p>
        </w:tc>
      </w:tr>
    </w:tbl>
    <w:p>
      <w:r>
        <w:t>Scoring: Stock Quality Risk = average of the applicable component risks. Fundamental Quality Risk = weighted average of Stock Quality Risk across all eligible holdings for which every required metric is available, weighted by portfolio value.</w:t>
      </w:r>
    </w:p>
    <w:p>
      <w:pPr>
        <w:pStyle w:val="ListBullet"/>
      </w:pPr>
      <w:r>
        <w:t>ETFs are excluded entirely from Fundamental Quality scoring (fundamentals are Not Applicable); they are still scored in every other module.</w:t>
      </w:r>
    </w:p>
    <w:p>
      <w:pPr>
        <w:pStyle w:val="ListBullet"/>
      </w:pPr>
      <w:r>
        <w:t>Banks, NBFCs, insurers and other financial-service companies are scored on ROE, ROCE and Debt/Equity only — Interest Coverage is marked Not Applicable for these companies.</w:t>
      </w:r>
    </w:p>
    <w:p>
      <w:pPr>
        <w:pStyle w:val="ListBullet"/>
      </w:pPr>
      <w:r>
        <w:t>Coverage (the % of eligible portfolio value with complete, calculable data) is disclosed alongside the module score. If no eligible holding has complete data, the module defaults to a risk score of 100 (maximum risk) as a conservative fallback rather than silently excluding the module.</w:t>
      </w:r>
    </w:p>
    <w:p>
      <w:pPr>
        <w:pStyle w:val="Heading2"/>
      </w:pPr>
      <w:r>
        <w:t>4.5 Liquidity Risk</w:t>
      </w:r>
    </w:p>
    <w:p>
      <w:r>
        <w:t>Definition: Risk that a holding cannot be exited without significant market impact, based on recent trading activity.</w:t>
      </w:r>
    </w:p>
    <w:p>
      <w:r>
        <w:t>Metrics: average daily traded Volume and average daily Turnover, over the most recent 63 trading days.</w:t>
      </w:r>
    </w:p>
    <w:p>
      <w:r>
        <w:t>Thresholds are cap-tiered: each stock is judged against the Low/High band for its own SEBI market-cap category, not one universal band. This avoids penalizing small-cap stocks for trading less than large-caps naturally do, and vice versa.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Cap Category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Volume Low-High ('000 shares)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Turnover Low-High (Rs. Crore)</w:t>
            </w:r>
          </w:p>
        </w:tc>
      </w:tr>
      <w:tr>
        <w:tc>
          <w:tcPr>
            <w:tcW w:type="dxa" w:w="2880"/>
          </w:tcPr>
          <w:p>
            <w:r>
              <w:t>Large Cap</w:t>
            </w:r>
          </w:p>
        </w:tc>
        <w:tc>
          <w:tcPr>
            <w:tcW w:type="dxa" w:w="2880"/>
          </w:tcPr>
          <w:p>
            <w:r>
              <w:t>50 - 2000</w:t>
            </w:r>
          </w:p>
        </w:tc>
        <w:tc>
          <w:tcPr>
            <w:tcW w:type="dxa" w:w="2880"/>
          </w:tcPr>
          <w:p>
            <w:r>
              <w:t>5 - 200</w:t>
            </w:r>
          </w:p>
        </w:tc>
      </w:tr>
      <w:tr>
        <w:tc>
          <w:tcPr>
            <w:tcW w:type="dxa" w:w="2880"/>
          </w:tcPr>
          <w:p>
            <w:r>
              <w:t>Mid Cap</w:t>
            </w:r>
          </w:p>
        </w:tc>
        <w:tc>
          <w:tcPr>
            <w:tcW w:type="dxa" w:w="2880"/>
          </w:tcPr>
          <w:p>
            <w:r>
              <w:t>20 - 800</w:t>
            </w:r>
          </w:p>
        </w:tc>
        <w:tc>
          <w:tcPr>
            <w:tcW w:type="dxa" w:w="2880"/>
          </w:tcPr>
          <w:p>
            <w:r>
              <w:t>2 - 80</w:t>
            </w:r>
          </w:p>
        </w:tc>
      </w:tr>
      <w:tr>
        <w:tc>
          <w:tcPr>
            <w:tcW w:type="dxa" w:w="2880"/>
          </w:tcPr>
          <w:p>
            <w:r>
              <w:t>Small Cap</w:t>
            </w:r>
          </w:p>
        </w:tc>
        <w:tc>
          <w:tcPr>
            <w:tcW w:type="dxa" w:w="2880"/>
          </w:tcPr>
          <w:p>
            <w:r>
              <w:t>5 - 300</w:t>
            </w:r>
          </w:p>
        </w:tc>
        <w:tc>
          <w:tcPr>
            <w:tcW w:type="dxa" w:w="2880"/>
          </w:tcPr>
          <w:p>
            <w:r>
              <w:t>0.5 - 30</w:t>
            </w:r>
          </w:p>
        </w:tc>
      </w:tr>
    </w:tbl>
    <w:p>
      <w:r>
        <w:t>Scoring: Stock Liquidity Risk = average of Volume Risk and Turnover Risk (Log-Inverse method, using the stock's own cap-tier Low/High band). Liquidity Risk = weighted average of Stock Liquidity Risk across holdings with available trading data, weighted by portfolio value.</w:t>
      </w:r>
    </w:p>
    <w:p>
      <w:pPr>
        <w:pStyle w:val="ListBullet"/>
      </w:pPr>
      <w:r>
        <w:t>Coverage (% of portfolio value with usable trading data) is disclosed alongside the module score; the module defaults to 100 (maximum risk) if no holding has usable data.</w:t>
      </w:r>
    </w:p>
    <w:p>
      <w:pPr>
        <w:pStyle w:val="ListBullet"/>
      </w:pPr>
      <w:r>
        <w:t>A holding with an Unknown market-cap category (unmapped ISIN) falls back to the Small Cap band, the most conservative (hardest-to-clear) tier.</w:t>
      </w:r>
    </w:p>
    <w:p>
      <w:pPr>
        <w:pStyle w:val="Heading2"/>
      </w:pPr>
      <w:r>
        <w:t>4.6 Volatility Risk</w:t>
      </w:r>
    </w:p>
    <w:p>
      <w:r>
        <w:t>Definition: Risk arising from the magnitude and severity of historical price fluctuations.</w:t>
      </w:r>
    </w:p>
    <w:p>
      <w:r>
        <w:t>Metrics: Annualized Volatility, Maximum Drawdown and Downside Volatility, computed from up to 252 trading days of daily returns (minimum 60 observations required).</w:t>
      </w:r>
    </w:p>
    <w:p>
      <w:r>
        <w:t>Annualized Volatility = daily return standard deviation x sqrt(252). Maximum Drawdown = largest peak-to-trough decline in cumulative wealth. Downside Volatility = standard deviation of negative daily returns x sqrt(252).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Threshold (High)</w:t>
            </w:r>
          </w:p>
        </w:tc>
      </w:tr>
      <w:tr>
        <w:tc>
          <w:tcPr>
            <w:tcW w:type="dxa" w:w="2880"/>
          </w:tcPr>
          <w:p>
            <w:r>
              <w:t>Annualized Volatility</w:t>
            </w:r>
          </w:p>
        </w:tc>
        <w:tc>
          <w:tcPr>
            <w:tcW w:type="dxa" w:w="2880"/>
          </w:tcPr>
          <w:p>
            <w:r>
              <w:t>Direct-Bad</w:t>
            </w:r>
          </w:p>
        </w:tc>
        <w:tc>
          <w:tcPr>
            <w:tcW w:type="dxa" w:w="2880"/>
          </w:tcPr>
          <w:p>
            <w:r>
              <w:t>60%</w:t>
            </w:r>
          </w:p>
        </w:tc>
      </w:tr>
      <w:tr>
        <w:tc>
          <w:tcPr>
            <w:tcW w:type="dxa" w:w="2880"/>
          </w:tcPr>
          <w:p>
            <w:r>
              <w:t>Maximum Drawdown</w:t>
            </w:r>
          </w:p>
        </w:tc>
        <w:tc>
          <w:tcPr>
            <w:tcW w:type="dxa" w:w="2880"/>
          </w:tcPr>
          <w:p>
            <w:r>
              <w:t>Direct-Bad</w:t>
            </w:r>
          </w:p>
        </w:tc>
        <w:tc>
          <w:tcPr>
            <w:tcW w:type="dxa" w:w="2880"/>
          </w:tcPr>
          <w:p>
            <w:r>
              <w:t>50%</w:t>
            </w:r>
          </w:p>
        </w:tc>
      </w:tr>
      <w:tr>
        <w:tc>
          <w:tcPr>
            <w:tcW w:type="dxa" w:w="2880"/>
          </w:tcPr>
          <w:p>
            <w:r>
              <w:t>Downside Volatility</w:t>
            </w:r>
          </w:p>
        </w:tc>
        <w:tc>
          <w:tcPr>
            <w:tcW w:type="dxa" w:w="2880"/>
          </w:tcPr>
          <w:p>
            <w:r>
              <w:t>Direct-Bad</w:t>
            </w:r>
          </w:p>
        </w:tc>
        <w:tc>
          <w:tcPr>
            <w:tcW w:type="dxa" w:w="2880"/>
          </w:tcPr>
          <w:p>
            <w:r>
              <w:t>45%</w:t>
            </w:r>
          </w:p>
        </w:tc>
      </w:tr>
    </w:tbl>
    <w:p>
      <w:r>
        <w:t>Scoring: Stock Volatility Risk = average of the three normalized risks. Volatility Risk = weighted average of Stock Volatility Risk across holdings with sufficient return history, weighted by portfolio value.</w:t>
      </w:r>
    </w:p>
    <w:p>
      <w:pPr>
        <w:pStyle w:val="ListBullet"/>
      </w:pPr>
      <w:r>
        <w:t>Coverage is disclosed alongside the module score; the module defaults to 100 (maximum risk) if no holding has sufficient return history.</w:t>
      </w:r>
    </w:p>
    <w:p>
      <w:pPr>
        <w:pStyle w:val="Heading2"/>
      </w:pPr>
      <w:r>
        <w:t>4.7 Beta Risk</w:t>
      </w:r>
    </w:p>
    <w:p>
      <w:r>
        <w:t>Definition: Risk arising from a stock's sensitivity to broad market movements, relative to a market-cap-appropriate benchmark index.</w:t>
      </w:r>
    </w:p>
    <w:p>
      <w:r>
        <w:t>Beta = Covariance(stock daily returns, benchmark daily returns) / Variance(benchmark daily returns), computed on overlapping trading dates (minimum 60 observations required).</w:t>
      </w:r>
    </w:p>
    <w:p>
      <w:r>
        <w:t>The benchmark is chosen by the stock's own SEBI market-cap category, not NIFTY 50 for every stock: Large Cap uses Nifty 50, Mid Cap uses Nifty Midcap 150, and Small Cap uses Nifty 500. This avoids comparing a small-cap stock's sensitivity against a large-cap-only index, which understates or distorts its true Beta.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Cap Category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Benchmark Used</w:t>
            </w:r>
          </w:p>
        </w:tc>
      </w:tr>
      <w:tr>
        <w:tc>
          <w:tcPr>
            <w:tcW w:type="dxa" w:w="4320"/>
          </w:tcPr>
          <w:p>
            <w:r>
              <w:t>Large Cap</w:t>
            </w:r>
          </w:p>
        </w:tc>
        <w:tc>
          <w:tcPr>
            <w:tcW w:type="dxa" w:w="4320"/>
          </w:tcPr>
          <w:p>
            <w:r>
              <w:t>Nifty 50</w:t>
            </w:r>
          </w:p>
        </w:tc>
      </w:tr>
      <w:tr>
        <w:tc>
          <w:tcPr>
            <w:tcW w:type="dxa" w:w="4320"/>
          </w:tcPr>
          <w:p>
            <w:r>
              <w:t>Mid Cap</w:t>
            </w:r>
          </w:p>
        </w:tc>
        <w:tc>
          <w:tcPr>
            <w:tcW w:type="dxa" w:w="4320"/>
          </w:tcPr>
          <w:p>
            <w:r>
              <w:t>Nifty Midcap 150</w:t>
            </w:r>
          </w:p>
        </w:tc>
      </w:tr>
      <w:tr>
        <w:tc>
          <w:tcPr>
            <w:tcW w:type="dxa" w:w="4320"/>
          </w:tcPr>
          <w:p>
            <w:r>
              <w:t>Small Cap</w:t>
            </w:r>
          </w:p>
        </w:tc>
        <w:tc>
          <w:tcPr>
            <w:tcW w:type="dxa" w:w="4320"/>
          </w:tcPr>
          <w:p>
            <w:r>
              <w:t>Nifty 500</w:t>
            </w:r>
          </w:p>
        </w:tc>
      </w:tr>
    </w:tbl>
    <w:p>
      <w:r>
        <w:t>Scoring: Stock Beta Risk = clip(100 x (Beta - Low) / (High - Low), 0, 100), with Low = 0.6 (0 risk) and High = 1.6 (100 risk), applied identically regardless of which benchmark the Beta itself was computed against. Beta Risk = weighted average of Stock Beta Risk across holdings with sufficient overlapping return history, weighted by portfolio value.</w:t>
      </w:r>
    </w:p>
    <w:p>
      <w:pPr>
        <w:pStyle w:val="ListBullet"/>
      </w:pPr>
      <w:r>
        <w:t>Coverage is disclosed alongside the module score; the module defaults to 100 (maximum risk) if no holding has sufficient overlapping history with its benchmark.</w:t>
      </w:r>
    </w:p>
    <w:p>
      <w:pPr>
        <w:pStyle w:val="Heading1"/>
      </w:pPr>
      <w:r>
        <w:t>5. Overall Score and Worked Aggregation</w:t>
      </w:r>
    </w:p>
    <w:p>
      <w:r>
        <w:t>Overall Risk-O-Meter Score = Sum(Module Score x Module Weight), clipped to 0-100 and rounded to two decimals. The Overall Rating is then read from the bands in Section 2.</w:t>
      </w:r>
    </w:p>
    <w:p>
      <w:r>
        <w:t>Example: if Concentration = 35, Sector = 40, Market Cap = 30, Quality = 25, Liquidity = 20, Volatility = 45 and Beta = 50, then Overall = 35(0.15) + 40(0.15) + 30(0.10) + 25(0.15) + 20(0.10) + 45(0.20) + 50(0.15) = 36.50, which falls in the Low band (20-40) per Section 2.</w:t>
      </w:r>
    </w:p>
    <w:p>
      <w:pPr>
        <w:pStyle w:val="Heading1"/>
      </w:pPr>
      <w:r>
        <w:t>6. Configurability</w:t>
      </w:r>
    </w:p>
    <w:p>
      <w:r>
        <w:t>All module weights, thresholds, rating bands and lookback windows used in this methodology are defined in riskometer_config.json and can be revised centrally without changing the scoring code in riskometer.py. A fully transparent, stock-by-stock recalculation for any specific portfolio is produced separately by scripts/generate_risk_calculation_doc.py.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