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Style Classification Methodology (Version 1)</w:t>
      </w:r>
    </w:p>
    <w:p>
      <w:r>
        <w:t>Objective: Define the data and calculations required to classify stocks into Growth, Value, Momentum and Quality styles, and to separately report a Size classification. Volatility and Liquidity risk are already calculated at the portfolio level in the Risk-O-Meter and are intentionally not recalculated here.</w:t>
      </w:r>
    </w:p>
    <w:p>
      <w:pPr>
        <w:pStyle w:val="Heading2"/>
      </w:pPr>
      <w:r>
        <w:t>Growth</w:t>
      </w:r>
    </w:p>
    <w:p>
      <w:r>
        <w:t>Data Required:</w:t>
      </w:r>
    </w:p>
    <w:p>
      <w:pPr>
        <w:pStyle w:val="ListBullet"/>
      </w:pPr>
      <w:r>
        <w:t>Revenue (5Y)</w:t>
      </w:r>
    </w:p>
    <w:p>
      <w:pPr>
        <w:pStyle w:val="ListBullet"/>
      </w:pPr>
      <w:r>
        <w:t>EPS (5Y)</w:t>
      </w:r>
    </w:p>
    <w:p>
      <w:pPr>
        <w:pStyle w:val="ListBullet"/>
      </w:pPr>
      <w:r>
        <w:t>Net Profit (5Y)</w:t>
      </w:r>
    </w:p>
    <w:p>
      <w:pPr>
        <w:pStyle w:val="ListBullet"/>
      </w:pPr>
      <w:r>
        <w:t>ROE (5Y)</w:t>
      </w:r>
    </w:p>
    <w:p>
      <w:pPr>
        <w:pStyle w:val="ListBullet"/>
      </w:pPr>
      <w:r>
        <w:t>ROCE (5Y)</w:t>
      </w:r>
    </w:p>
    <w:p>
      <w:r>
        <w:t>Calculations:</w:t>
      </w:r>
    </w:p>
    <w:p>
      <w:r>
        <w:t>Revenue CAGR: ((Ending Revenue / Beginning Revenue)^(1/Years))-1</w:t>
        <w:br/>
        <w:t>Measures annualized revenue growth.</w:t>
      </w:r>
    </w:p>
    <w:p>
      <w:r>
        <w:t>EPS CAGR: ((Ending EPS / Beginning EPS)^(1/Years))-1</w:t>
        <w:br/>
        <w:t>Measures annualized EPS growth.</w:t>
      </w:r>
    </w:p>
    <w:p>
      <w:r>
        <w:t>Net Profit CAGR: ((Ending Profit / Beginning Profit)^(1/Years))-1</w:t>
        <w:br/>
        <w:t>Measures annualized profit growth.</w:t>
      </w:r>
    </w:p>
    <w:p>
      <w:r>
        <w:t>Average ROE: Average of last 5 yearly ROE values</w:t>
        <w:br/>
        <w:t>Higher is better.</w:t>
      </w:r>
    </w:p>
    <w:p>
      <w:r>
        <w:t>Average ROCE: Average of last 5 yearly ROCE values</w:t>
        <w:br/>
        <w:t>Higher is better.</w:t>
      </w:r>
    </w:p>
    <w:p>
      <w:pPr>
        <w:pStyle w:val="Heading2"/>
      </w:pPr>
      <w:r>
        <w:t>Value</w:t>
      </w:r>
    </w:p>
    <w:p>
      <w:r>
        <w:t>Data Required:</w:t>
      </w:r>
    </w:p>
    <w:p>
      <w:pPr>
        <w:pStyle w:val="ListBullet"/>
      </w:pPr>
      <w:r>
        <w:t>Latest P/E</w:t>
      </w:r>
    </w:p>
    <w:p>
      <w:pPr>
        <w:pStyle w:val="ListBullet"/>
      </w:pPr>
      <w:r>
        <w:t>Latest P/B</w:t>
      </w:r>
    </w:p>
    <w:p>
      <w:pPr>
        <w:pStyle w:val="ListBullet"/>
      </w:pPr>
      <w:r>
        <w:t>Latest EV/EBITDA</w:t>
      </w:r>
    </w:p>
    <w:p>
      <w:pPr>
        <w:pStyle w:val="ListBullet"/>
      </w:pPr>
      <w:r>
        <w:t>Latest Dividend Yield</w:t>
      </w:r>
    </w:p>
    <w:p>
      <w:pPr>
        <w:pStyle w:val="ListBullet"/>
      </w:pPr>
      <w:r>
        <w:t>The stock's NSE sectoral index P/E, P/B, EV/EBITDA and Dividend Yield</w:t>
      </w:r>
    </w:p>
    <w:p>
      <w:r>
        <w:t>Calculations:</w:t>
      </w:r>
    </w:p>
    <w:p>
      <w:r>
        <w:t>P/E: Use latest value, compared against the stock's NSE sectoral index P/E.</w:t>
        <w:br/>
        <w:t>Lower relative to the sector benchmark is generally better.</w:t>
      </w:r>
    </w:p>
    <w:p>
      <w:r>
        <w:t>P/B: Use latest value, compared against the stock's NSE sectoral index P/B.</w:t>
        <w:br/>
        <w:t>Lower relative to the sector benchmark is generally better.</w:t>
      </w:r>
    </w:p>
    <w:p>
      <w:r>
        <w:t>EV/EBITDA: Use latest value, compared against the stock's NSE sectoral index EV/EBITDA.</w:t>
        <w:br/>
        <w:t>Lower relative to the sector benchmark is generally better.</w:t>
      </w:r>
    </w:p>
    <w:p>
      <w:r>
        <w:t>Dividend Yield: Use latest value, compared against the stock's NSE sectoral index Dividend Yield.</w:t>
        <w:br/>
        <w:t>Higher relative to the sector benchmark is generally better.</w:t>
      </w:r>
    </w:p>
    <w:p>
      <w:r>
        <w:t>Note: benchmarking against the stock's own NSE sectoral index (rather than the whole market) avoids penalizing naturally high-multiple sectors (e.g. IT) or over-rewarding naturally low-multiple sectors (e.g. PSUs, cyclicals).</w:t>
      </w:r>
    </w:p>
    <w:p>
      <w:pPr>
        <w:pStyle w:val="Heading2"/>
      </w:pPr>
      <w:r>
        <w:t>Momentum</w:t>
      </w:r>
    </w:p>
    <w:p>
      <w:r>
        <w:t>Data Required:</w:t>
      </w:r>
    </w:p>
    <w:p>
      <w:pPr>
        <w:pStyle w:val="ListBullet"/>
      </w:pPr>
      <w:r>
        <w:t>1 year daily stock close</w:t>
      </w:r>
    </w:p>
    <w:p>
      <w:pPr>
        <w:pStyle w:val="ListBullet"/>
      </w:pPr>
      <w:r>
        <w:t>1 year daily Nifty50 close</w:t>
      </w:r>
    </w:p>
    <w:p>
      <w:r>
        <w:t>Calculations:</w:t>
      </w:r>
    </w:p>
    <w:p>
      <w:r>
        <w:t>6 Month Return: (Current Price / Price 6 Months Ago)-1</w:t>
        <w:br/>
        <w:t>Example: 250/200=1.25;1.25-1=0.25=25%</w:t>
      </w:r>
    </w:p>
    <w:p>
      <w:r>
        <w:t>12 Month Return: (Current Price / Price 12 Months Ago)-1</w:t>
        <w:br/>
        <w:t>Same approach over 12 months.</w:t>
      </w:r>
    </w:p>
    <w:p>
      <w:r>
        <w:t>Relative Strength: (1 + 12M Stock Return) / (1 + 12M Nifty Return)</w:t>
        <w:br/>
        <w:t>A ratio above 1 means outperformance versus Nifty over the trailing 12 months.</w:t>
      </w:r>
    </w:p>
    <w:p>
      <w:r>
        <w:t>200 DMA: Current Price &gt; 200-day Moving Average</w:t>
        <w:br/>
        <w:t>Above=positive trend.</w:t>
      </w:r>
    </w:p>
    <w:p>
      <w:pPr>
        <w:pStyle w:val="Heading2"/>
      </w:pPr>
      <w:r>
        <w:t>Quality</w:t>
      </w:r>
    </w:p>
    <w:p>
      <w:r>
        <w:t>Data Required:</w:t>
      </w:r>
    </w:p>
    <w:p>
      <w:pPr>
        <w:pStyle w:val="ListBullet"/>
      </w:pPr>
      <w:r>
        <w:t>ROE</w:t>
      </w:r>
    </w:p>
    <w:p>
      <w:pPr>
        <w:pStyle w:val="ListBullet"/>
      </w:pPr>
      <w:r>
        <w:t>ROCE</w:t>
      </w:r>
    </w:p>
    <w:p>
      <w:pPr>
        <w:pStyle w:val="ListBullet"/>
      </w:pPr>
      <w:r>
        <w:t>Debt/Equity</w:t>
      </w:r>
    </w:p>
    <w:p>
      <w:pPr>
        <w:pStyle w:val="ListBullet"/>
      </w:pPr>
      <w:r>
        <w:t>Interest Coverage</w:t>
      </w:r>
    </w:p>
    <w:p>
      <w:r>
        <w:t>Calculations:</w:t>
      </w:r>
    </w:p>
    <w:p>
      <w:r>
        <w:t>ROE: Latest year</w:t>
        <w:br/>
        <w:t>Higher better.</w:t>
      </w:r>
    </w:p>
    <w:p>
      <w:r>
        <w:t>ROCE: Latest year</w:t>
        <w:br/>
        <w:t>Higher better.</w:t>
      </w:r>
    </w:p>
    <w:p>
      <w:r>
        <w:t>Debt/Equity: Latest</w:t>
        <w:br/>
        <w:t>Lower better.</w:t>
      </w:r>
    </w:p>
    <w:p>
      <w:r>
        <w:t>Interest Coverage: Latest</w:t>
        <w:br/>
        <w:t>Higher better.</w:t>
      </w:r>
    </w:p>
    <w:p>
      <w:pPr>
        <w:pStyle w:val="Heading2"/>
      </w:pPr>
      <w:r>
        <w:t>Size</w:t>
      </w:r>
    </w:p>
    <w:p>
      <w:r>
        <w:t>Data Required:</w:t>
      </w:r>
    </w:p>
    <w:p>
      <w:pPr>
        <w:pStyle w:val="ListBullet"/>
      </w:pPr>
      <w:r>
        <w:t>Latest Market Cap</w:t>
      </w:r>
    </w:p>
    <w:p>
      <w:r>
        <w:t>Calculations:</w:t>
      </w:r>
    </w:p>
    <w:p>
      <w:r>
        <w:t>Classification: Large/Mid/Small/Micro</w:t>
        <w:br/>
        <w:t>Based on NSE/AMFI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