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Stock Style Rating &amp; Scoring Methodology (Version 1)</w:t>
      </w:r>
    </w:p>
    <w:p>
      <w:r>
        <w:t>This document defines the minimum eligibility criteria, scoring methodology and rating framework for classifying stocks.</w:t>
      </w:r>
    </w:p>
    <w:p>
      <w:pPr>
        <w:pStyle w:val="Heading2"/>
      </w:pPr>
      <w:r>
        <w:t>Growth</w:t>
      </w:r>
    </w:p>
    <w:p>
      <w:r>
        <w:t>Definition: A company showing sustained earnings and business growth.</w:t>
      </w:r>
    </w:p>
    <w:p>
      <w:r>
        <w:t>Eligibility Rule: Pass at least 4 of 5 metrics.</w:t>
      </w:r>
    </w:p>
    <w:p>
      <w:r>
        <w:t>Scoring: Convert each eligible metric to a 0-100 score. Style Score = Weighted average of metric scores.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Minimum Requirement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Revenue Growth (5Y CAGR)</w:t>
            </w:r>
          </w:p>
        </w:tc>
        <w:tc>
          <w:tcPr>
            <w:tcW w:type="dxa" w:w="2880"/>
          </w:tcPr>
          <w:p>
            <w:r>
              <w:t>&gt;=10%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PAT Growth (5Y CAGR)</w:t>
            </w:r>
          </w:p>
        </w:tc>
        <w:tc>
          <w:tcPr>
            <w:tcW w:type="dxa" w:w="2880"/>
          </w:tcPr>
          <w:p>
            <w:r>
              <w:t>&gt;=10%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EPS Growth (5Y CAGR)</w:t>
            </w:r>
          </w:p>
        </w:tc>
        <w:tc>
          <w:tcPr>
            <w:tcW w:type="dxa" w:w="2880"/>
          </w:tcPr>
          <w:p>
            <w:r>
              <w:t>&gt;=10%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ROE</w:t>
            </w:r>
          </w:p>
        </w:tc>
        <w:tc>
          <w:tcPr>
            <w:tcW w:type="dxa" w:w="2880"/>
          </w:tcPr>
          <w:p>
            <w:r>
              <w:t>&gt;=15%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ROCE</w:t>
            </w:r>
          </w:p>
        </w:tc>
        <w:tc>
          <w:tcPr>
            <w:tcW w:type="dxa" w:w="2880"/>
          </w:tcPr>
          <w:p>
            <w:r>
              <w:t>&gt;=15%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</w:tbl>
    <w:p>
      <w:r>
        <w:t>All five Growth metrics require a full 5-year history. A company listed less than 5 years ago will have no computable Growth metrics and is reported as Not Applicable (insufficient listing history) for Growth -- this is distinct from, and should not be confused with, a stock that is scored on complete data but genuinely underperforms.</w:t>
      </w:r>
    </w:p>
    <w:p>
      <w:pPr>
        <w:pStyle w:val="Heading2"/>
      </w:pPr>
      <w:r>
        <w:t>Value</w:t>
      </w:r>
    </w:p>
    <w:p>
      <w:r>
        <w:t>Definition: A fundamentally attractive company trading at reasonable valuation.</w:t>
      </w:r>
    </w:p>
    <w:p>
      <w:r>
        <w:t>Eligibility Rule: Pass at least 3 of 4 metrics.</w:t>
      </w:r>
    </w:p>
    <w:p>
      <w:r>
        <w:t>Scoring: Convert each eligible metric to a 0-100 score. Style Score = Weighted average of metric scores.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Minimum Requirement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P/E</w:t>
            </w:r>
          </w:p>
        </w:tc>
        <w:tc>
          <w:tcPr>
            <w:tcW w:type="dxa" w:w="2880"/>
          </w:tcPr>
          <w:p>
            <w:r>
              <w:t>Lower than NSE sectoral index P/E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P/B</w:t>
            </w:r>
          </w:p>
        </w:tc>
        <w:tc>
          <w:tcPr>
            <w:tcW w:type="dxa" w:w="2880"/>
          </w:tcPr>
          <w:p>
            <w:r>
              <w:t>Lower than NSE sectoral index P/B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EV/EBITDA</w:t>
            </w:r>
          </w:p>
        </w:tc>
        <w:tc>
          <w:tcPr>
            <w:tcW w:type="dxa" w:w="2880"/>
          </w:tcPr>
          <w:p>
            <w:r>
              <w:t>Lower than NSE sectoral index EV/EBITDA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Dividend Yield</w:t>
            </w:r>
          </w:p>
        </w:tc>
        <w:tc>
          <w:tcPr>
            <w:tcW w:type="dxa" w:w="2880"/>
          </w:tcPr>
          <w:p>
            <w:r>
              <w:t>Higher than NSE sectoral index Dividend Yield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</w:tbl>
    <w:p>
      <w:r>
        <w:t>Note: minimum requirements are benchmarked against the stock's own NSE sectoral index rather than the whole market, so naturally high-multiple sectors (e.g. IT) and naturally low-multiple sectors (e.g. PSUs, cyclicals) are compared against fair, sector-relative expectations instead of one universal bar.</w:t>
      </w:r>
    </w:p>
    <w:p>
      <w:pPr>
        <w:pStyle w:val="Heading2"/>
      </w:pPr>
      <w:r>
        <w:t>Momentum</w:t>
      </w:r>
    </w:p>
    <w:p>
      <w:r>
        <w:t>Definition: A stock exhibiting sustained positive price trend.</w:t>
      </w:r>
    </w:p>
    <w:p>
      <w:r>
        <w:t>Eligibility Rule: Pass at least 3 of 4 metrics.</w:t>
      </w:r>
    </w:p>
    <w:p>
      <w:r>
        <w:t>Scoring: Convert each eligible metric to a 0-100 score. Style Score = Weighted average of metric scores.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Minimum Requirement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6M Return</w:t>
            </w:r>
          </w:p>
        </w:tc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12M Return</w:t>
            </w:r>
          </w:p>
        </w:tc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Relative Strength vs Nifty</w:t>
            </w:r>
          </w:p>
        </w:tc>
        <w:tc>
          <w:tcPr>
            <w:tcW w:type="dxa" w:w="2880"/>
          </w:tcPr>
          <w:p>
            <w:r>
              <w:t>&gt;1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Price &gt; 200 DMA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</w:tbl>
    <w:p>
      <w:r>
        <w:t>Relative Strength = (1 + 12M Stock Return) / (1 + 12M Nifty Return); a ratio above 1 means the stock outperformed Nifty over the trailing 12 months.</w:t>
      </w:r>
    </w:p>
    <w:p>
      <w:pPr>
        <w:pStyle w:val="Heading2"/>
      </w:pPr>
      <w:r>
        <w:t>Quality</w:t>
      </w:r>
    </w:p>
    <w:p>
      <w:r>
        <w:t>Definition: A financially strong business with efficient capital allocation.</w:t>
      </w:r>
    </w:p>
    <w:p>
      <w:r>
        <w:t>Eligibility Rule: Pass at least 3 of 4 metrics.</w:t>
      </w:r>
    </w:p>
    <w:p>
      <w:r>
        <w:t>Scoring: Convert each eligible metric to a 0-100 score. Style Score = Weighted average of metric scores.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Minimum Requirement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ROE</w:t>
            </w:r>
          </w:p>
        </w:tc>
        <w:tc>
          <w:tcPr>
            <w:tcW w:type="dxa" w:w="2880"/>
          </w:tcPr>
          <w:p>
            <w:r>
              <w:t>&gt;=15%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ROCE</w:t>
            </w:r>
          </w:p>
        </w:tc>
        <w:tc>
          <w:tcPr>
            <w:tcW w:type="dxa" w:w="2880"/>
          </w:tcPr>
          <w:p>
            <w:r>
              <w:t>&gt;=15%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Debt/Equity</w:t>
            </w:r>
          </w:p>
        </w:tc>
        <w:tc>
          <w:tcPr>
            <w:tcW w:type="dxa" w:w="2880"/>
          </w:tcPr>
          <w:p>
            <w:r>
              <w:t>&lt;=0.50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Interest Coverage</w:t>
            </w:r>
          </w:p>
        </w:tc>
        <w:tc>
          <w:tcPr>
            <w:tcW w:type="dxa" w:w="2880"/>
          </w:tcPr>
          <w:p>
            <w:r>
              <w:t>&gt;=5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</w:tbl>
    <w:p>
      <w:pPr>
        <w:pStyle w:val="Heading2"/>
      </w:pPr>
      <w:r>
        <w:t>Size</w:t>
      </w:r>
    </w:p>
    <w:p>
      <w:r>
        <w:t>Definition: Classification by market capitalization.</w:t>
      </w:r>
    </w:p>
    <w:p>
      <w:r>
        <w:t>Eligibility Rule: Classification only.</w:t>
      </w:r>
    </w:p>
    <w:p>
      <w:r>
        <w:t>Scoring: Convert each eligible metric to a 0-100 score. Style Score = Weighted average of metric scores.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Minimum Requirement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Large Cap</w:t>
            </w:r>
          </w:p>
        </w:tc>
        <w:tc>
          <w:tcPr>
            <w:tcW w:type="dxa" w:w="2880"/>
          </w:tcPr>
          <w:p>
            <w:r>
              <w:t>Top 100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Mid Cap</w:t>
            </w:r>
          </w:p>
        </w:tc>
        <w:tc>
          <w:tcPr>
            <w:tcW w:type="dxa" w:w="2880"/>
          </w:tcPr>
          <w:p>
            <w:r>
              <w:t>Next 150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Small Cap</w:t>
            </w:r>
          </w:p>
        </w:tc>
        <w:tc>
          <w:tcPr>
            <w:tcW w:type="dxa" w:w="2880"/>
          </w:tcPr>
          <w:p>
            <w:r>
              <w:t>Remaining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2"/>
      </w:pPr>
      <w:r>
        <w:t>Final Rating Bands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  <w:tr>
        <w:tc>
          <w:tcPr>
            <w:tcW w:type="dxa" w:w="2880"/>
          </w:tcPr>
          <w:p>
            <w:r>
              <w:t>90-100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Exceptional</w:t>
            </w:r>
          </w:p>
        </w:tc>
      </w:tr>
      <w:tr>
        <w:tc>
          <w:tcPr>
            <w:tcW w:type="dxa" w:w="2880"/>
          </w:tcPr>
          <w:p>
            <w:r>
              <w:t>80-89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  <w:tc>
          <w:tcPr>
            <w:tcW w:type="dxa" w:w="2880"/>
          </w:tcPr>
          <w:p>
            <w:r>
              <w:t>Very Strong</w:t>
            </w:r>
          </w:p>
        </w:tc>
      </w:tr>
      <w:tr>
        <w:tc>
          <w:tcPr>
            <w:tcW w:type="dxa" w:w="2880"/>
          </w:tcPr>
          <w:p>
            <w:r>
              <w:t>70-79</w:t>
            </w:r>
          </w:p>
        </w:tc>
        <w:tc>
          <w:tcPr>
            <w:tcW w:type="dxa" w:w="2880"/>
          </w:tcPr>
          <w:p>
            <w:r>
              <w:t>★★★★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</w:tr>
      <w:tr>
        <w:tc>
          <w:tcPr>
            <w:tcW w:type="dxa" w:w="2880"/>
          </w:tcPr>
          <w:p>
            <w:r>
              <w:t>60-69</w:t>
            </w:r>
          </w:p>
        </w:tc>
        <w:tc>
          <w:tcPr>
            <w:tcW w:type="dxa" w:w="2880"/>
          </w:tcPr>
          <w:p>
            <w:r>
              <w:t>★★★☆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50-59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  <w:tc>
          <w:tcPr>
            <w:tcW w:type="dxa" w:w="2880"/>
          </w:tcPr>
          <w:p>
            <w:r>
              <w:t>Average</w:t>
            </w:r>
          </w:p>
        </w:tc>
      </w:tr>
      <w:tr>
        <w:tc>
          <w:tcPr>
            <w:tcW w:type="dxa" w:w="2880"/>
          </w:tcPr>
          <w:p>
            <w:r>
              <w:t>40-49</w:t>
            </w:r>
          </w:p>
        </w:tc>
        <w:tc>
          <w:tcPr>
            <w:tcW w:type="dxa" w:w="2880"/>
          </w:tcPr>
          <w:p>
            <w:r>
              <w:t>★★☆</w:t>
            </w:r>
          </w:p>
        </w:tc>
        <w:tc>
          <w:tcPr>
            <w:tcW w:type="dxa" w:w="2880"/>
          </w:tcPr>
          <w:p>
            <w:r>
              <w:t>Weak</w:t>
            </w:r>
          </w:p>
        </w:tc>
      </w:tr>
      <w:tr>
        <w:tc>
          <w:tcPr>
            <w:tcW w:type="dxa" w:w="2880"/>
          </w:tcPr>
          <w:p>
            <w:r>
              <w:t>&lt;40</w:t>
            </w:r>
          </w:p>
        </w:tc>
        <w:tc>
          <w:tcPr>
            <w:tcW w:type="dxa" w:w="2880"/>
          </w:tcPr>
          <w:p>
            <w:r>
              <w:t>★</w:t>
            </w:r>
          </w:p>
        </w:tc>
        <w:tc>
          <w:tcPr>
            <w:tcW w:type="dxa" w:w="2880"/>
          </w:tcPr>
          <w:p>
            <w:r>
              <w:t>Very Weak</w:t>
            </w:r>
          </w:p>
        </w:tc>
      </w:tr>
    </w:tbl>
    <w:p>
      <w:pPr>
        <w:pStyle w:val="Heading2"/>
      </w:pPr>
      <w:r>
        <w:t>Final Classification</w:t>
      </w:r>
    </w:p>
    <w:p>
      <w:r>
        <w:t>Every stock receives Growth, Value, Momentum, Quality and Size scores. Primary Style is the highest score; Secondary Style is the second-highest score. Volatility and Liquidity risk are reported separately at the portfolio level in the Risk-O-Meter and do not contribute to Primary/Secondary 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