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4.png" ContentType="image/png"/>
  <Override PartName="/word/media/rId28.png" ContentType="image/png"/>
  <Override PartName="/word/media/rId32.png" ContentType="image/png"/>
  <Override PartName="/word/media/rId36.png" ContentType="image/png"/>
  <Override PartName="/word/media/rId40.png" ContentType="image/png"/>
  <Override PartName="/word/media/rId44.png" ContentType="image/png"/>
  <Override PartName="/word/media/rId4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Лабороторной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3</w:t>
      </w:r>
    </w:p>
    <w:p>
      <w:pPr>
        <w:pStyle w:val="Subtitle"/>
      </w:pPr>
      <w:r>
        <w:t xml:space="preserve">Markdown</w:t>
      </w:r>
    </w:p>
    <w:p>
      <w:pPr>
        <w:pStyle w:val="Author"/>
      </w:pPr>
      <w:r>
        <w:t xml:space="preserve">Парфенова</w:t>
      </w:r>
      <w:r>
        <w:t xml:space="preserve"> </w:t>
      </w:r>
      <w:r>
        <w:t xml:space="preserve">Елизавета</w:t>
      </w:r>
      <w:r>
        <w:t xml:space="preserve"> </w:t>
      </w:r>
      <w:r>
        <w:t xml:space="preserve">Евгеньевна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Научиться оформлять отчёты с помощью легковесного языка разметки Markdown.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– Сделайте отчёт по предыдущей лабораторной работе в формате Markdown.</w:t>
      </w:r>
    </w:p>
    <w:p>
      <w:pPr>
        <w:pStyle w:val="BodyText"/>
      </w:pPr>
      <w:r>
        <w:t xml:space="preserve">– В качестве отчёта просьба предоставить отчёты в 3 форматах: pdf, docx и md (в архиве,</w:t>
      </w:r>
      <w:r>
        <w:t xml:space="preserve"> </w:t>
      </w:r>
      <w:r>
        <w:t xml:space="preserve">поскольку он должен содержать скриншоты, Makefile и т.д.)</w:t>
      </w:r>
    </w:p>
    <w:bookmarkEnd w:id="21"/>
    <w:bookmarkStart w:id="23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bookmarkStart w:id="22" w:name="базовые-сведения-о-markdown"/>
    <w:p>
      <w:pPr>
        <w:pStyle w:val="Heading3"/>
      </w:pPr>
      <w:r>
        <w:rPr>
          <w:rStyle w:val="SectionNumber"/>
        </w:rPr>
        <w:t xml:space="preserve">3.0.1</w:t>
      </w:r>
      <w:r>
        <w:tab/>
      </w:r>
      <w:r>
        <w:rPr>
          <w:bCs/>
          <w:b/>
        </w:rPr>
        <w:t xml:space="preserve">Базовые сведения о Markdown</w:t>
      </w:r>
    </w:p>
    <w:p>
      <w:pPr>
        <w:pStyle w:val="FirstParagraph"/>
      </w:pPr>
      <w:r>
        <w:t xml:space="preserve">Чтобы создать заголовок, используйте знак ( # ), например:</w:t>
      </w:r>
    </w:p>
    <w:p>
      <w:pPr>
        <w:numPr>
          <w:ilvl w:val="0"/>
          <w:numId w:val="1001"/>
        </w:numPr>
      </w:pPr>
      <w:r>
        <w:t xml:space="preserve">‘</w:t>
      </w:r>
      <w:r>
        <w:t xml:space="preserve"># This is heading 1</w:t>
      </w:r>
      <w:r>
        <w:t xml:space="preserve">’</w:t>
      </w:r>
    </w:p>
    <w:p>
      <w:pPr>
        <w:numPr>
          <w:ilvl w:val="0"/>
          <w:numId w:val="1001"/>
        </w:numPr>
      </w:pPr>
      <w:r>
        <w:t xml:space="preserve">‘</w:t>
      </w:r>
      <w:r>
        <w:t xml:space="preserve">## This is heading 2</w:t>
      </w:r>
      <w:r>
        <w:t xml:space="preserve">’</w:t>
      </w:r>
    </w:p>
    <w:p>
      <w:pPr>
        <w:numPr>
          <w:ilvl w:val="0"/>
          <w:numId w:val="1001"/>
        </w:numPr>
      </w:pPr>
      <w:r>
        <w:t xml:space="preserve">‘</w:t>
      </w:r>
      <w:r>
        <w:t xml:space="preserve">### This is heading 3</w:t>
      </w:r>
      <w:r>
        <w:t xml:space="preserve">’</w:t>
      </w:r>
    </w:p>
    <w:p>
      <w:pPr>
        <w:numPr>
          <w:ilvl w:val="0"/>
          <w:numId w:val="1001"/>
        </w:numPr>
      </w:pPr>
      <w:r>
        <w:t xml:space="preserve">‘</w:t>
      </w:r>
      <w:r>
        <w:t xml:space="preserve">#### This is heading 4</w:t>
      </w:r>
      <w:r>
        <w:t xml:space="preserve">’</w:t>
      </w:r>
    </w:p>
    <w:p>
      <w:pPr>
        <w:pStyle w:val="FirstParagraph"/>
      </w:pPr>
      <w:r>
        <w:t xml:space="preserve">Чтобы задать для текста полужирное начертание, заключите его в двойные звездочки:</w:t>
      </w:r>
    </w:p>
    <w:p>
      <w:pPr>
        <w:pStyle w:val="BodyText"/>
      </w:pPr>
      <w:r>
        <w:t xml:space="preserve">This text is</w:t>
      </w:r>
      <w:r>
        <w:t xml:space="preserve"> </w:t>
      </w:r>
      <w:r>
        <w:rPr>
          <w:bCs/>
          <w:b/>
        </w:rPr>
        <w:t xml:space="preserve">bold</w:t>
      </w:r>
    </w:p>
    <w:p>
      <w:pPr>
        <w:pStyle w:val="BodyText"/>
      </w:pPr>
      <w:r>
        <w:t xml:space="preserve">Чтобы задать для текста курсивное начертание, заключите его в одинарные звездочки:</w:t>
      </w:r>
    </w:p>
    <w:p>
      <w:pPr>
        <w:pStyle w:val="BodyText"/>
      </w:pPr>
      <w:r>
        <w:t xml:space="preserve">This text is</w:t>
      </w:r>
      <w:r>
        <w:t xml:space="preserve"> </w:t>
      </w:r>
      <w:r>
        <w:rPr>
          <w:iCs/>
          <w:i/>
        </w:rPr>
        <w:t xml:space="preserve">italic</w:t>
      </w:r>
    </w:p>
    <w:p>
      <w:pPr>
        <w:pStyle w:val="BodyText"/>
      </w:pPr>
      <w:r>
        <w:t xml:space="preserve">Чтобы задать для текста полужирное и курсивное начертание, заключите его в тройные</w:t>
      </w:r>
      <w:r>
        <w:t xml:space="preserve"> </w:t>
      </w:r>
      <w:r>
        <w:t xml:space="preserve">звездочки:</w:t>
      </w:r>
    </w:p>
    <w:p>
      <w:pPr>
        <w:pStyle w:val="BodyText"/>
      </w:pPr>
      <w:r>
        <w:t xml:space="preserve">This is text is both</w:t>
      </w:r>
      <w:r>
        <w:t xml:space="preserve"> </w:t>
      </w:r>
      <w:r>
        <w:rPr>
          <w:iCs/>
          <w:i/>
          <w:bCs/>
          <w:b/>
        </w:rPr>
        <w:t xml:space="preserve">bold and italic</w:t>
      </w:r>
    </w:p>
    <w:p>
      <w:pPr>
        <w:pStyle w:val="BodyText"/>
      </w:pPr>
      <w:r>
        <w:t xml:space="preserve">Блоки цитирования создаются с помощью символа &gt;:</w:t>
      </w:r>
    </w:p>
    <w:p>
      <w:pPr>
        <w:pStyle w:val="BlockText"/>
      </w:pPr>
      <w:r>
        <w:t xml:space="preserve">The drought had lasted now for ten million years, and the reign of the terrible lizards had long since ended. Here on the Equator, in</w:t>
      </w:r>
      <w:r>
        <w:t xml:space="preserve"> </w:t>
      </w:r>
      <w:r>
        <w:t xml:space="preserve">the continent which would one day be known as Africa, the battle for existence had reached a new climax of ferocity, and the victor</w:t>
      </w:r>
      <w:r>
        <w:t xml:space="preserve"> </w:t>
      </w:r>
      <w:r>
        <w:t xml:space="preserve">was not yet in sight. In this barren and desiccated land, only the small or the swift or the fierce could flourish, or even hope to</w:t>
      </w:r>
      <w:r>
        <w:t xml:space="preserve"> </w:t>
      </w:r>
      <w:r>
        <w:t xml:space="preserve">survive.</w:t>
      </w:r>
    </w:p>
    <w:p>
      <w:pPr>
        <w:pStyle w:val="FirstParagraph"/>
      </w:pPr>
      <w:r>
        <w:t xml:space="preserve">Неупорядоченный (маркированный) список можно отформатировать с помощью звездочек или тире:</w:t>
      </w:r>
    </w:p>
    <w:p>
      <w:pPr>
        <w:numPr>
          <w:ilvl w:val="0"/>
          <w:numId w:val="1002"/>
        </w:numPr>
      </w:pPr>
      <w:r>
        <w:t xml:space="preserve">List item 1</w:t>
      </w:r>
    </w:p>
    <w:p>
      <w:pPr>
        <w:numPr>
          <w:ilvl w:val="0"/>
          <w:numId w:val="1002"/>
        </w:numPr>
      </w:pPr>
      <w:r>
        <w:t xml:space="preserve">List item 2</w:t>
      </w:r>
    </w:p>
    <w:p>
      <w:pPr>
        <w:numPr>
          <w:ilvl w:val="0"/>
          <w:numId w:val="1002"/>
        </w:numPr>
      </w:pPr>
      <w:r>
        <w:t xml:space="preserve">List item 3</w:t>
      </w:r>
    </w:p>
    <w:p>
      <w:pPr>
        <w:pStyle w:val="FirstParagraph"/>
      </w:pPr>
      <w:r>
        <w:t xml:space="preserve">Чтобы вложить один список в другой, добавьте отступ для элементов дочернего списка:</w:t>
      </w:r>
    </w:p>
    <w:p>
      <w:pPr>
        <w:numPr>
          <w:ilvl w:val="0"/>
          <w:numId w:val="1003"/>
        </w:numPr>
      </w:pPr>
      <w:r>
        <w:t xml:space="preserve">List item 1</w:t>
      </w:r>
    </w:p>
    <w:p>
      <w:pPr>
        <w:numPr>
          <w:ilvl w:val="1"/>
          <w:numId w:val="1004"/>
        </w:numPr>
      </w:pPr>
      <w:r>
        <w:t xml:space="preserve">List item A</w:t>
      </w:r>
    </w:p>
    <w:p>
      <w:pPr>
        <w:numPr>
          <w:ilvl w:val="1"/>
          <w:numId w:val="1004"/>
        </w:numPr>
      </w:pPr>
      <w:r>
        <w:t xml:space="preserve">List item B</w:t>
      </w:r>
    </w:p>
    <w:p>
      <w:pPr>
        <w:numPr>
          <w:ilvl w:val="0"/>
          <w:numId w:val="1003"/>
        </w:numPr>
      </w:pPr>
      <w:r>
        <w:t xml:space="preserve">List item 2</w:t>
      </w:r>
    </w:p>
    <w:p>
      <w:pPr>
        <w:pStyle w:val="FirstParagraph"/>
      </w:pPr>
      <w:r>
        <w:t xml:space="preserve">Упорядоченный список можно отформатировать с помощью соответствующих цифр:</w:t>
      </w:r>
    </w:p>
    <w:p>
      <w:pPr>
        <w:numPr>
          <w:ilvl w:val="0"/>
          <w:numId w:val="1005"/>
        </w:numPr>
      </w:pPr>
      <w:r>
        <w:t xml:space="preserve">First instruction</w:t>
      </w:r>
    </w:p>
    <w:p>
      <w:pPr>
        <w:numPr>
          <w:ilvl w:val="0"/>
          <w:numId w:val="1005"/>
        </w:numPr>
      </w:pPr>
      <w:r>
        <w:t xml:space="preserve">Second instruction</w:t>
      </w:r>
    </w:p>
    <w:p>
      <w:pPr>
        <w:numPr>
          <w:ilvl w:val="0"/>
          <w:numId w:val="1005"/>
        </w:numPr>
      </w:pPr>
      <w:r>
        <w:t xml:space="preserve">Third instruction</w:t>
      </w:r>
    </w:p>
    <w:p>
      <w:pPr>
        <w:pStyle w:val="FirstParagraph"/>
      </w:pPr>
      <w:r>
        <w:t xml:space="preserve">Чтобы вложить один список в другой, добавьте отступ для элементов дочернего списка:</w:t>
      </w:r>
      <w:r>
        <w:t xml:space="preserve"> </w:t>
      </w:r>
      <w:r>
        <w:t xml:space="preserve">1. First instruction</w:t>
      </w:r>
      <w:r>
        <w:t xml:space="preserve"> </w:t>
      </w:r>
      <w:r>
        <w:t xml:space="preserve">1. Sub-instruction</w:t>
      </w:r>
      <w:r>
        <w:t xml:space="preserve"> </w:t>
      </w:r>
      <w:r>
        <w:t xml:space="preserve">1. Sub-instruction</w:t>
      </w:r>
      <w:r>
        <w:t xml:space="preserve"> </w:t>
      </w:r>
      <w:r>
        <w:t xml:space="preserve">1. Second instruction</w:t>
      </w:r>
    </w:p>
    <w:p>
      <w:pPr>
        <w:pStyle w:val="BodyText"/>
      </w:pPr>
      <w:r>
        <w:t xml:space="preserve">Синтаксис Markdown для встроенной ссылки состоит из части [link text] , представляющей текст гиперссылки, и части (file-name.md) – URL-адреса или имени файла,</w:t>
      </w:r>
      <w:r>
        <w:t xml:space="preserve"> </w:t>
      </w:r>
      <w:r>
        <w:t xml:space="preserve">на который дается ссылка:</w:t>
      </w:r>
    </w:p>
    <w:p>
      <w:pPr>
        <w:pStyle w:val="BodyText"/>
      </w:pPr>
      <w:r>
        <w:t xml:space="preserve">[link text] (file-name.md)</w:t>
      </w:r>
    </w:p>
    <w:p>
      <w:pPr>
        <w:pStyle w:val="BodyText"/>
      </w:pPr>
      <w:r>
        <w:t xml:space="preserve">Markdown поддерживает как встраивание фрагментов кода в предложение, так и их</w:t>
      </w:r>
      <w:r>
        <w:t xml:space="preserve"> </w:t>
      </w:r>
      <w:r>
        <w:t xml:space="preserve">размещение между предложениями в виде отдельных огражденных блоков. Огражденные</w:t>
      </w:r>
      <w:r>
        <w:t xml:space="preserve"> </w:t>
      </w:r>
      <w:r>
        <w:t xml:space="preserve">блоки кода — это простой способ выделить синтаксис для фрагментов кода. Общий</w:t>
      </w:r>
      <w:r>
        <w:t xml:space="preserve"> </w:t>
      </w:r>
      <w:r>
        <w:t xml:space="preserve">формат огражденных блоков кода:</w:t>
      </w:r>
    </w:p>
    <w:p>
      <w:pPr>
        <w:pStyle w:val="SourceCode"/>
      </w:pPr>
      <w:r>
        <w:br/>
      </w:r>
      <w:r>
        <w:rPr>
          <w:rStyle w:val="VerbatimChar"/>
        </w:rPr>
        <w:t xml:space="preserve">your code goes in here</w:t>
      </w:r>
    </w:p>
    <w:p>
      <w:pPr>
        <w:pStyle w:val="FirstParagraph"/>
      </w:pPr>
      <w:r>
        <w:t xml:space="preserve">Верхние индексы записывается как:</w:t>
      </w:r>
    </w:p>
    <w:p>
      <w:pPr>
        <w:pStyle w:val="BodyText"/>
      </w:pPr>
      <w:r>
        <w:t xml:space="preserve">H</w:t>
      </w:r>
      <w:r>
        <w:rPr>
          <w:vertAlign w:val="subscript"/>
        </w:rPr>
        <w:t xml:space="preserve">2</w:t>
      </w:r>
      <w:r>
        <w:t xml:space="preserve">O</w:t>
      </w:r>
    </w:p>
    <w:p>
      <w:pPr>
        <w:pStyle w:val="BodyText"/>
      </w:pPr>
      <w:r>
        <w:t xml:space="preserve">Нижние индексы записывается как:</w:t>
      </w:r>
    </w:p>
    <w:p>
      <w:pPr>
        <w:pStyle w:val="BodyText"/>
      </w:pPr>
      <w:r>
        <w:t xml:space="preserve">2</w:t>
      </w:r>
      <w:r>
        <w:rPr>
          <w:vertAlign w:val="superscript"/>
        </w:rPr>
        <w:t xml:space="preserve">10</w:t>
      </w:r>
    </w:p>
    <w:p>
      <w:pPr>
        <w:pStyle w:val="BodyText"/>
      </w:pPr>
      <w:r>
        <w:t xml:space="preserve">Внутритекстовые формулы делаются аналогично формулам LaTeX. Например, формула sin2(x)+cos 2 (x) = 1 запишется как</w:t>
      </w:r>
    </w:p>
    <w:p>
      <w:pPr>
        <w:pStyle w:val="BodyText"/>
      </w:pPr>
      <m:oMath>
        <m:sSup>
          <m:e>
            <m:r>
              <m:rPr>
                <m:sty m:val="p"/>
              </m:rPr>
              <m:t>sin</m:t>
            </m:r>
          </m:e>
          <m:sup>
            <m:r>
              <m:t>2</m:t>
            </m:r>
          </m:sup>
        </m:sSup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+</m:t>
        </m:r>
        <m:sSup>
          <m:e>
            <m:r>
              <m:rPr>
                <m:sty m:val="p"/>
              </m:rPr>
              <m:t>cos</m:t>
            </m:r>
          </m:e>
          <m:sup>
            <m:r>
              <m:t>2</m:t>
            </m:r>
          </m:sup>
        </m:sSup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=</m:t>
        </m:r>
        <m:r>
          <m:t>1</m:t>
        </m:r>
      </m:oMath>
    </w:p>
    <w:bookmarkEnd w:id="22"/>
    <w:bookmarkEnd w:id="23"/>
    <w:bookmarkStart w:id="52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Выполнение лабораторной работы я начала со скачивания Visual Studio Code и загрузки в программу шаблона, который находился в моем репозитории. (рис. 1)</w:t>
      </w:r>
    </w:p>
    <w:p>
      <w:pPr>
        <w:pStyle w:val="CaptionedFigure"/>
      </w:pPr>
      <w:bookmarkStart w:id="27" w:name="fig:001"/>
      <w:r>
        <w:drawing>
          <wp:inline>
            <wp:extent cx="5334000" cy="4420972"/>
            <wp:effectExtent b="0" l="0" r="0" t="0"/>
            <wp:docPr descr="Рис. 1: Вставка шаблона отчета в Visual Studio Code" title="" id="25" name="Picture"/>
            <a:graphic>
              <a:graphicData uri="http://schemas.openxmlformats.org/drawingml/2006/picture">
                <pic:pic>
                  <pic:nvPicPr>
                    <pic:cNvPr descr="image/%D0%A1%D0%BD%D0%B8%D0%BC%D0%BE%D0%BA%20%D1%8D%D0%BA%D1%80%D0%B0%D0%BD%D0%B0%20%D0%BE%D1%82%202022-04-24%2019-49-54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209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Рис. 1: Вставка шаблона отчета в Visual Studio Code</w:t>
      </w:r>
    </w:p>
    <w:p>
      <w:pPr>
        <w:pStyle w:val="BodyText"/>
      </w:pPr>
      <w:r>
        <w:t xml:space="preserve">После этого я открыла отчет в LibreOfice и начала сохранять скриншоты из него в папку images, находящуюся в репозитории. Это нужно для того, чтобы добавить их в отчет в Markdowm. (рис. 2)</w:t>
      </w:r>
    </w:p>
    <w:p>
      <w:pPr>
        <w:pStyle w:val="CaptionedFigure"/>
      </w:pPr>
      <w:bookmarkStart w:id="31" w:name="fig:002"/>
      <w:r>
        <w:drawing>
          <wp:inline>
            <wp:extent cx="5334000" cy="2998910"/>
            <wp:effectExtent b="0" l="0" r="0" t="0"/>
            <wp:docPr descr="Рис. 2: Сохранение скриншотов в репозиторий" title="" id="29" name="Picture"/>
            <a:graphic>
              <a:graphicData uri="http://schemas.openxmlformats.org/drawingml/2006/picture">
                <pic:pic>
                  <pic:nvPicPr>
                    <pic:cNvPr descr="image/2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89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Рис. 2: Сохранение скриншотов в репозиторий</w:t>
      </w:r>
    </w:p>
    <w:p>
      <w:pPr>
        <w:pStyle w:val="BodyText"/>
      </w:pPr>
      <w:r>
        <w:t xml:space="preserve">После этого я возвратилась к шаблону и начала его редактировать. Вначале я изменила названия и автора.(рис. 3)</w:t>
      </w:r>
    </w:p>
    <w:p>
      <w:pPr>
        <w:pStyle w:val="CaptionedFigure"/>
      </w:pPr>
      <w:bookmarkStart w:id="35" w:name="fig:003"/>
      <w:r>
        <w:drawing>
          <wp:inline>
            <wp:extent cx="5334000" cy="1358070"/>
            <wp:effectExtent b="0" l="0" r="0" t="0"/>
            <wp:docPr descr="Рис. 3: Изменение в шаблоне автора и названий" title="" id="33" name="Picture"/>
            <a:graphic>
              <a:graphicData uri="http://schemas.openxmlformats.org/drawingml/2006/picture">
                <pic:pic>
                  <pic:nvPicPr>
                    <pic:cNvPr descr="image/3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580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Рис. 3: Изменение в шаблоне автора и названий</w:t>
      </w:r>
    </w:p>
    <w:p>
      <w:pPr>
        <w:pStyle w:val="BodyText"/>
      </w:pPr>
      <w:r>
        <w:t xml:space="preserve">Далее я перешла к записи цели работы, ее я просто скопировала из отчета, открытого в LibreOfice. Также я записала задание, которое нужно было выполнить в ходе Лабороторной работы №2. (рис. 4)</w:t>
      </w:r>
    </w:p>
    <w:p>
      <w:pPr>
        <w:pStyle w:val="CaptionedFigure"/>
      </w:pPr>
      <w:bookmarkStart w:id="39" w:name="fig:004"/>
      <w:r>
        <w:drawing>
          <wp:inline>
            <wp:extent cx="5334000" cy="3049631"/>
            <wp:effectExtent b="0" l="0" r="0" t="0"/>
            <wp:docPr descr="Рис. 4: Цель работы и задание" title="" id="37" name="Picture"/>
            <a:graphic>
              <a:graphicData uri="http://schemas.openxmlformats.org/drawingml/2006/picture">
                <pic:pic>
                  <pic:nvPicPr>
                    <pic:cNvPr descr="image/4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496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9"/>
    </w:p>
    <w:p>
      <w:pPr>
        <w:pStyle w:val="ImageCaption"/>
      </w:pPr>
      <w:r>
        <w:t xml:space="preserve">Рис. 4: Цель работы и задание</w:t>
      </w:r>
    </w:p>
    <w:p>
      <w:pPr>
        <w:pStyle w:val="BodyText"/>
      </w:pPr>
      <w:r>
        <w:t xml:space="preserve">Псоле я приступила к разделу</w:t>
      </w:r>
      <w:r>
        <w:t xml:space="preserve"> </w:t>
      </w:r>
      <w:r>
        <w:t xml:space="preserve">“</w:t>
      </w:r>
      <w:r>
        <w:t xml:space="preserve">Теоретическое введение</w:t>
      </w:r>
      <w:r>
        <w:t xml:space="preserve">”</w:t>
      </w:r>
      <w:r>
        <w:t xml:space="preserve">. информацию для него я брала из файла Лабораторной работы №2. (рис. 5)</w:t>
      </w:r>
    </w:p>
    <w:p>
      <w:pPr>
        <w:pStyle w:val="CaptionedFigure"/>
      </w:pPr>
      <w:bookmarkStart w:id="43" w:name="fig:005"/>
      <w:r>
        <w:drawing>
          <wp:inline>
            <wp:extent cx="5334000" cy="1825540"/>
            <wp:effectExtent b="0" l="0" r="0" t="0"/>
            <wp:docPr descr="Рис. 5: Теоретическое введение" title="" id="41" name="Picture"/>
            <a:graphic>
              <a:graphicData uri="http://schemas.openxmlformats.org/drawingml/2006/picture">
                <pic:pic>
                  <pic:nvPicPr>
                    <pic:cNvPr descr="image/5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255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3"/>
    </w:p>
    <w:p>
      <w:pPr>
        <w:pStyle w:val="ImageCaption"/>
      </w:pPr>
      <w:r>
        <w:t xml:space="preserve">Рис. 5: Теоретическое введение</w:t>
      </w:r>
    </w:p>
    <w:p>
      <w:pPr>
        <w:pStyle w:val="BodyText"/>
      </w:pPr>
      <w:r>
        <w:t xml:space="preserve">Затем я начала прописывать сам ход работы. Я полностью повторила отчет, который делала к сдаче Лабороторной работы №2. Копируя текст из документа, я не забывала добавлять скриншоты по правилам Markdown. (рис. 6)</w:t>
      </w:r>
    </w:p>
    <w:p>
      <w:pPr>
        <w:pStyle w:val="CaptionedFigure"/>
      </w:pPr>
      <w:bookmarkStart w:id="47" w:name="fig:006"/>
      <w:r>
        <w:drawing>
          <wp:inline>
            <wp:extent cx="5334000" cy="1744766"/>
            <wp:effectExtent b="0" l="0" r="0" t="0"/>
            <wp:docPr descr="Рис. 6: Пример оформления текста и скриншота" title="" id="45" name="Picture"/>
            <a:graphic>
              <a:graphicData uri="http://schemas.openxmlformats.org/drawingml/2006/picture">
                <pic:pic>
                  <pic:nvPicPr>
                    <pic:cNvPr descr="image/6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447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7"/>
    </w:p>
    <w:p>
      <w:pPr>
        <w:pStyle w:val="ImageCaption"/>
      </w:pPr>
      <w:r>
        <w:t xml:space="preserve">Рис. 6: Пример оформления текста и скриншота</w:t>
      </w:r>
    </w:p>
    <w:p>
      <w:pPr>
        <w:pStyle w:val="BodyText"/>
      </w:pPr>
      <w:r>
        <w:t xml:space="preserve">После завершения описания этапов Лабораторной работы, я напсиала вывод к ней. Его я также скопировала из прошлого отчета. После я перенесла ответы на Контрольные вопросы.</w:t>
      </w:r>
      <w:r>
        <w:t xml:space="preserve"> </w:t>
      </w:r>
      <w:r>
        <w:t xml:space="preserve">(рис. 7)</w:t>
      </w:r>
    </w:p>
    <w:p>
      <w:pPr>
        <w:pStyle w:val="CaptionedFigure"/>
      </w:pPr>
      <w:bookmarkStart w:id="51" w:name="fig:007"/>
      <w:r>
        <w:drawing>
          <wp:inline>
            <wp:extent cx="5334000" cy="2998910"/>
            <wp:effectExtent b="0" l="0" r="0" t="0"/>
            <wp:docPr descr="Рис. 7: Вывод и контрольные вопросы" title="" id="49" name="Picture"/>
            <a:graphic>
              <a:graphicData uri="http://schemas.openxmlformats.org/drawingml/2006/picture">
                <pic:pic>
                  <pic:nvPicPr>
                    <pic:cNvPr descr="image/7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89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1"/>
    </w:p>
    <w:p>
      <w:pPr>
        <w:pStyle w:val="ImageCaption"/>
      </w:pPr>
      <w:r>
        <w:t xml:space="preserve">Рис. 7: Вывод и контрольные вопросы</w:t>
      </w:r>
    </w:p>
    <w:p>
      <w:pPr>
        <w:pStyle w:val="BodyText"/>
      </w:pPr>
      <w:r>
        <w:t xml:space="preserve">В конце я просто сохранила сделанный в Markdown отчет.</w:t>
      </w:r>
    </w:p>
    <w:bookmarkEnd w:id="52"/>
    <w:bookmarkStart w:id="53" w:name="вывод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</w:t>
      </w:r>
    </w:p>
    <w:p>
      <w:pPr>
        <w:pStyle w:val="FirstParagraph"/>
      </w:pPr>
      <w:r>
        <w:t xml:space="preserve">Мы научились оформлять отчёты с помощью легковесного языка разметки Markdown.</w:t>
      </w:r>
    </w:p>
    <w:bookmarkEnd w:id="5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4" Target="media/rId24.png" /><Relationship Type="http://schemas.openxmlformats.org/officeDocument/2006/relationships/image" Id="rId28" Target="media/rId28.png" /><Relationship Type="http://schemas.openxmlformats.org/officeDocument/2006/relationships/image" Id="rId32" Target="media/rId32.png" /><Relationship Type="http://schemas.openxmlformats.org/officeDocument/2006/relationships/image" Id="rId36" Target="media/rId36.png" /><Relationship Type="http://schemas.openxmlformats.org/officeDocument/2006/relationships/image" Id="rId40" Target="media/rId40.png" /><Relationship Type="http://schemas.openxmlformats.org/officeDocument/2006/relationships/image" Id="rId44" Target="media/rId44.png" /><Relationship Type="http://schemas.openxmlformats.org/officeDocument/2006/relationships/image" Id="rId48" Target="media/rId48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Лабороторной работе 3</dc:title>
  <dc:creator>Парфенова Елизавета Евгеньевна</dc:creator>
  <dc:language>ru-RU</dc:language>
  <cp:keywords/>
  <dcterms:created xsi:type="dcterms:W3CDTF">2022-04-27T18:22:08Z</dcterms:created>
  <dcterms:modified xsi:type="dcterms:W3CDTF">2022-04-27T18:22:08Z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Prefix">
    <vt:lpwstr/>
  </property>
  <property fmtid="{D5CDD505-2E9C-101B-9397-08002B2CF9AE}" pid="23" name="eqnPrefixTemplate">
    <vt:lpwstr>p i</vt:lpwstr>
  </property>
  <property fmtid="{D5CDD505-2E9C-101B-9397-08002B2CF9AE}" pid="24" name="equationNumberTeX">
    <vt:lpwstr>qquad</vt:lpwstr>
  </property>
  <property fmtid="{D5CDD505-2E9C-101B-9397-08002B2CF9AE}" pid="25" name="figLabels">
    <vt:lpwstr>arabic</vt:lpwstr>
  </property>
  <property fmtid="{D5CDD505-2E9C-101B-9397-08002B2CF9AE}" pid="26" name="figPrefix">
    <vt:lpwstr/>
  </property>
  <property fmtid="{D5CDD505-2E9C-101B-9397-08002B2CF9AE}" pid="27" name="figPrefixTemplate">
    <vt:lpwstr>p i</vt:lpwstr>
  </property>
  <property fmtid="{D5CDD505-2E9C-101B-9397-08002B2CF9AE}" pid="28" name="figureTemplate">
    <vt:lpwstr>figureTitle ititleDelim t</vt:lpwstr>
  </property>
  <property fmtid="{D5CDD505-2E9C-101B-9397-08002B2CF9AE}" pid="29" name="figureTitle">
    <vt:lpwstr>Рис.</vt:lpwstr>
  </property>
  <property fmtid="{D5CDD505-2E9C-101B-9397-08002B2CF9AE}" pid="30" name="fontsize">
    <vt:lpwstr>12pt</vt:lpwstr>
  </property>
  <property fmtid="{D5CDD505-2E9C-101B-9397-08002B2CF9AE}" pid="31" name="header-includes">
    <vt:lpwstr/>
  </property>
  <property fmtid="{D5CDD505-2E9C-101B-9397-08002B2CF9AE}" pid="32" name="indent">
    <vt:lpwstr>True</vt:lpwstr>
  </property>
  <property fmtid="{D5CDD505-2E9C-101B-9397-08002B2CF9AE}" pid="33" name="lastDelim">
    <vt:lpwstr>, </vt:lpwstr>
  </property>
  <property fmtid="{D5CDD505-2E9C-101B-9397-08002B2CF9AE}" pid="34" name="linestretch">
    <vt:lpwstr>1.5</vt:lpwstr>
  </property>
  <property fmtid="{D5CDD505-2E9C-101B-9397-08002B2CF9AE}" pid="35" name="linkReferences">
    <vt:lpwstr>False</vt:lpwstr>
  </property>
  <property fmtid="{D5CDD505-2E9C-101B-9397-08002B2CF9AE}" pid="36" name="listingTemplate">
    <vt:lpwstr>listingTitle ititleDelim t</vt:lpwstr>
  </property>
  <property fmtid="{D5CDD505-2E9C-101B-9397-08002B2CF9AE}" pid="37" name="listingTitle">
    <vt:lpwstr>Листинг</vt:lpwstr>
  </property>
  <property fmtid="{D5CDD505-2E9C-101B-9397-08002B2CF9AE}" pid="38" name="listings">
    <vt:lpwstr>False</vt:lpwstr>
  </property>
  <property fmtid="{D5CDD505-2E9C-101B-9397-08002B2CF9AE}" pid="39" name="lof">
    <vt:lpwstr>True</vt:lpwstr>
  </property>
  <property fmtid="{D5CDD505-2E9C-101B-9397-08002B2CF9AE}" pid="40" name="lofTitle">
    <vt:lpwstr>Список иллюстраций</vt:lpwstr>
  </property>
  <property fmtid="{D5CDD505-2E9C-101B-9397-08002B2CF9AE}" pid="41" name="lolTitle">
    <vt:lpwstr>Листинги</vt:lpwstr>
  </property>
  <property fmtid="{D5CDD505-2E9C-101B-9397-08002B2CF9AE}" pid="42" name="lot">
    <vt:lpwstr>True</vt:lpwstr>
  </property>
  <property fmtid="{D5CDD505-2E9C-101B-9397-08002B2CF9AE}" pid="43" name="lotTitle">
    <vt:lpwstr>Список таблиц</vt:lpwstr>
  </property>
  <property fmtid="{D5CDD505-2E9C-101B-9397-08002B2CF9AE}" pid="44" name="lstLabels">
    <vt:lpwstr>arabic</vt:lpwstr>
  </property>
  <property fmtid="{D5CDD505-2E9C-101B-9397-08002B2CF9AE}" pid="45" name="lstPrefix">
    <vt:lpwstr/>
  </property>
  <property fmtid="{D5CDD505-2E9C-101B-9397-08002B2CF9AE}" pid="46" name="lstPrefixTemplate">
    <vt:lpwstr>p i</vt:lpwstr>
  </property>
  <property fmtid="{D5CDD505-2E9C-101B-9397-08002B2CF9AE}" pid="47" name="mainfont">
    <vt:lpwstr>PT Serif</vt:lpwstr>
  </property>
  <property fmtid="{D5CDD505-2E9C-101B-9397-08002B2CF9AE}" pid="48" name="mainfontoptions">
    <vt:lpwstr>Ligatures=TeX</vt:lpwstr>
  </property>
  <property fmtid="{D5CDD505-2E9C-101B-9397-08002B2CF9AE}" pid="49" name="monofont">
    <vt:lpwstr>PT Mono</vt:lpwstr>
  </property>
  <property fmtid="{D5CDD505-2E9C-101B-9397-08002B2CF9AE}" pid="50" name="monofontoptions">
    <vt:lpwstr>Scale=MatchLowercase,Scale=0.9</vt:lpwstr>
  </property>
  <property fmtid="{D5CDD505-2E9C-101B-9397-08002B2CF9AE}" pid="51" name="nameInLink">
    <vt:lpwstr>False</vt:lpwstr>
  </property>
  <property fmtid="{D5CDD505-2E9C-101B-9397-08002B2CF9AE}" pid="52" name="numberSections">
    <vt:lpwstr>False</vt:lpwstr>
  </property>
  <property fmtid="{D5CDD505-2E9C-101B-9397-08002B2CF9AE}" pid="53" name="pairDelim">
    <vt:lpwstr>, </vt:lpwstr>
  </property>
  <property fmtid="{D5CDD505-2E9C-101B-9397-08002B2CF9AE}" pid="54" name="papersize">
    <vt:lpwstr>a4</vt:lpwstr>
  </property>
  <property fmtid="{D5CDD505-2E9C-101B-9397-08002B2CF9AE}" pid="55" name="polyglossia-lang">
    <vt:lpwstr/>
  </property>
  <property fmtid="{D5CDD505-2E9C-101B-9397-08002B2CF9AE}" pid="56" name="polyglossia-otherlangs">
    <vt:lpwstr/>
  </property>
  <property fmtid="{D5CDD505-2E9C-101B-9397-08002B2CF9AE}" pid="57" name="rangeDelim">
    <vt:lpwstr>-</vt:lpwstr>
  </property>
  <property fmtid="{D5CDD505-2E9C-101B-9397-08002B2CF9AE}" pid="58" name="refDelim">
    <vt:lpwstr>, </vt:lpwstr>
  </property>
  <property fmtid="{D5CDD505-2E9C-101B-9397-08002B2CF9AE}" pid="59" name="refIndexTemplate">
    <vt:lpwstr>isuf</vt:lpwstr>
  </property>
  <property fmtid="{D5CDD505-2E9C-101B-9397-08002B2CF9AE}" pid="60" name="romanfont">
    <vt:lpwstr>PT Serif</vt:lpwstr>
  </property>
  <property fmtid="{D5CDD505-2E9C-101B-9397-08002B2CF9AE}" pid="61" name="romanfontoptions">
    <vt:lpwstr>Ligatures=TeX</vt:lpwstr>
  </property>
  <property fmtid="{D5CDD505-2E9C-101B-9397-08002B2CF9AE}" pid="62" name="sansfont">
    <vt:lpwstr>PT Sans</vt:lpwstr>
  </property>
  <property fmtid="{D5CDD505-2E9C-101B-9397-08002B2CF9AE}" pid="63" name="sansfontoptions">
    <vt:lpwstr>Ligatures=TeX,Scale=MatchLowercase</vt:lpwstr>
  </property>
  <property fmtid="{D5CDD505-2E9C-101B-9397-08002B2CF9AE}" pid="64" name="secHeaderDelim">
    <vt:lpwstr> </vt:lpwstr>
  </property>
  <property fmtid="{D5CDD505-2E9C-101B-9397-08002B2CF9AE}" pid="65" name="secHeaderTemplate">
    <vt:lpwstr>isecHeaderDelim[n]t</vt:lpwstr>
  </property>
  <property fmtid="{D5CDD505-2E9C-101B-9397-08002B2CF9AE}" pid="66" name="secLabels">
    <vt:lpwstr>arabic</vt:lpwstr>
  </property>
  <property fmtid="{D5CDD505-2E9C-101B-9397-08002B2CF9AE}" pid="67" name="secPrefix">
    <vt:lpwstr/>
  </property>
  <property fmtid="{D5CDD505-2E9C-101B-9397-08002B2CF9AE}" pid="68" name="secPrefixTemplate">
    <vt:lpwstr>p i</vt:lpwstr>
  </property>
  <property fmtid="{D5CDD505-2E9C-101B-9397-08002B2CF9AE}" pid="69" name="sectionsDepth">
    <vt:lpwstr>0</vt:lpwstr>
  </property>
  <property fmtid="{D5CDD505-2E9C-101B-9397-08002B2CF9AE}" pid="70" name="subfigGrid">
    <vt:lpwstr>False</vt:lpwstr>
  </property>
  <property fmtid="{D5CDD505-2E9C-101B-9397-08002B2CF9AE}" pid="71" name="subfigLabels">
    <vt:lpwstr>alpha a</vt:lpwstr>
  </property>
  <property fmtid="{D5CDD505-2E9C-101B-9397-08002B2CF9AE}" pid="72" name="subfigureChildTemplate">
    <vt:lpwstr>i</vt:lpwstr>
  </property>
  <property fmtid="{D5CDD505-2E9C-101B-9397-08002B2CF9AE}" pid="73" name="subfigureRefIndexTemplate">
    <vt:lpwstr>isuf (s)</vt:lpwstr>
  </property>
  <property fmtid="{D5CDD505-2E9C-101B-9397-08002B2CF9AE}" pid="74" name="subfigureTemplate">
    <vt:lpwstr>figureTitle ititleDelim t. ccs</vt:lpwstr>
  </property>
  <property fmtid="{D5CDD505-2E9C-101B-9397-08002B2CF9AE}" pid="75" name="subtitle">
    <vt:lpwstr>Markdown</vt:lpwstr>
  </property>
  <property fmtid="{D5CDD505-2E9C-101B-9397-08002B2CF9AE}" pid="76" name="tableEqns">
    <vt:lpwstr>False</vt:lpwstr>
  </property>
  <property fmtid="{D5CDD505-2E9C-101B-9397-08002B2CF9AE}" pid="77" name="tableTemplate">
    <vt:lpwstr>tableTitle ititleDelim t</vt:lpwstr>
  </property>
  <property fmtid="{D5CDD505-2E9C-101B-9397-08002B2CF9AE}" pid="78" name="tableTitle">
    <vt:lpwstr>Таблица</vt:lpwstr>
  </property>
  <property fmtid="{D5CDD505-2E9C-101B-9397-08002B2CF9AE}" pid="79" name="tblLabels">
    <vt:lpwstr>arabic</vt:lpwstr>
  </property>
  <property fmtid="{D5CDD505-2E9C-101B-9397-08002B2CF9AE}" pid="80" name="tblPrefix">
    <vt:lpwstr/>
  </property>
  <property fmtid="{D5CDD505-2E9C-101B-9397-08002B2CF9AE}" pid="81" name="tblPrefixTemplate">
    <vt:lpwstr>p i</vt:lpwstr>
  </property>
  <property fmtid="{D5CDD505-2E9C-101B-9397-08002B2CF9AE}" pid="82" name="titleDelim">
    <vt:lpwstr>:</vt:lpwstr>
  </property>
  <property fmtid="{D5CDD505-2E9C-101B-9397-08002B2CF9AE}" pid="83" name="toc">
    <vt:lpwstr>True</vt:lpwstr>
  </property>
  <property fmtid="{D5CDD505-2E9C-101B-9397-08002B2CF9AE}" pid="84" name="toc-depth">
    <vt:lpwstr>2</vt:lpwstr>
  </property>
  <property fmtid="{D5CDD505-2E9C-101B-9397-08002B2CF9AE}" pid="85" name="toc-title">
    <vt:lpwstr>Содержание</vt:lpwstr>
  </property>
</Properties>
</file>