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B6CB0" w:sz="22" w:space="1"/>
        </w:pBdr>
        <w:spacing w:after="0" w:before="1500"/>
        <w:jc w:val="center"/>
      </w:pPr>
      <w:r>
        <w:rPr>
          <w:sz w:val="4"/>
          <w:szCs w:val="4"/>
        </w:rPr>
        <w:t xml:space="preserve"> </w:t>
      </w:r>
    </w:p>
    <w:p>
      <w:pPr>
        <w:spacing w:after="0" w:before="520"/>
        <w:jc w:val="center"/>
      </w:pPr>
      <w:r>
        <w:rPr>
          <w:rFonts w:ascii="Georgia" w:cs="Georgia" w:eastAsia="Georgia" w:hAnsi="Georgia"/>
          <w:b/>
          <w:bCs/>
          <w:color w:val="2B6CB0"/>
          <w:sz w:val="19"/>
          <w:szCs w:val="19"/>
        </w:rPr>
        <w:t xml:space="preserve">И С С Л Е Д О В А Н И Е   В А К А Н Т Н Ы Х   П О М Е Щ Е Н И Й</w:t>
      </w:r>
    </w:p>
    <w:p>
      <w:pPr>
        <w:spacing w:after="0" w:before="300"/>
        <w:jc w:val="center"/>
      </w:pPr>
      <w:r>
        <w:rPr>
          <w:rFonts w:ascii="Georgia" w:cs="Georgia" w:eastAsia="Georgia" w:hAnsi="Georgia"/>
          <w:b/>
          <w:bCs/>
          <w:color w:val="1B3A57"/>
          <w:sz w:val="72"/>
          <w:szCs w:val="72"/>
        </w:rPr>
        <w:t xml:space="preserve">ТЦ «АМБАР 1»</w:t>
      </w:r>
    </w:p>
    <w:p>
      <w:pPr>
        <w:spacing w:after="0" w:before="160"/>
        <w:jc w:val="center"/>
      </w:pPr>
      <w:r>
        <w:rPr>
          <w:rFonts w:ascii="Georgia" w:cs="Georgia" w:eastAsia="Georgia" w:hAnsi="Georgia"/>
          <w:color w:val="22282E"/>
          <w:sz w:val="22"/>
          <w:szCs w:val="22"/>
        </w:rPr>
        <w:t xml:space="preserve">Московская область · городской округ Красногорск</w:t>
      </w:r>
    </w:p>
    <w:p>
      <w:pPr>
        <w:spacing w:after="0" w:before="40"/>
        <w:jc w:val="center"/>
      </w:pPr>
      <w:r>
        <w:rPr>
          <w:rFonts w:ascii="Georgia" w:cs="Georgia" w:eastAsia="Georgia" w:hAnsi="Georgia"/>
          <w:color w:val="22282E"/>
          <w:sz w:val="22"/>
          <w:szCs w:val="22"/>
        </w:rPr>
        <w:t xml:space="preserve">село Ильинское, улица Ленина, 28</w:t>
      </w:r>
    </w:p>
    <w:p>
      <w:pPr>
        <w:spacing w:after="0" w:before="620"/>
        <w:jc w:val="center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single" w:color="DFE4E9" w:sz="4"/>
          <w:left w:val="none"/>
          <w:bottom w:val="single" w:color="DFE4E9" w:sz="4"/>
          <w:right w:val="none"/>
          <w:insideH w:val="none"/>
          <w:insideV w:val="single" w:color="DFE4E9" w:sz="4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38"/>
                <w:szCs w:val="38"/>
              </w:rPr>
              <w:t xml:space="preserve">3 года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помещения не сдаются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38"/>
                <w:szCs w:val="38"/>
              </w:rPr>
              <w:t xml:space="preserve">515,4 м²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в объявлениях —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38"/>
                <w:szCs w:val="38"/>
              </w:rPr>
              <w:t xml:space="preserve">911,5 м²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в презентации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собственника — одним</w:t>
            </w:r>
          </w:p>
        </w:tc>
      </w:tr>
    </w:tbl>
    <w:p>
      <w:pPr>
        <w:spacing w:after="0" w:before="560"/>
        <w:jc w:val="center"/>
      </w:pPr>
      <w:r>
        <w:rPr>
          <w:rFonts w:ascii="Georgia" w:cs="Georgia" w:eastAsia="Georgia" w:hAnsi="Georgia"/>
          <w:i/>
          <w:iCs/>
          <w:color w:val="6B7580"/>
          <w:sz w:val="21"/>
          <w:szCs w:val="21"/>
        </w:rPr>
        <w:t xml:space="preserve">Причины простоя · бенчмарк ставок · локационный анализ</w:t>
      </w:r>
    </w:p>
    <w:p>
      <w:pPr>
        <w:spacing w:after="0" w:before="40"/>
        <w:jc w:val="center"/>
      </w:pPr>
      <w:r>
        <w:rPr>
          <w:rFonts w:ascii="Georgia" w:cs="Georgia" w:eastAsia="Georgia" w:hAnsi="Georgia"/>
          <w:i/>
          <w:iCs/>
          <w:color w:val="6B7580"/>
          <w:sz w:val="21"/>
          <w:szCs w:val="21"/>
        </w:rPr>
        <w:t xml:space="preserve">оценка презентации · тир-лист арендаторов · сценарии</w:t>
      </w:r>
    </w:p>
    <w:p>
      <w:pPr>
        <w:pBdr>
          <w:top w:val="single" w:color="DFE4E9" w:sz="4" w:space="10"/>
        </w:pBdr>
        <w:spacing w:after="0" w:before="900"/>
        <w:jc w:val="center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Сентябрь 2026</w:t>
      </w:r>
    </w:p>
    <w:p>
      <w:r>
        <w:br w:type="page"/>
      </w:r>
    </w:p>
    <w:p>
      <w:pPr>
        <w:pBdr>
          <w:bottom w:val="single" w:color="2B6CB0" w:sz="10" w:space="6"/>
        </w:pBdr>
        <w:spacing w:after="200"/>
      </w:pP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Оглавление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1. Резюме для собственника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1.1. Вердикт по ставкам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1.2. Три главные причины вакансии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1.3. Топ-5 арендаторов для первого обзвона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1.4. Пять действий на ближайшие 90 дней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2. Паспорт помещений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2.1. Сводная таблица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2.2. Что показывает генплан участка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2.3. Помещение №1 — 430,5 м², 2 этаж, терраса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2.4. Помещение №2 — 39,6 м², 2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2.5. Помещение №3 — 45,3 м², 3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3. Бенчмарк арендных ставок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3.1. Ключевые сопоставимые предложения — та же улица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3.2. Разброс по кластерам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3.3. Поправка на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3.4. Поправка на площадь и на террасу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3.5. Рыночный контекст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3.6. Вердикт по каждому помещению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4. Локационный анализ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16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4.1. Расположение и конкурентное окружение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4.2. Жители соседних локаций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4.3. Трафик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4.4. Социально-экономический контекст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22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5. Почему помещения вакантны три года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23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5.1. Матрица «объективно / управляемо»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5.2. Пять ошибок, которые видит арендатор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6. Оценка текущей презентации объекта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25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6.1. Что презентация исправила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6.2. Что она создала заново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6.3. Вердикт и что сделать с ней в ближайший месяц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27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7. Тир-лист потенциальных арендаторов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29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7.1. Пять категорий для холодного предложения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37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8. Сценарии и оценка NPV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37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9. План действий на 90 дней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39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10. Источники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40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11. Приложение: методология, допущения и ограничения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11.1. Методология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11.2. Ключевые допущения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11.3. Что проверить до принятия решений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11.4. Чего не удалось проверить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11.5. Неразрешённое противоречие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44</w:t>
      </w:r>
    </w:p>
    <w:p>
      <w:r>
        <w:br w:type="page"/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 в одном абзаце.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На чём построены выводы о ставках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Ставки и сроки экспозиции взяты прямой выгрузкой из ЦИАН: все 277 объявлений коммерческой аренды городского округа Красногорск и все 13 по селу Ильинское, полнота подтверждена сверкой со счётчиком самой площадки.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Текущая ставка</w:t>
            </w:r>
          </w:p>
        </w:tc>
        <w:tc>
          <w:tcPr>
            <w:tcW w:type="dxa" w:w="17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dxa" w:w="23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Рекомендуемая ставка</w:t>
            </w:r>
          </w:p>
        </w:tc>
        <w:tc>
          <w:tcPr>
            <w:tcW w:type="dxa" w:w="1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 2,2 раза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 медиане этажа</w:t>
            </w:r>
          </w:p>
        </w:tc>
        <w:tc>
          <w:tcPr>
            <w:tcW w:type="dxa" w:w="23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24 000–26 000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shd w:fill="DD8B2C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по этажу и площади (раздел 3.7).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Медиана ставки 2-го этажа по 19 лотам городского округа — 18 072 ₽/м²/год. Мы просим 39 091, то есть в 2,2 раза больше. В 100 метрах, в ТЦ «Ильинский», сопоставимый блок 38 м² с современным ремонтом на 2-м этаже предлагается за 30 000 ₽/м²/год — и, по данным ЦИАН, стоит в экспозиции с 19 июля 2023 года, то есть 1157 дней.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на realestate.ru — ноль офисных объявлений, на mirkvartir из 191 объявления одно, и это целое здание.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Компания</w:t>
            </w:r>
          </w:p>
        </w:tc>
        <w:tc>
          <w:tcPr>
            <w:tcW w:type="dxa" w:w="1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588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265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ставки: №2 → 79–86 тыс. ₽/мес, №3 →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это даёт в деньгах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2.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№1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№2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8C3A1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DD8B2C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12.08.2026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Расхождение по числу парковочных мест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2.3. Помещение №1 — 430,5 м², 2 этаж, терраса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Свет: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Главная проблема: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2.4. Помещение №2 — 39,6 м², 2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кабинетная, а не торговая типология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2.5. Помещение №3 — 45,3 м², 3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оборудованный бьюти-салон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Что удалось выяснить по этому лоту.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готовую бьюти-студию под ключ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3.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Собрано 43 сопоставимых предложения по четырём кластерам, а затем вся выборка перепроверена прямой выгрузкой из ЦИАН — 277 объявлений коммерческой аренды городского округа Красногорск, из них 13 по селу Ильинское. Все ставки — запрашиваемые, без НДС и OPEX, если в источнике не указано иное. Пересчёт: ₽/м²/год = ставка ₽/мес × 12 ÷ площадь. Сбор данных — 18 сентября 2026 года.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3.1. Ключевые сопоставимые предложения — та же улица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Решающее значение имеет кластер A: три конкурирующих объекта находятся в пределах 800 метров на той же улице Ленина. Арендатор увидит их в тот же день, что и наше предложение.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620"/>
        <w:gridCol w:w="2450"/>
        <w:gridCol w:w="600"/>
        <w:gridCol w:w="640"/>
        <w:gridCol w:w="1250"/>
        <w:gridCol w:w="1180"/>
        <w:gridCol w:w="3366"/>
      </w:tblGrid>
      <w:tr>
        <w:trPr>
          <w:tblHeader/>
        </w:trPr>
        <w:tc>
          <w:tcPr>
            <w:tcW w:type="dxa" w:w="6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4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64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м²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₽/мес</w:t>
            </w:r>
          </w:p>
        </w:tc>
        <w:tc>
          <w:tcPr>
            <w:tcW w:type="dxa" w:w="118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₽/м²/год</w:t>
            </w:r>
          </w:p>
        </w:tc>
        <w:tc>
          <w:tcPr>
            <w:tcW w:type="dxa" w:w="336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Отделка, примечание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A1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315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378 000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14 400</w:t>
            </w:r>
          </w:p>
        </w:tc>
        <w:tc>
          <w:tcPr>
            <w:tcW w:type="dxa" w:w="336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ЧЕРНОВАЯ отделка, все коммуникации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A2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2/3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38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95 000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30 000</w:t>
            </w:r>
          </w:p>
        </w:tc>
        <w:tc>
          <w:tcPr>
            <w:tcW w:type="dxa" w:w="336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Современный ремонт, клон нашего №2. По ЦИАН создано 19.07.2023 — 1157 дней в экспозиции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A3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42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147 000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42 000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A4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175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525 000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36 000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Хорошее состояние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A7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21,5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55 000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30 698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Отличное, «под офис либо услуги»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A8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33,6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68 000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24 286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Отличное, «торговля, услуги или офис»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A9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60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66 000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A10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80,6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310 000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46 154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Косметический ремонт (наш же комплекс)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A11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80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49 500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Мокрые точки, 2 входа; соседи ВкусВилл, Ароматный Мир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A13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4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110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200 000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21 818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Отдельное здание, 35 кВт, 2 входа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A20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Николо-Урюпино — ЖК «Гранель Аникеевский»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91,7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128 380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16 800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отделки, потолки 3,92 м; акция до 30.09.2026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C3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Глухово — ЖК «Новая Рига»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75,4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109 330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17 400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отделки, потолки 3 м. Опубликовано 18.09.2026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C4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Глухово, Романовская 5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1/8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51,1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68 985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16 200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ремонта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B1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55,9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150 000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32 200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«Под бутик, магазин, салон»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B2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180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350 000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23 333</w:t>
            </w:r>
          </w:p>
        </w:tc>
        <w:tc>
          <w:tcPr>
            <w:tcW w:type="dxa" w:w="336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Потолки 5 м, 150 парковок. В экспозиции ~11 месяцев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B3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Жуковка, дом класса «Люкс»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165 + терраса 46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600 000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43 636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Терраса в расчётную площадь НЕ включена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B5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Раздоры, 1 км Рублёво-Успенского ш. — БЦ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5/5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44,6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78 050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21 000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Офис</w:t>
            </w:r>
          </w:p>
        </w:tc>
      </w:tr>
      <w:tr>
        <w:trPr>
          <w:cantSplit/>
        </w:trPr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C2</w:t>
            </w:r>
          </w:p>
        </w:tc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Нахабино — ТЦ «Верный»</w:t>
            </w:r>
          </w:p>
        </w:tc>
        <w:tc>
          <w:tcPr>
            <w:tcW w:type="dxa" w:w="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37 200</w:t>
            </w:r>
          </w:p>
        </w:tc>
        <w:tc>
          <w:tcPr>
            <w:tcW w:type="dxa" w:w="1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12 065</w:t>
            </w:r>
          </w:p>
        </w:tc>
        <w:tc>
          <w:tcPr>
            <w:tcW w:type="dxa" w:w="336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Отделка с зонированием; ~6 месяцев в экспозиции</w:t>
            </w:r>
          </w:p>
        </w:tc>
      </w:tr>
      <w:tr>
        <w:trPr>
          <w:cantSplit/>
        </w:trPr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D5</w:t>
            </w:r>
          </w:p>
        </w:tc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БЦ «Красногорск Плаза», класс B+</w:t>
            </w:r>
          </w:p>
        </w:tc>
        <w:tc>
          <w:tcPr>
            <w:tcW w:type="dxa" w:w="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</w:t>
            </w:r>
          </w:p>
        </w:tc>
        <w:tc>
          <w:tcPr>
            <w:tcW w:type="dxa" w:w="64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56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132 305</w:t>
            </w:r>
          </w:p>
        </w:tc>
        <w:tc>
          <w:tcPr>
            <w:tcW w:type="dxa" w:w="1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28 351</w:t>
            </w:r>
          </w:p>
        </w:tc>
        <w:tc>
          <w:tcPr>
            <w:tcW w:type="dxa" w:w="336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18 км от объекта, у МКАД, метро и МЦД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Полный список из 43 компов с прямыми ссылками — в приложении. Источники: move.ru, mirkvartir.ru, shopandmall.ru, realestate.ru, gladston.ru, n1.ru. ЦИАН и Авито данные не отдали (captcha / WAF-блокировка).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3.2. Разброс по кластерам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Опубликованных отраслевых коэффициентов «этаж торгового центра» в открытых источниках нет. Коэффициент выведен из парных предложений внутри одного здания — это методологически надёжнее, чем отраслевое среднее, поскольку все прочие факторы (локация, состояние, управляющая компания) зафиксированы.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Коэффициент подтверждён независимо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Выведенный из парных предложений коэффициент 0,70–0,75 проверен на всей выборке ЦИАН: медиана 2-го этажа по округу 18 072 ₽/м²/год против 25 751 на первом. Отношение медиан — ровно 0,70. Для третьего этажа и выше — 0,66.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Две независимые методики — пары внутри одного здания и медианы по 254 лотам — сошлись. Коэффициент можно использовать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Рабочий коэффициент: 2-й этаж = 0,70–0,75 к 1-му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при сопоставимой площади. Наиболее чистая пара — ТЦ «Ильинский», 42 м² на 1-м этаже против 38 м² на 2-м: разница 29%. Пары с большой разницей в площади (−60% и −63%) смешивают эффект этажа с эффектом размера блока и как коэффициент этажа использоваться не должны.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Третий этаж.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Прямых пар в выборке нет. По объектам B1 и B2 в Горки-2 третий этаж торгуется на уровне второго, но ликвидность существенно ниже: лот B2 находится в экспозиции около 11 месяцев — и это премиальная Рублёвка, а не село.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Малая площадь.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Внутри ТЦ «Ильинский» на 2-м этаже: 38 м² по 2 500 ₽/м²/мес против 315 м² по 1 200 ₽/м²/мес — премия 108%. На 1-м этаже: 49,9 м² по 4 500 против 175–250 м² по 3 000 — премия 50%. NF Group для малых ТЦ даёт 20 000–100 000 ₽/м²/год для блоков 0–50 м² против 14 000–25 000 для блоков 300–500 м².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Рабочий коэффициент: блок до 50 м² = ×1,5–2,0 к блоку 150–300 м² того же этажа.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не существует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Единственный найденный комп с террасой (B3, Жуковка, 165 м² + терраса 46 м²) считает ставку на основную площадь, а террасу подаёт как бесплатный бонус.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3.6. Вердикт по каждому помещению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№1 — ставка занижена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Прямой конкурент A1 — тот же 2-й этаж, 315 м², через дорогу — предлагается за 14 400 ₽/м²/год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при черновой отделке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Мы просим на 3,4% меньше, имея законченный ремонт, потолки 3,9 м и террасу. Диапазон NF Group для блоков 300–500 м² в малых ТЦ — 14 000–25 000 ₽/м²/год; мы находимся ниже нижней границы. NF Group прямо отмечает: «помещения без ремонта не пользуются высоким спросом и требуют участия собственников в отделке прямыми инвестициями или через скидку по аренде» — значит разница с A1 должна быть в нашу пользу, а не в ноль.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Что это значит для помещения №1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Помещение №1 три года стоит пустым, будучи дешевле рынка. Это доказывает, что цена для него не является узким местом. Ограничение лежит в продукте и в позиционировании: разнородная сборка залов, неблагоустроенная терраса и четыре взаимоисключающих назначения в одном тексте объявления.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Практический вывод: снижать ставку по №1 бессмысленно — это не сработало за три года и не сработает на четвёртый. Работать нужно с продуктом.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№2 — ставка завышена в 2,2 раза к медиане этажа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Медиана 2-го этажа по округу — 18 072 ₽/м²/год, мы просим 39 091. В когорте, подобранной по этажу и площади (блоки до 60 м² на 2-м этаже, девять лотов), медиана 28 000 ₽/м²/год, и мы выше неё на 40%.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Больше ставки говорит срок экспозиции.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Когорта делится надвое. Лоты, выставленные по 26 400–30 000 ₽/м²/год, стоят 1002, 1157, 1486 и 2361 день — от трёх до шести с половиной лет. Лоты, выставленные по 24 286 и 28 000, появились 23 и 14 дней назад. Медиана свежих объявлений — 24 286 ₽/м²/год, медиана стоящих дольше года — 30 000.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Почему ориентир 30 000 ₽/м²/год здесь не работает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несколько малых блоков второго этажа.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ни один из них не сдан. Два лота по 38 и 40 м² на улице Ленина, 11 стоят по этой цене 1157 и 1486 дней. Ориентироваться на 30 000 — значит повторить их результат.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Рекомендуемый коридор: 24 000–26 000 ₽/м²/год, то есть 79–86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№3 — ошибка позиционирования, подтверждена проверкой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realestate.ru: ноль офисных объявлений в с. Ильинское.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mirkvartir: из 191 объявления по «Ильинское село» одно с типом «офис» — и это целое здание 1 200 м² за 2,5 млн ₽/мес.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Все объявления по улице Ленина позиционируются как торговое или ПСН. Офис упоминается лишь как запасная опция: «под офис либо услуги», «торговля, услуги или офис».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Ближайший реальный офисный рынок — БЦ «Красногорск Плаза» (129 объявлений, класс B+), и это 18 км от объекта, у МКАД, с метро и МЦД. Ставка 2-го этажа там 20 200–28 400 ₽/м²/год.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Итог: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мы просим 25 960 ₽/м²/год — ровно в коридоре 2-го этажа класса B+ у МКАД — находясь на 3-м этаже районного ТЦ в селе без общественного транспорта. Наша ставка выше, чем у офисов в бизнес-центре в Раздорах на Рублёвке (19 000–21 000 ₽/м²/год, 5-й этаж). Медиана третьего этажа и выше по округу — 17 050 ₽/м²/год, мы просим в 1,5 раза больше; медиана когорты «до 120 м², этаж 3 и выше» — 20 828. Слово «офис» нужно снять, помещение переупаковать как готовую студию услуг.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Целевая ставка: 18 000–21 000 ₽/м²/год, то есть 68–79 тыс. ₽/мес.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селе Ильинское есть ровно одно офисное предложение. Лот 277458208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Вывод от этого только усиливается. Офисный продукт здесь есть — с ремонтом, переговорными и парковкой, — и он четыре года не находит арендатора. Позиционирование «офис» здесь уже проверено на соседнем объекте, и результат отрицательный.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3.7. Проверка по ЦИАН: ставка, этаж и срок экспозиции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Данные ЦИАН получены напрямую — через тот же интерфейс, которым пользуется его собственная выдача. Выгружены все 277 объявлений коммерческой аренды городского округа Красногорск и все 13 по селу Ильинское; полнота подтверждена сверкой с собственным счётчиком площадки.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Что это даёт сверх агрегаторов.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Дату создания каждого объявления, а с ней и срок экспозиции. Запрашиваемая ставка показывает, чего хочет собственник; срок экспозиции показывает, согласен ли с этим рынок.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Этаж</w:t>
            </w:r>
          </w:p>
        </w:tc>
        <w:tc>
          <w:tcPr>
            <w:tcW w:type="dxa" w:w="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Лотов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Медиана, ₽/м²/год</w:t>
            </w:r>
          </w:p>
        </w:tc>
        <w:tc>
          <w:tcPr>
            <w:tcW w:type="dxa" w:w="20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Квартили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экспозиции</w:t>
            </w:r>
          </w:p>
        </w:tc>
        <w:tc>
          <w:tcPr>
            <w:tcW w:type="dxa" w:w="19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Цоколь (−1)</w:t>
            </w:r>
          </w:p>
        </w:tc>
        <w:tc>
          <w:tcPr>
            <w:tcW w:type="dxa" w:w="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12 494</w:t>
            </w:r>
          </w:p>
        </w:tc>
        <w:tc>
          <w:tcPr>
            <w:tcW w:type="dxa" w:w="2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10 800 – 15 882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82 дня</w:t>
            </w:r>
          </w:p>
        </w:tc>
        <w:tc>
          <w:tcPr>
            <w:tcW w:type="dxa" w:w="1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195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25 751</w:t>
            </w:r>
          </w:p>
        </w:tc>
        <w:tc>
          <w:tcPr>
            <w:tcW w:type="dxa" w:w="2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17 231 – 34 286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56 дней</w:t>
            </w:r>
          </w:p>
        </w:tc>
        <w:tc>
          <w:tcPr>
            <w:tcW w:type="dxa" w:w="1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5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20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14 700 – 30 000</w:t>
            </w:r>
          </w:p>
        </w:tc>
        <w:tc>
          <w:tcPr>
            <w:tcW w:type="dxa" w:w="1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179 дней</w:t>
            </w:r>
          </w:p>
        </w:tc>
        <w:tc>
          <w:tcPr>
            <w:tcW w:type="dxa" w:w="19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8C3A12"/>
                <w:sz w:val="17"/>
                <w:szCs w:val="17"/>
              </w:rPr>
              <w:t xml:space="preserve">42%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24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17 050</w:t>
            </w:r>
          </w:p>
        </w:tc>
        <w:tc>
          <w:tcPr>
            <w:tcW w:type="dxa" w:w="2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15 000 – 21 329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158 дней</w:t>
            </w:r>
          </w:p>
        </w:tc>
        <w:tc>
          <w:tcPr>
            <w:tcW w:type="dxa" w:w="1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4%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Источник: ЦИАН, коммерческая аренда, городской округ Красногорск, выгрузка 18.09.2026. 254 лота после нормализации ставок и отсева выбросов. Часть карточек ЦИАН хранит в поле цены ставку за м² в месяц, а не сумму за месяц; различение подтверждено дословным текстом объявлений.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Этаж дороже всего обходится временем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Разница в ставке между первым и вторым этажом — 30%. Разница в сроке экспозиции — втрое: 56 дней против 179.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точнее всего этаж описывает третья цифра: на первом этаже дольше года стоят 10% лотов, на втором — 42%. Почти половина предложения второго этажа в этом округе не находит арендатора за год.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собственника это означает, что верхний этаж нельзя закрывать ожиданием. Либо ставка уходит заметно ниже первого этажа, либо помещение продаётся адресно — конкретному оператору, которому витрина не нужна.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Наши три помещения против медианы своего этажа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00"/>
        <w:gridCol w:w="1800"/>
        <w:gridCol w:w="1800"/>
        <w:gridCol w:w="1400"/>
        <w:gridCol w:w="2706"/>
      </w:tblGrid>
      <w:tr>
        <w:trPr>
          <w:tblHeader/>
        </w:trPr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Ставка, ₽/м²/год</w:t>
            </w:r>
          </w:p>
        </w:tc>
        <w:tc>
          <w:tcPr>
            <w:tcW w:type="dxa" w:w="1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этажа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Отношение</w:t>
            </w:r>
          </w:p>
        </w:tc>
        <w:tc>
          <w:tcPr>
            <w:tcW w:type="dxa" w:w="2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— 430,5 м², 2 этаж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13 909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×0,77</w:t>
            </w:r>
          </w:p>
        </w:tc>
        <w:tc>
          <w:tcPr>
            <w:tcW w:type="dxa" w:w="2706"/>
            <w:shd w:fill="EFF7F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Ниже рынка. Когорта «280–560 м², этаж 2+»: медиана 17 475 при медиане экспозиции 110 дней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39 091</w:t>
            </w:r>
          </w:p>
        </w:tc>
        <w:tc>
          <w:tcPr>
            <w:tcW w:type="dxa" w:w="1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×2,16</w:t>
            </w:r>
          </w:p>
        </w:tc>
        <w:tc>
          <w:tcPr>
            <w:tcW w:type="dxa" w:w="2706"/>
            <w:shd w:fill="FDF0F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Вдвое выше рынка. В когорте «до 60 м², 2 этаж» всё, что дороже 26 000, стоит больше трёх лет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№3 — 45,3 м², 3 этаж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25 960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17 050</w:t>
            </w:r>
          </w:p>
        </w:tc>
        <w:tc>
          <w:tcPr>
            <w:tcW w:type="dxa" w:w="1400"/>
            <w:shd w:fill="DD8B2C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×1,52</w:t>
            </w:r>
          </w:p>
        </w:tc>
        <w:tc>
          <w:tcPr>
            <w:tcW w:type="dxa" w:w="27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Выше рынка. Когорта «до 120 м², этаж 3+»: медиана 20 828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Нашего объекта на ЦИАН нет вовсе.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Дословно из карточки лота на ул. Ленина, 11: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Улица Экспериментальная, 10: четыре лота в одном здании — 300, 500, 1 200 и 1 700 м²,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 улицам Заповедная и Архангельская (ЖК «Ильинские луга») в экспозиции блоки 25–321 м² на первых этажах по 21 800–51 200 ₽/м²/год, часть стоит 177–429 дней. По улице Романовская (ЖК «Новая Рига», Глухово) — 11 200–24 600 ₽/м²/год.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4.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Локационный анализ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Три факта, которые определяют всё остальное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Параметры</w:t>
            </w:r>
          </w:p>
        </w:tc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Якоря и содержание</w:t>
            </w:r>
          </w:p>
        </w:tc>
        <w:tc>
          <w:tcPr>
            <w:tcW w:type="dxa" w:w="20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GLA 6 300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14 400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46 154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24 286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type="dxa" w:w="5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Арендаторы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/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Выведенное правило: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Общий признак — к этим арендаторам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едут по записи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4.2. Жители соседних локаций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Два уточнения по застройщикам, которые часто путают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Главное.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Официальная численность села Ильинское —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478 человек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Населённый пункт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Численность</w:t>
            </w:r>
          </w:p>
        </w:tc>
        <w:tc>
          <w:tcPr>
            <w:tcW w:type="dxa" w:w="2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29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Критическое допущение: радиус не равен доступности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6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Проектная ёмкость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  <w:tc>
          <w:tcPr>
            <w:tcW w:type="dxa" w:w="1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ПИК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29,5 га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Сколько человек считать на квартиру.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28,0 м² на человека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Горизонт</w:t>
            </w:r>
          </w:p>
        </w:tc>
        <w:tc>
          <w:tcPr>
            <w:tcW w:type="dxa" w:w="3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5 км</w:t>
            </w:r>
          </w:p>
        </w:tc>
        <w:tc>
          <w:tcPr>
            <w:tcW w:type="dxa" w:w="3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Предостережение по цифре «57 тысяч»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4.3. Трафик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Заявленная цифра и что за ней стоит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Проверка заявления «50 000 автомобилей в сутки»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  <w:tc>
          <w:tcPr>
            <w:tcW w:type="dxa" w:w="3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DD8B2C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1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Доля</w:t>
            </w:r>
          </w:p>
        </w:tc>
        <w:tc>
          <w:tcPr>
            <w:tcW w:type="dxa" w:w="5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Связь Новая Рига ↔ Рублёвка</w:t>
            </w:r>
          </w:p>
        </w:tc>
        <w:tc>
          <w:tcPr>
            <w:tcW w:type="dxa" w:w="1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Следствие: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Пик приходится на 13:00–15:00, а не на вечер.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Инфраструктурные изменения: метро работает в обе стороны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2028 (прогноз)</w:t>
            </w:r>
          </w:p>
        </w:tc>
        <w:tc>
          <w:tcPr>
            <w:tcW w:type="dxa" w:w="2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Что происходит с покупательной способностью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5.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Причина</w:t>
            </w:r>
          </w:p>
        </w:tc>
        <w:tc>
          <w:tcPr>
            <w:tcW w:type="dxa" w:w="6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Вес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Природа</w:t>
            </w:r>
          </w:p>
        </w:tc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Конкретное действие</w:t>
            </w:r>
          </w:p>
        </w:tc>
        <w:tc>
          <w:tcPr>
            <w:tcW w:type="dxa" w:w="1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118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№2 к 24–26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shd w:fill="E8C77E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shd w:fill="6B758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shd w:fill="6B758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из этого следует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6.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предлагается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6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важно зафиксировать сразу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Одна концепция вместо четырёх.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 превращена в продукт.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Планировки с расстановкой.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Рендеры вместо пустых кадров.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Актуальный состав соседей.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6.2. Что она создала заново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45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и 1 700 м² «под ресторан, клуб, зал на 500 гостей» по 24 636 ₽/м²/год.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6.3. Вердикт и что сделать с ней в ближайший месяц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Коротко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сделать</w:t>
            </w:r>
          </w:p>
        </w:tc>
        <w:tc>
          <w:tcPr>
            <w:tcW w:type="dxa" w:w="4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Зачем</w:t>
            </w:r>
          </w:p>
        </w:tc>
        <w:tc>
          <w:tcPr>
            <w:tcW w:type="dxa" w:w="1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20" w:right="900" w:bottom="90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B6CB0" w:sz="10" w:space="6"/>
        </w:pBdr>
        <w:spacing w:after="200"/>
      </w:pP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Georgia" w:cs="Georgia" w:eastAsia="Georgia" w:hAnsi="Georgia"/>
          <w:color w:val="22282E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B6CB0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B93C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E8C77E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DD8B2C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C3A1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 →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Georgia" w:cs="Georgia" w:eastAsia="Georgia" w:hAnsi="Georgia"/>
          <w:i/>
          <w:iCs/>
          <w:color w:val="6B758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5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она</w:t>
            </w:r>
          </w:p>
        </w:tc>
        <w:tc>
          <w:tcPr>
            <w:tcW w:type="dxa" w:w="20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8.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3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CAPEX</w:t>
            </w:r>
          </w:p>
        </w:tc>
        <w:tc>
          <w:tcPr>
            <w:tcW w:type="dxa" w:w="13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NPV за 3 года</w:t>
            </w:r>
          </w:p>
        </w:tc>
        <w:tc>
          <w:tcPr>
            <w:tcW w:type="dxa" w:w="1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→ 25 000 ₽/м²/год, №3 →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shd w:fill="5B93C9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+5,87 млн ₽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shd w:fill="5B93C9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+7,99 млн ₽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D. Якорь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Как читать эту таблицу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Рекомендация.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9.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План действий на 90 дней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Ответственный</w:t>
            </w:r>
          </w:p>
        </w:tc>
        <w:tc>
          <w:tcPr>
            <w:tcW w:type="dxa" w:w="3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ставки: №2 → 79–86 тыс. ₽/мес, №3 → 68–79 тыс. ₽/мес. №1 оставить, но переупаковать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Бюджет</w:t>
            </w:r>
          </w:p>
        </w:tc>
        <w:tc>
          <w:tcPr>
            <w:tcW w:type="dxa" w:w="31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4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10.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Источники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metrplus.com — «Торговая площадь с террасой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metrplus.com — «Торговая площадь 39,6 м²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metrplus.com — «Офис на первой линии, БЦ «Амбар»», обновлено 12.08.2026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metrplus.com — «Аренда помещений в торговом центре «Амбар 2»»,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metrplus.com — «Наши объекты: Торговый центр в Ильинском» (кадастровый номер 50:11:0050502:1759)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Бенчмарк арендных ставок (43 компа)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move.ru — объявления по с. Ильинское (ул. Ленина 11, 30, 4), Горки-2, Горки-10, Жуковка, Раздоры, Нахабино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arendacre.mirkvartir.ru — объявления по ул. Ленина 11, 26, 30, 10 (ID 3998415, 3619958, 3585838, 3903090)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shopandmall.ru — ТЦ «Ильинский» (GLA 6 300 м², 70 000 чел./мес, ставки 14 400–48 000 ₽/м²/год); ТРК «Павлово Подворье»; Барвиха Luxury Village; Dream House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realestate.ru — объявления по с. Архангельское, д. 27 (ID 102654214, 102657733, 102654215, 102657734, 102651651)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shopandmall.ru — Николо-Урюпино, ЖК «Гранель Аникеевский»; Глухово, ЖК «Новая Рига»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gladston.ru/42457 — Ильинское-Усово, ЖК «Ильинские Луга» (объект реализован)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n1.ru — БЦ «Красногорск Плаза», Ильинское шоссе, 1А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NF Group. Рынок торговой недвижимости Москвы, I полугодие 2026 (media.kf.expert)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Коммерсантъ. «Аренда торговых помещений в Москве: цены и тренды 2026»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ЦИАН — прямая выгрузка через API выдачи, 18.09.2026: 277 объявлений коммерческой аренды г.о. Красногорск (region 269663) и 13 по с. Ильинское (region 269681). Карточки: krasnogorsk.cian.ru/rent/commercial/&lt;id&gt;/ — в тексте использованы 277458208, 290241753, 313072137, 327894962, 331957732, 333311589, 331507639, 325457201, 325457202, 325457203, 333731876, 333983497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11.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Бенчмарк: 43 сопоставимых предложения по четырём кластерам, собранные 18.09.2026. Пересчёт ₽/м²/год = ставка ₽/мес × 12 ÷ площадь. Поправочные коэффициенты выведены из парных предложений внутри одного здания, а не взяты из отраслевых средних.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Допущение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Пара 42 м² / 38 м² в ТЦ «Ильинский»; независимо подтверждено медианами ЦИАН по 254 лотам: 18 072 / 25 751 = 0,70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3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важно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Авито данные не отдал: captcha. ЦИАН опрошен напрямую, через интерфейс его собственной выдачи: выгружены все 277 объявлений коммерческой аренды округа.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11.5. Неразрешённое противоречие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2B6CB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1B3A5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22282E"/>
        <w:sz w:val="21"/>
        <w:szCs w:val="21"/>
      </w:rPr>
    </w:rPrDefault>
    <w:pPrDefault>
      <w:pPr>
        <w:spacing w:after="96" w:line="25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30" w:before="0"/>
    </w:pPr>
    <w:rPr>
      <w:rFonts w:ascii="Georgia" w:cs="Georgia" w:eastAsia="Georgia" w:hAnsi="Georgia"/>
      <w:b/>
      <w:bCs/>
      <w:color w:val="1B3A5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30" w:before="280"/>
    </w:pPr>
    <w:rPr>
      <w:rFonts w:ascii="Georgia" w:cs="Georgia" w:eastAsia="Georgia" w:hAnsi="Georgia"/>
      <w:b/>
      <w:bCs/>
      <w:color w:val="1B3A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10"/>
    </w:pPr>
    <w:rPr>
      <w:rFonts w:ascii="Georgia" w:cs="Georgia" w:eastAsia="Georgia" w:hAnsi="Georgia"/>
      <w:b/>
      <w:bCs/>
      <w:color w:val="2B6CB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5b94efc932158f7047a81e233d3c956b6cf2505.jpg"/><Relationship Id="rId14" Type="http://schemas.openxmlformats.org/officeDocument/2006/relationships/image" Target="media/efbad375f9c174320035dcac7fd8c5bd27000339.jpg"/><Relationship Id="rId15" Type="http://schemas.openxmlformats.org/officeDocument/2006/relationships/image" Target="media/0837aa9f4b5b519dc0fee48f6f2c3683d9ff65ca.jpg"/><Relationship Id="rId16" Type="http://schemas.openxmlformats.org/officeDocument/2006/relationships/image" Target="media/245df0ca5f36b7bd1a29de34241af8252554f69b.jpg"/><Relationship Id="rId17" Type="http://schemas.openxmlformats.org/officeDocument/2006/relationships/image" Target="media/f873ea74cc309c7ad8ff7b3942b68550b1957933.jpg"/><Relationship Id="rId18" Type="http://schemas.openxmlformats.org/officeDocument/2006/relationships/image" Target="media/9ffc53e0669a7d395937d555a199937439e39377.jpg"/><Relationship Id="rId19" Type="http://schemas.openxmlformats.org/officeDocument/2006/relationships/image" Target="media/8e3c778d7204590d89dff0ab02f4aa3478f3ddd5.jpg"/><Relationship Id="rId20" Type="http://schemas.openxmlformats.org/officeDocument/2006/relationships/image" Target="media/355d3b0359b78f479af0e84f255f064cad2ed8a4.jpg"/><Relationship Id="rId21" Type="http://schemas.openxmlformats.org/officeDocument/2006/relationships/image" Target="media/8a6e57fed472de0f5216b29a8a0c0e247a4a8e5a.jpg"/><Relationship Id="rId22" Type="http://schemas.openxmlformats.org/officeDocument/2006/relationships/image" Target="media/2ffa93ffb2c03a826d5fb6df29052872b652c103.jpg"/><Relationship Id="rId23" Type="http://schemas.openxmlformats.org/officeDocument/2006/relationships/image" Target="media/a6b302f5ce2c5990b56d6dd84e6de591d0f66f09.jpg"/><Relationship Id="rId24" Type="http://schemas.openxmlformats.org/officeDocument/2006/relationships/image" Target="media/101019ad81b9285a2a3f3db863d9b08c75345cb3.png"/><Relationship Id="rId25" Type="http://schemas.openxmlformats.org/officeDocument/2006/relationships/image" Target="media/f12dd5acc215e3180803920bf519bd67883a3538.png"/><Relationship Id="rId26" Type="http://schemas.openxmlformats.org/officeDocument/2006/relationships/image" Target="media/6cfc2986d18b165ba5a378df78ee699851e40aa3.png"/><Relationship Id="rId27" Type="http://schemas.openxmlformats.org/officeDocument/2006/relationships/image" Target="media/8188c9468ffcf7afca0a20b5d70eba74268915c1.png"/><Relationship Id="rId28" Type="http://schemas.openxmlformats.org/officeDocument/2006/relationships/image" Target="media/9d701aab7f8ffa6a1f54861c7672d549c875e567.png"/><Relationship Id="rId29" Type="http://schemas.openxmlformats.org/officeDocument/2006/relationships/image" Target="media/1b5aedc635f1df08f761a234a1898ba684c81d96.png"/><Relationship Id="rId30" Type="http://schemas.openxmlformats.org/officeDocument/2006/relationships/image" Target="media/9e0cfbe7cb3f8f83bf8a2de6b9f86eed5dd82fdf.png"/><Relationship Id="rId31" Type="http://schemas.openxmlformats.org/officeDocument/2006/relationships/image" Target="media/601ade591eee91a33f2cb9c03a399e87a7e7e378.png"/><Relationship Id="rId32" Type="http://schemas.openxmlformats.org/officeDocument/2006/relationships/image" Target="media/1f61ff3b22bfd49e64ec77b93540d9f61225beaf.png"/><Relationship Id="rId33" Type="http://schemas.openxmlformats.org/officeDocument/2006/relationships/image" Target="media/a65af8f1d25b1fe1605f6436acef51bec03f1e4d.jpg"/><Relationship Id="rId34" Type="http://schemas.openxmlformats.org/officeDocument/2006/relationships/image" Target="media/91c6d2ce6079c26cc3e414e7765502b5e4afd724.jpg"/><Relationship Id="rId35" Type="http://schemas.openxmlformats.org/officeDocument/2006/relationships/image" Target="media/34b79580aba359b31c56e42d3fe4ecec09cc881d.jpg"/><Relationship Id="rId36" Type="http://schemas.openxmlformats.org/officeDocument/2006/relationships/image" Target="media/6e78aff61d00fa4f79c3500961b86e1c2a05033b.jpg"/><Relationship Id="rId37" Type="http://schemas.openxmlformats.org/officeDocument/2006/relationships/image" Target="media/323070ce436629f23061cbe22565c504d5d4b0fd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2026-09-18T09:42:16.291Z</dcterms:created>
  <dcterms:modified xsi:type="dcterms:W3CDTF">2026-09-18T09:42:16.291Z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