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220"/>
        <w:jc w:val="left"/>
      </w:pPr>
      <w:r>
        <w:rPr>
          <w:rFonts w:ascii="Calibri" w:cs="Calibri" w:eastAsia="Calibri" w:hAnsi="Calibri"/>
          <w:b/>
          <w:bCs/>
          <w:color w:val="256ABF"/>
          <w:spacing w:val="60"/>
          <w:sz w:val="19"/>
          <w:szCs w:val="19"/>
        </w:rPr>
        <w:t xml:space="preserve">СРАВНИТЕЛЬНОЕ ИССЛЕДОВАНИЕ ЗАСТРОЙКИ</w:t>
      </w:r>
    </w:p>
    <w:p>
      <w:pPr>
        <w:spacing w:after="60" w:line="760"/>
        <w:jc w:val="left"/>
      </w:pPr>
      <w:r>
        <w:rPr>
          <w:rFonts w:ascii="Cambria" w:cs="Cambria" w:eastAsia="Cambria" w:hAnsi="Cambria"/>
          <w:b/>
          <w:bCs/>
          <w:color w:val="104281"/>
          <w:sz w:val="68"/>
          <w:szCs w:val="68"/>
        </w:rPr>
        <w:t xml:space="preserve">Анатомия мегаполиса</w:t>
      </w:r>
    </w:p>
    <w:p>
      <w:pPr>
        <w:spacing w:after="340" w:line="420"/>
        <w:jc w:val="left"/>
      </w:pPr>
      <w:r>
        <w:rPr>
          <w:rFonts w:ascii="Cambria" w:cs="Cambria" w:eastAsia="Cambria" w:hAnsi="Cambria"/>
          <w:color w:val="52514E"/>
          <w:sz w:val="34"/>
          <w:szCs w:val="34"/>
        </w:rPr>
        <w:t xml:space="preserve">Размерная структура зданий 34 крупнейших городов мира</w:t>
      </w:r>
    </w:p>
    <w:p>
      <w:pPr>
        <w:pBdr>
          <w:bottom w:val="single" w:color="256ABF" w:sz="18" w:space="4"/>
        </w:pBdr>
        <w:spacing w:after="340"/>
      </w:pPr>
    </w:p>
    <w:p>
      <w:pPr>
        <w:spacing w:after="26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Что измерено.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Каждое здание в круге радиусом 10 км вокруг центра каждого города отнесено к одной из четырёх категорий по площади пятна застройки: до 300 м², от 300 до 1 000 м², от 1 000 до 10 000 м² и свыше 10 000 м². Всего обработано более 17 миллионов контуров зданий из двух независимых глобальных источников.</w:t>
      </w:r>
    </w:p>
    <w:p>
      <w:pPr>
        <w:spacing w:after="200"/>
      </w:pP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5458"/>
        <w:gridCol w:w="3953"/>
      </w:tblGrid>
      <w:tr>
        <w:trPr>
          <w:tblHeader/>
        </w:trPr>
        <w:tc>
          <w:tcPr>
            <w:tcW w:type="dxa" w:w="545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395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545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Городов в основном срезе</w:t>
            </w:r>
          </w:p>
        </w:tc>
        <w:tc>
          <w:tcPr>
            <w:tcW w:type="dxa" w:w="395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28 на 6 континентах</w:t>
            </w:r>
          </w:p>
        </w:tc>
      </w:tr>
      <w:tr>
        <w:tc>
          <w:tcPr>
            <w:tcW w:type="dxa" w:w="545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Городов в контрольном срезе</w:t>
            </w:r>
          </w:p>
        </w:tc>
        <w:tc>
          <w:tcPr>
            <w:tcW w:type="dxa" w:w="395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34, включая Антарктиду</w:t>
            </w:r>
          </w:p>
        </w:tc>
      </w:tr>
      <w:tr>
        <w:tc>
          <w:tcPr>
            <w:tcW w:type="dxa" w:w="545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Зданий в основном срезе</w:t>
            </w:r>
          </w:p>
        </w:tc>
        <w:tc>
          <w:tcPr>
            <w:tcW w:type="dxa" w:w="395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4 898 562</w:t>
            </w:r>
          </w:p>
        </w:tc>
      </w:tr>
      <w:tr>
        <w:tc>
          <w:tcPr>
            <w:tcW w:type="dxa" w:w="545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Зданий в контрольном срезе</w:t>
            </w:r>
          </w:p>
        </w:tc>
        <w:tc>
          <w:tcPr>
            <w:tcW w:type="dxa" w:w="395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12 382 113</w:t>
            </w:r>
          </w:p>
        </w:tc>
      </w:tr>
      <w:tr>
        <w:tc>
          <w:tcPr>
            <w:tcW w:type="dxa" w:w="545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Суммарное пятно застройки</w:t>
            </w:r>
          </w:p>
        </w:tc>
        <w:tc>
          <w:tcPr>
            <w:tcW w:type="dxa" w:w="395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1 787 км²</w:t>
            </w:r>
          </w:p>
        </w:tc>
      </w:tr>
      <w:tr>
        <w:tc>
          <w:tcPr>
            <w:tcW w:type="dxa" w:w="545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Обследованная территория</w:t>
            </w:r>
          </w:p>
        </w:tc>
        <w:tc>
          <w:tcPr>
            <w:tcW w:type="dxa" w:w="395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8 798 км²</w:t>
            </w:r>
          </w:p>
        </w:tc>
      </w:tr>
      <w:tr>
        <w:tc>
          <w:tcPr>
            <w:tcW w:type="dxa" w:w="545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Источники данных</w:t>
            </w:r>
          </w:p>
        </w:tc>
        <w:tc>
          <w:tcPr>
            <w:tcW w:type="dxa" w:w="395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Microsoft · Overture Maps</w:t>
            </w:r>
          </w:p>
        </w:tc>
      </w:tr>
      <w:tr>
        <w:tc>
          <w:tcPr>
            <w:tcW w:type="dxa" w:w="545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Дата отчёта</w:t>
            </w:r>
          </w:p>
        </w:tc>
        <w:tc>
          <w:tcPr>
            <w:tcW w:type="dxa" w:w="395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12 сентября 2026 г.</w:t>
            </w:r>
          </w:p>
        </w:tc>
      </w:tr>
    </w:tbl>
    <w:p>
      <w:r>
        <w:br w:type="page"/>
      </w:r>
    </w:p>
    <w:p>
      <w:pPr>
        <w:pBdr>
          <w:bottom w:val="single" w:color="104281" w:sz="12" w:space="8"/>
        </w:pBdr>
        <w:spacing w:after="24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Содержание</w:t>
      </w:r>
    </w:p>
    <w:p>
      <w:pPr>
        <w:tabs>
          <w:tab w:val="right" w:pos="9411" w:leader="dot"/>
        </w:tabs>
        <w:spacing w:after="20" w:before="150" w:line="250" w:lineRule="auto"/>
        <w:ind w:left="0"/>
      </w:pPr>
      <w:r>
        <w:rPr>
          <w:rFonts w:ascii="Cambria" w:cs="Cambria" w:eastAsia="Cambria" w:hAnsi="Cambria"/>
          <w:b/>
          <w:bCs/>
          <w:color w:val="104281"/>
          <w:sz w:val="22"/>
          <w:szCs w:val="22"/>
        </w:rPr>
        <w:t xml:space="preserve">1. Резюме</w:t>
      </w:r>
      <w:r>
        <w:rPr>
          <w:rFonts w:ascii="Calibri" w:cs="Calibri" w:eastAsia="Calibri" w:hAnsi="Calibri"/>
          <w:b/>
          <w:bCs/>
          <w:color w:val="104281"/>
          <w:sz w:val="22"/>
          <w:szCs w:val="22"/>
        </w:rPr>
        <w:t xml:space="preserve">	4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Десять главных результатов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4</w:t>
      </w:r>
    </w:p>
    <w:p>
      <w:pPr>
        <w:tabs>
          <w:tab w:val="right" w:pos="9411" w:leader="dot"/>
        </w:tabs>
        <w:spacing w:after="20" w:before="150" w:line="250" w:lineRule="auto"/>
        <w:ind w:left="0"/>
      </w:pPr>
      <w:r>
        <w:rPr>
          <w:rFonts w:ascii="Cambria" w:cs="Cambria" w:eastAsia="Cambria" w:hAnsi="Cambria"/>
          <w:b/>
          <w:bCs/>
          <w:color w:val="104281"/>
          <w:sz w:val="22"/>
          <w:szCs w:val="22"/>
        </w:rPr>
        <w:t xml:space="preserve">2. Методология</w:t>
      </w:r>
      <w:r>
        <w:rPr>
          <w:rFonts w:ascii="Calibri" w:cs="Calibri" w:eastAsia="Calibri" w:hAnsi="Calibri"/>
          <w:b/>
          <w:bCs/>
          <w:color w:val="104281"/>
          <w:sz w:val="22"/>
          <w:szCs w:val="22"/>
        </w:rPr>
        <w:t xml:space="preserve">	6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2.1. Что именно измеряется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6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2.2. Источники данных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6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2.3. Геометрия наблюдения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6</w:t>
      </w:r>
    </w:p>
    <w:p>
      <w:pPr>
        <w:tabs>
          <w:tab w:val="right" w:pos="9411" w:leader="dot"/>
        </w:tabs>
        <w:spacing w:after="20" w:before="20" w:line="250" w:lineRule="auto"/>
        <w:ind w:left="620"/>
      </w:pP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Освоенная территория</w:t>
      </w: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	7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2.4. Показатели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7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2.5. Ограничения и калибровка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7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2.6. Чем это исследование не является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8</w:t>
      </w:r>
    </w:p>
    <w:p>
      <w:pPr>
        <w:tabs>
          <w:tab w:val="right" w:pos="9411" w:leader="dot"/>
        </w:tabs>
        <w:spacing w:after="20" w:before="150" w:line="250" w:lineRule="auto"/>
        <w:ind w:left="0"/>
      </w:pPr>
      <w:r>
        <w:rPr>
          <w:rFonts w:ascii="Cambria" w:cs="Cambria" w:eastAsia="Cambria" w:hAnsi="Cambria"/>
          <w:b/>
          <w:bCs/>
          <w:color w:val="104281"/>
          <w:sz w:val="22"/>
          <w:szCs w:val="22"/>
        </w:rPr>
        <w:t xml:space="preserve">3. Общая картина</w:t>
      </w:r>
      <w:r>
        <w:rPr>
          <w:rFonts w:ascii="Calibri" w:cs="Calibri" w:eastAsia="Calibri" w:hAnsi="Calibri"/>
          <w:b/>
          <w:bCs/>
          <w:color w:val="104281"/>
          <w:sz w:val="22"/>
          <w:szCs w:val="22"/>
        </w:rPr>
        <w:t xml:space="preserve">	9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3.1. Четыре категории в мировом масштабе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9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3.2. Континентальный профиль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11</w:t>
      </w:r>
    </w:p>
    <w:p>
      <w:pPr>
        <w:tabs>
          <w:tab w:val="right" w:pos="9411" w:leader="dot"/>
        </w:tabs>
        <w:spacing w:after="20" w:before="150" w:line="250" w:lineRule="auto"/>
        <w:ind w:left="0"/>
      </w:pPr>
      <w:r>
        <w:rPr>
          <w:rFonts w:ascii="Cambria" w:cs="Cambria" w:eastAsia="Cambria" w:hAnsi="Cambria"/>
          <w:b/>
          <w:bCs/>
          <w:color w:val="104281"/>
          <w:sz w:val="22"/>
          <w:szCs w:val="22"/>
        </w:rPr>
        <w:t xml:space="preserve">4. Континентальные разрезы</w:t>
      </w:r>
      <w:r>
        <w:rPr>
          <w:rFonts w:ascii="Calibri" w:cs="Calibri" w:eastAsia="Calibri" w:hAnsi="Calibri"/>
          <w:b/>
          <w:bCs/>
          <w:color w:val="104281"/>
          <w:sz w:val="22"/>
          <w:szCs w:val="22"/>
        </w:rPr>
        <w:t xml:space="preserve">	13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4.1. Азия: от 94 квадратных метров Токио до квартальной сетки Шанхая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13</w:t>
      </w:r>
    </w:p>
    <w:p>
      <w:pPr>
        <w:tabs>
          <w:tab w:val="right" w:pos="9411" w:leader="dot"/>
        </w:tabs>
        <w:spacing w:after="20" w:before="20" w:line="250" w:lineRule="auto"/>
        <w:ind w:left="620"/>
      </w:pP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Шанхай и Сеул: два города, которых нет у Microsoft</w:t>
      </w: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	14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4.2. Африка: горизонтальный континент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14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4.3. Европа: континент наибольшего внутреннего разброса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15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4.4. Северная Америка: два города в одном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17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4.5. Южная Америка: наследие «Законов Индий»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17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4.6. Океания: самая однородная застройка планеты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18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4.7. Антарктида: контрольная точка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19</w:t>
      </w:r>
    </w:p>
    <w:p>
      <w:pPr>
        <w:tabs>
          <w:tab w:val="right" w:pos="9411" w:leader="dot"/>
        </w:tabs>
        <w:spacing w:after="20" w:before="150" w:line="250" w:lineRule="auto"/>
        <w:ind w:left="0"/>
      </w:pPr>
      <w:r>
        <w:rPr>
          <w:rFonts w:ascii="Cambria" w:cs="Cambria" w:eastAsia="Cambria" w:hAnsi="Cambria"/>
          <w:b/>
          <w:bCs/>
          <w:color w:val="104281"/>
          <w:sz w:val="22"/>
          <w:szCs w:val="22"/>
        </w:rPr>
        <w:t xml:space="preserve">5. Сквозные закономерности</w:t>
      </w:r>
      <w:r>
        <w:rPr>
          <w:rFonts w:ascii="Calibri" w:cs="Calibri" w:eastAsia="Calibri" w:hAnsi="Calibri"/>
          <w:b/>
          <w:bCs/>
          <w:color w:val="104281"/>
          <w:sz w:val="22"/>
          <w:szCs w:val="22"/>
        </w:rPr>
        <w:t xml:space="preserve">	20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5.1. Обмен количества на размер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20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5.2. Коэффициент застроенности как отпечаток доктрины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21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5.3. Концентрация площади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22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5.4. Неоднородность как историческая память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23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5.5. Ядро и периферия: два типа города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24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5.6. Крупнейшая категория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25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5.7. Вертикальное измерение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26</w:t>
      </w:r>
    </w:p>
    <w:p>
      <w:pPr>
        <w:tabs>
          <w:tab w:val="right" w:pos="9411" w:leader="dot"/>
        </w:tabs>
        <w:spacing w:after="20" w:before="150" w:line="250" w:lineRule="auto"/>
        <w:ind w:left="0"/>
      </w:pPr>
      <w:r>
        <w:rPr>
          <w:rFonts w:ascii="Cambria" w:cs="Cambria" w:eastAsia="Cambria" w:hAnsi="Cambria"/>
          <w:b/>
          <w:bCs/>
          <w:color w:val="104281"/>
          <w:sz w:val="22"/>
          <w:szCs w:val="22"/>
        </w:rPr>
        <w:t xml:space="preserve">6. Восемь национальных сюжетов</w:t>
      </w:r>
      <w:r>
        <w:rPr>
          <w:rFonts w:ascii="Calibri" w:cs="Calibri" w:eastAsia="Calibri" w:hAnsi="Calibri"/>
          <w:b/>
          <w:bCs/>
          <w:color w:val="104281"/>
          <w:sz w:val="22"/>
          <w:szCs w:val="22"/>
        </w:rPr>
        <w:t xml:space="preserve">	28</w:t>
      </w:r>
    </w:p>
    <w:p>
      <w:pPr>
        <w:tabs>
          <w:tab w:val="right" w:pos="9411" w:leader="dot"/>
        </w:tabs>
        <w:spacing w:after="20" w:before="20" w:line="250" w:lineRule="auto"/>
        <w:ind w:left="620"/>
      </w:pP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6.1. Токио: дом как расходный материал</w:t>
      </w: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	28</w:t>
      </w:r>
    </w:p>
    <w:p>
      <w:pPr>
        <w:tabs>
          <w:tab w:val="right" w:pos="9411" w:leader="dot"/>
        </w:tabs>
        <w:spacing w:after="20" w:before="20" w:line="250" w:lineRule="auto"/>
        <w:ind w:left="620"/>
      </w:pP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6.2. Буэнос-Айрес, Мадрид, Мехико: мансана длиною в 450 лет</w:t>
      </w: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	28</w:t>
      </w:r>
    </w:p>
    <w:p>
      <w:pPr>
        <w:tabs>
          <w:tab w:val="right" w:pos="9411" w:leader="dot"/>
        </w:tabs>
        <w:spacing w:after="20" w:before="20" w:line="250" w:lineRule="auto"/>
        <w:ind w:left="620"/>
      </w:pP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6.3. Москва: микрорайон как машина по расходованию земли</w:t>
      </w: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	28</w:t>
      </w:r>
    </w:p>
    <w:p>
      <w:pPr>
        <w:tabs>
          <w:tab w:val="right" w:pos="9411" w:leader="dot"/>
        </w:tabs>
        <w:spacing w:after="20" w:before="20" w:line="250" w:lineRule="auto"/>
        <w:ind w:left="620"/>
      </w:pP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6.4. Берлин: 24 квадратных метра по закону</w:t>
      </w: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	29</w:t>
      </w:r>
    </w:p>
    <w:p>
      <w:pPr>
        <w:tabs>
          <w:tab w:val="right" w:pos="9411" w:leader="dot"/>
        </w:tabs>
        <w:spacing w:after="20" w:before="20" w:line="250" w:lineRule="auto"/>
        <w:ind w:left="620"/>
      </w:pP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6.5. Каир: город, выросший на границах полей</w:t>
      </w: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	29</w:t>
      </w:r>
    </w:p>
    <w:p>
      <w:pPr>
        <w:tabs>
          <w:tab w:val="right" w:pos="9411" w:leader="dot"/>
        </w:tabs>
        <w:spacing w:after="20" w:before="20" w:line="250" w:lineRule="auto"/>
        <w:ind w:left="620"/>
      </w:pP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6.6. Лагос: мегаполис без крупных зданий</w:t>
      </w: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	29</w:t>
      </w:r>
    </w:p>
    <w:p>
      <w:pPr>
        <w:tabs>
          <w:tab w:val="right" w:pos="9411" w:leader="dot"/>
        </w:tabs>
        <w:spacing w:after="20" w:before="20" w:line="250" w:lineRule="auto"/>
        <w:ind w:left="620"/>
      </w:pP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6.7. Лос-Анджелес: зонирование, ставшее ландшафтом</w:t>
      </w: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	30</w:t>
      </w:r>
    </w:p>
    <w:p>
      <w:pPr>
        <w:tabs>
          <w:tab w:val="right" w:pos="9411" w:leader="dot"/>
        </w:tabs>
        <w:spacing w:after="20" w:before="20" w:line="250" w:lineRule="auto"/>
        <w:ind w:left="620"/>
      </w:pP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6.8. Мумбаи и Дели: коэффициент, ставший географией</w:t>
      </w:r>
      <w:r>
        <w:rPr>
          <w:rFonts w:ascii="Calibri" w:cs="Calibri" w:eastAsia="Calibri" w:hAnsi="Calibri"/>
          <w:b w:val="false"/>
          <w:bCs w:val="false"/>
          <w:color w:val="52514E"/>
          <w:sz w:val="19"/>
          <w:szCs w:val="19"/>
        </w:rPr>
        <w:t xml:space="preserve">	30</w:t>
      </w:r>
    </w:p>
    <w:p>
      <w:pPr>
        <w:tabs>
          <w:tab w:val="right" w:pos="9411" w:leader="dot"/>
        </w:tabs>
        <w:spacing w:after="20" w:before="150" w:line="250" w:lineRule="auto"/>
        <w:ind w:left="0"/>
      </w:pPr>
      <w:r>
        <w:rPr>
          <w:rFonts w:ascii="Cambria" w:cs="Cambria" w:eastAsia="Cambria" w:hAnsi="Cambria"/>
          <w:b/>
          <w:bCs/>
          <w:color w:val="104281"/>
          <w:sz w:val="22"/>
          <w:szCs w:val="22"/>
        </w:rPr>
        <w:t xml:space="preserve">7. Что это значит для рынков</w:t>
      </w:r>
      <w:r>
        <w:rPr>
          <w:rFonts w:ascii="Calibri" w:cs="Calibri" w:eastAsia="Calibri" w:hAnsi="Calibri"/>
          <w:b/>
          <w:bCs/>
          <w:color w:val="104281"/>
          <w:sz w:val="22"/>
          <w:szCs w:val="22"/>
        </w:rPr>
        <w:t xml:space="preserve">	31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7.1. Строительство и материалы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31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7.2. Девелопмент и инвестиции в недвижимость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31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7.3. Декарбонизация и энергоэффективность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32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7.4. Страхование и оценка риска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32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7.5. Логистика последней мили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32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7.6. Геоданные как рынок и как риск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33</w:t>
      </w:r>
    </w:p>
    <w:p>
      <w:pPr>
        <w:tabs>
          <w:tab w:val="right" w:pos="9411" w:leader="dot"/>
        </w:tabs>
        <w:spacing w:after="20" w:before="150" w:line="250" w:lineRule="auto"/>
        <w:ind w:left="0"/>
      </w:pPr>
      <w:r>
        <w:rPr>
          <w:rFonts w:ascii="Cambria" w:cs="Cambria" w:eastAsia="Cambria" w:hAnsi="Cambria"/>
          <w:b/>
          <w:bCs/>
          <w:color w:val="104281"/>
          <w:sz w:val="22"/>
          <w:szCs w:val="22"/>
        </w:rPr>
        <w:t xml:space="preserve">8. Расхождение источников как результат</w:t>
      </w:r>
      <w:r>
        <w:rPr>
          <w:rFonts w:ascii="Calibri" w:cs="Calibri" w:eastAsia="Calibri" w:hAnsi="Calibri"/>
          <w:b/>
          <w:bCs/>
          <w:color w:val="104281"/>
          <w:sz w:val="22"/>
          <w:szCs w:val="22"/>
        </w:rPr>
        <w:t xml:space="preserve">	34</w:t>
      </w:r>
    </w:p>
    <w:p>
      <w:pPr>
        <w:tabs>
          <w:tab w:val="right" w:pos="9411" w:leader="dot"/>
        </w:tabs>
        <w:spacing w:after="20" w:before="150" w:line="250" w:lineRule="auto"/>
        <w:ind w:left="0"/>
      </w:pPr>
      <w:r>
        <w:rPr>
          <w:rFonts w:ascii="Cambria" w:cs="Cambria" w:eastAsia="Cambria" w:hAnsi="Cambria"/>
          <w:b/>
          <w:bCs/>
          <w:color w:val="104281"/>
          <w:sz w:val="22"/>
          <w:szCs w:val="22"/>
        </w:rPr>
        <w:t xml:space="preserve">9. Выводы</w:t>
      </w:r>
      <w:r>
        <w:rPr>
          <w:rFonts w:ascii="Calibri" w:cs="Calibri" w:eastAsia="Calibri" w:hAnsi="Calibri"/>
          <w:b/>
          <w:bCs/>
          <w:color w:val="104281"/>
          <w:sz w:val="22"/>
          <w:szCs w:val="22"/>
        </w:rPr>
        <w:t xml:space="preserve">	36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9.1. О структуре мирового городского фонда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36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9.2. О различиях между городами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36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9.3. О данных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37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9.4. Практические рекомендации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37</w:t>
      </w:r>
    </w:p>
    <w:p>
      <w:pPr>
        <w:tabs>
          <w:tab w:val="right" w:pos="9411" w:leader="dot"/>
        </w:tabs>
        <w:spacing w:after="20" w:before="150" w:line="250" w:lineRule="auto"/>
        <w:ind w:left="0"/>
      </w:pPr>
      <w:r>
        <w:rPr>
          <w:rFonts w:ascii="Cambria" w:cs="Cambria" w:eastAsia="Cambria" w:hAnsi="Cambria"/>
          <w:b/>
          <w:bCs/>
          <w:color w:val="104281"/>
          <w:sz w:val="22"/>
          <w:szCs w:val="22"/>
        </w:rPr>
        <w:t xml:space="preserve">Приложение А. Полная таблица метрик</w:t>
      </w:r>
      <w:r>
        <w:rPr>
          <w:rFonts w:ascii="Calibri" w:cs="Calibri" w:eastAsia="Calibri" w:hAnsi="Calibri"/>
          <w:b/>
          <w:bCs/>
          <w:color w:val="104281"/>
          <w:sz w:val="22"/>
          <w:szCs w:val="22"/>
        </w:rPr>
        <w:t xml:space="preserve">	38</w:t>
      </w:r>
    </w:p>
    <w:p>
      <w:pPr>
        <w:tabs>
          <w:tab w:val="right" w:pos="9411" w:leader="dot"/>
        </w:tabs>
        <w:spacing w:after="20" w:before="150" w:line="250" w:lineRule="auto"/>
        <w:ind w:left="0"/>
      </w:pPr>
      <w:r>
        <w:rPr>
          <w:rFonts w:ascii="Cambria" w:cs="Cambria" w:eastAsia="Cambria" w:hAnsi="Cambria"/>
          <w:b/>
          <w:bCs/>
          <w:color w:val="104281"/>
          <w:sz w:val="22"/>
          <w:szCs w:val="22"/>
        </w:rPr>
        <w:t xml:space="preserve">Приложение Б. Контрольный срез</w:t>
      </w:r>
      <w:r>
        <w:rPr>
          <w:rFonts w:ascii="Calibri" w:cs="Calibri" w:eastAsia="Calibri" w:hAnsi="Calibri"/>
          <w:b/>
          <w:bCs/>
          <w:color w:val="104281"/>
          <w:sz w:val="22"/>
          <w:szCs w:val="22"/>
        </w:rPr>
        <w:t xml:space="preserve">	41</w:t>
      </w:r>
    </w:p>
    <w:p>
      <w:pPr>
        <w:tabs>
          <w:tab w:val="right" w:pos="9411" w:leader="dot"/>
        </w:tabs>
        <w:spacing w:after="20" w:before="150" w:line="250" w:lineRule="auto"/>
        <w:ind w:left="0"/>
      </w:pPr>
      <w:r>
        <w:rPr>
          <w:rFonts w:ascii="Cambria" w:cs="Cambria" w:eastAsia="Cambria" w:hAnsi="Cambria"/>
          <w:b/>
          <w:bCs/>
          <w:color w:val="104281"/>
          <w:sz w:val="22"/>
          <w:szCs w:val="22"/>
        </w:rPr>
        <w:t xml:space="preserve">Приложение В. Источники и воспроизводимость</w:t>
      </w:r>
      <w:r>
        <w:rPr>
          <w:rFonts w:ascii="Calibri" w:cs="Calibri" w:eastAsia="Calibri" w:hAnsi="Calibri"/>
          <w:b/>
          <w:bCs/>
          <w:color w:val="104281"/>
          <w:sz w:val="22"/>
          <w:szCs w:val="22"/>
        </w:rPr>
        <w:t xml:space="preserve">	44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Наборы данных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44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Процедура обработки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44</w:t>
      </w:r>
    </w:p>
    <w:p>
      <w:pPr>
        <w:tabs>
          <w:tab w:val="right" w:pos="9411" w:leader="dot"/>
        </w:tabs>
        <w:spacing w:after="20" w:before="20" w:line="250" w:lineRule="auto"/>
        <w:ind w:left="300"/>
      </w:pPr>
      <w:r>
        <w:rPr>
          <w:rFonts w:ascii="Calibri" w:cs="Calibri" w:eastAsia="Calibri" w:hAnsi="Calibri"/>
          <w:b w:val="false"/>
          <w:bCs w:val="false"/>
          <w:color w:val="0B0B0B"/>
          <w:sz w:val="20"/>
          <w:szCs w:val="20"/>
        </w:rPr>
        <w:t xml:space="preserve">Ограничения</w:t>
      </w:r>
      <w:r>
        <w:rPr>
          <w:rFonts w:ascii="Calibri" w:cs="Calibri" w:eastAsia="Calibri" w:hAnsi="Calibri"/>
          <w:b w:val="false"/>
          <w:bCs w:val="false"/>
          <w:color w:val="52514E"/>
          <w:sz w:val="20"/>
          <w:szCs w:val="20"/>
        </w:rPr>
        <w:t xml:space="preserve">	44</w:t>
      </w:r>
    </w:p>
    <w:p>
      <w:r>
        <w:br w:type="page"/>
      </w:r>
    </w:p>
    <w:p>
      <w:pPr>
        <w:pStyle w:val="Heading1"/>
        <w:pageBreakBefore/>
        <w:pBdr>
          <w:bottom w:val="single" w:color="104281" w:sz="12" w:space="8"/>
        </w:pBdr>
        <w:spacing w:after="260" w:before="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1. Резюме</w:t>
      </w:r>
    </w:p>
    <w:p>
      <w:pPr>
        <w:spacing w:after="220" w:before="0" w:line="300" w:lineRule="auto"/>
        <w:jc w:val="both"/>
      </w:pPr>
      <w:r>
        <w:rPr>
          <w:rFonts w:ascii="Calibri" w:cs="Calibri" w:eastAsia="Calibri" w:hAnsi="Calibri"/>
          <w:i/>
          <w:iCs/>
          <w:color w:val="52514E"/>
          <w:sz w:val="23"/>
          <w:szCs w:val="23"/>
        </w:rPr>
        <w:t xml:space="preserve">Города мира различаются не столько высотой, сколько размером зерна — типичной величиной отдельного здания. Это исследование измеряет зерно напрямую: по спутниковым контурам зданий, одинаковой методикой, в одинаковой геометрии, от Лагоса до Мельбурна. Разброс оказался четырёхкратным по медианному зданию и десятикратным по плотности застройки — и почти всегда объясним историей, правом и налогами, а не географией.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Десять главных результатов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Мир состоит из маленьких зданий.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Три четверти всех построек (76,5%) имеют пятно застройки меньше 300 м² — это односемейный дом, лавка, мастерская, гараж. Категория «свыше 10 000 м²» — это 0,22% зданий, то есть примерно одно здание из 460.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Но площадь сосредоточена в середине.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Здания от 1 000 до 10 000 м² — всего 6,2% построек — занимают 41,5% всей застроенной площади. Мелкие здания, которых большинство, дают лишь 24,1% площади. Крупнейшая категория при доле в четверть процента даёт 10,3%.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Разброс размера зерна — четырёхкратный.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Медианное здание Берлина — 79 м², Мадрида — 341 м². Между этими полюсами укладывается вся мировая урбанистика.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Плотность и размер связаны почти жёстко.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Зависимость числа зданий на квадратный километр от их средней площади в логарифмах линейна с наклоном −0,82 и R² = 0,78. Города обменивают количество на размер при почти постоянной суммарной массе застройки.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Коэффициент застроенности — отпечаток градостроительной доктрины.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От 13,7% в Москве до 42,6% в Буэнос-Айресе. Модернистский микрорайон и колониальный периметральный квартал дают трёхкратную разницу в доле земли под крышей.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Города делятся на два типа по устройству центра.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В Нью-Йорке, Мельбурне, Токио, Торонто и Чикаго доля мелких зданий в двухкилометровом ядре падает на 52–57 процентных пунктов относительно города в целом: центр — это отдельный тип застройки. В Дели, Стамбуле, Барселоне и Мумбаи ядро мельче периферии — историческая ткань сохраняет зерно.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Один процент зданий держит пятую часть площади.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Медианно по выборке — 20,1%; в Берлине верхний процент занимает 32,6% всей застроенной площади, в Лагосе — только 10,2%.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Самый однородный крупный город мира — Лагос.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Коэффициент Джини по площади зданий 0,44, самое крупное здание в десятикилометровом круге — 21 428 м². Ни в одном другом мегаполисе выборки максимум не опускается ниже 37 тысяч м².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Самый неоднородный — Берлин.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Джини 0,83 при медиане всего 79 м². Причина — сосуществование 24-метровых садовых домиков по Федеральному закону о садовых участках, грюндерцайтовских периметральных кварталов и панельных комплексов ГДР в одном городе.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Два независимых источника расходятся вдвое в числе зданий — и на 10% в площади.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Медианное по 28 городам отношение числа объектов между контрольным и основным источником — 2,1 раза, в Буэнос-Айресе — 11,2 раза, тогда как суммарное пятно застройки совпадает с точностью до десяти процентов. Это ключевое предупреждение для любой рыночной модели: застроенная масса измеряется надёжно, количество объектов — нет.</w:t>
      </w:r>
    </w:p>
    <w:p>
      <w:pPr>
        <w:spacing w:after="120"/>
      </w:pP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auto" w:sz="0"/>
          <w:insideV w:val="none" w:color="auto" w:sz="0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none" w:color="auto" w:sz="0"/>
              <w:left w:val="single" w:color="256ABF" w:sz="18"/>
              <w:bottom w:val="none" w:color="auto" w:sz="0"/>
              <w:right w:val="none" w:color="auto" w:sz="0"/>
            </w:tcBorders>
            <w:shd w:fill="F2F6FD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 w:line="288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21"/>
                <w:szCs w:val="21"/>
              </w:rPr>
              <w:t xml:space="preserve">Как читать этот отчёт</w:t>
            </w:r>
          </w:p>
          <w:p>
            <w:pPr>
              <w:spacing w:after="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Раздел 2 объясняет методику и её границы — его стоит прочесть до любых цифр. Раздел 3 даёт общую картину, раздел 4 — континентальные разрезы с историческим контекстом. Раздел 5 собирает сквозные закономерности, раздел 6 — восемь национальных сюжетов, объясняющих, почему цифры именно такие. Раздел 7 переводит морфологию в рыночные следствия, раздел 8 разбирает расхождение источников как самостоятельный результат.</w:t>
            </w:r>
          </w:p>
        </w:tc>
      </w:tr>
    </w:tbl>
    <w:p>
      <w:pPr>
        <w:pStyle w:val="Heading1"/>
        <w:pageBreakBefore/>
        <w:pBdr>
          <w:bottom w:val="single" w:color="104281" w:sz="12" w:space="8"/>
        </w:pBdr>
        <w:spacing w:after="260" w:before="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2. Методология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2.1. Что именно измеряется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Исследование измеряет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площадь пятна застройки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 — площадь горизонтальной проекции здания на землю, то есть контур крыши, видимый со спутника.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Это не площадь помещений и не общая надземная площадь: девятиэтажный дом с пятном 600 м² даёт около 5 400 м² надземной площади.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Категории, заданные в задании исследования, применяются именно к пятну застройки — это единственная величина,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которую можно измерить одинаково и достоверно для всех городов мира.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Такой выбор не сужает, а уточняет предмет: пятно застройки — это то, что определяет расход земли, планировочную структуру квартала, площадь кровли и фундамента, длину инженерных подводок и логистическую плотность адресов. Вертикальное измерение рассматривается отдельно в разделе 5.7 — там, где данные о высотах достаточно полны.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2.2. Источники данных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1.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Два независимых глобальных источника контуров зданий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2070"/>
        <w:gridCol w:w="3670"/>
        <w:gridCol w:w="3671"/>
      </w:tblGrid>
      <w:tr>
        <w:trPr>
          <w:tblHeader/>
        </w:trPr>
        <w:tc>
          <w:tcPr>
            <w:tcW w:type="dxa" w:w="207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367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Microsoft GlobalMLBuildingFootprints</w:t>
            </w:r>
          </w:p>
        </w:tc>
        <w:tc>
          <w:tcPr>
            <w:tcW w:type="dxa" w:w="3671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Overture Maps Foundation</w:t>
            </w:r>
          </w:p>
        </w:tc>
      </w:tr>
      <w:tr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Версия</w:t>
            </w:r>
          </w:p>
        </w:tc>
        <w:tc>
          <w:tcPr>
            <w:tcW w:type="dxa" w:w="36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выпуск 3 февраля 2026 г.</w:t>
            </w:r>
          </w:p>
        </w:tc>
        <w:tc>
          <w:tcPr>
            <w:tcW w:type="dxa" w:w="367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выпуск 2026-08-19.0</w:t>
            </w:r>
          </w:p>
        </w:tc>
      </w:tr>
      <w:tr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Способ получения</w:t>
            </w:r>
          </w:p>
        </w:tc>
        <w:tc>
          <w:tcPr>
            <w:tcW w:type="dxa" w:w="36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единая нейросетевая сегментация спутниковых снимков</w:t>
            </w:r>
          </w:p>
        </w:tc>
        <w:tc>
          <w:tcPr>
            <w:tcW w:type="dxa" w:w="367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объединение OSM, Esri, Google Open Buildings и Microsoft</w:t>
            </w:r>
          </w:p>
        </w:tc>
      </w:tr>
      <w:tr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Сильная сторона</w:t>
            </w:r>
          </w:p>
        </w:tc>
        <w:tc>
          <w:tcPr>
            <w:tcW w:type="dxa" w:w="36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одинаковый алгоритм во всех странах — сопоставимость</w:t>
            </w:r>
          </w:p>
        </w:tc>
        <w:tc>
          <w:tcPr>
            <w:tcW w:type="dxa" w:w="367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полнота там, где есть кадастр или активное картирование</w:t>
            </w:r>
          </w:p>
        </w:tc>
      </w:tr>
      <w:tr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Слабая сторона</w:t>
            </w:r>
          </w:p>
        </w:tc>
        <w:tc>
          <w:tcPr>
            <w:tcW w:type="dxa" w:w="36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склеивает смежные здания; пробелы покрытия</w:t>
            </w:r>
          </w:p>
        </w:tc>
        <w:tc>
          <w:tcPr>
            <w:tcW w:type="dxa" w:w="367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качество меняется от страны к стране</w:t>
            </w:r>
          </w:p>
        </w:tc>
      </w:tr>
      <w:tr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Покрытие в работе</w:t>
            </w:r>
          </w:p>
        </w:tc>
        <w:tc>
          <w:tcPr>
            <w:tcW w:type="dxa" w:w="36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28 городов пригодны для сравнения</w:t>
            </w:r>
          </w:p>
        </w:tc>
        <w:tc>
          <w:tcPr>
            <w:tcW w:type="dxa" w:w="367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все 34 города</w:t>
            </w:r>
          </w:p>
        </w:tc>
      </w:tr>
      <w:tr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Данные о высоте</w:t>
            </w:r>
          </w:p>
        </w:tc>
        <w:tc>
          <w:tcPr>
            <w:tcW w:type="dxa" w:w="36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только Европа, Америка, Австралия; обрезаны на ~40 м</w:t>
            </w:r>
          </w:p>
        </w:tc>
        <w:tc>
          <w:tcPr>
            <w:tcW w:type="dxa" w:w="367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неравномерно: от 1% до 98% зданий</w:t>
            </w:r>
          </w:p>
        </w:tc>
      </w:tr>
      <w:tr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Роль в исследовании</w:t>
            </w:r>
          </w:p>
        </w:tc>
        <w:tc>
          <w:tcPr>
            <w:tcW w:type="dxa" w:w="36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основной срез</w:t>
            </w:r>
          </w:p>
        </w:tc>
        <w:tc>
          <w:tcPr>
            <w:tcW w:type="dxa" w:w="367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контрольный срез и восполнение пробелов</w:t>
            </w:r>
          </w:p>
        </w:tc>
      </w:tr>
    </w:tbl>
    <w:p>
      <w:pPr>
        <w:spacing w:after="200" w:before="60" w:line="230" w:lineRule="auto"/>
        <w:jc w:val="left"/>
      </w:pP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Microsoft не покрывает Китай, Республику Корея, Тайвань и Новую Зеландию — эти города взяты из Overture.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2.3. Геометрия наблюдения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Для каждого города взят круг радиусом 10 км (площадь 314,2 км²) вокруг исторического или делового центра. Фиксированная геометрия выбрана сознательно: административные границы городов несопоставимы между странами — «город Торонто» и «город Лагос» означают совершенно разные вещи. Круг одинакового радиуса вокруг центра сравнивает сопоставимые фрагменты городской ткани.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Здание относится к городу, если его геометрический центр попадает внутрь круга. Дополнительно для каждого города рассчитан внутренний круг радиусом 2 км — «ядро», позволяющий измерить контраст между центром и остальным городом.</w:t>
      </w:r>
    </w:p>
    <w:p>
      <w:pPr>
        <w:pStyle w:val="Heading3"/>
        <w:keepNext/>
        <w:spacing w:after="100" w:before="250" w:line="276" w:lineRule="auto"/>
      </w:pPr>
      <w:r>
        <w:rPr>
          <w:rFonts w:ascii="Cambria" w:cs="Cambria" w:eastAsia="Cambria" w:hAnsi="Cambria"/>
          <w:b/>
          <w:bCs/>
          <w:color w:val="52514E"/>
          <w:sz w:val="23"/>
          <w:szCs w:val="23"/>
        </w:rPr>
        <w:t xml:space="preserve">Освоенная территория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Прямое деление числа зданий на 314,2 км² искажает картину: Сидней наполовину состоит из бухты, Рио — из гор и океана, Москва — из лесопарков. Поэтому круг разбит на ячейки 250 × 250 м, и ячейка считается освоенной, если содержит хотя бы одно здание. Сумма таких ячеек даёт освоенную территорию, к которой и отнесены плотность и коэффициент застроенности. Показатель автоматически исключает воду, крупные парки, аэродромные поля и промзоны без строений.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2.4. Показатели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Размерная категория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 — до 300 / 300–1 000 / 1 000–10 000 / свыше 10 000 м² пятна застройки.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Коэффициент застроенности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 — суммарное пятно застройки, делённое на освоенную территорию. Показывает, какая доля земли находится под крышей.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Плотность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 — число зданий на квадратный километр освоенной территории.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Коэффициент Джини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 — неравенство размеров зданий: 0 означает, что все здания одинаковы, значения выше 0,75 — что городская ткань состоит из принципиально разных типов застройки.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Доля верхнего процента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 — сколько всей застроенной площади приходится на 1% самых крупных зданий.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Контраст ядра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 — разница долей мелких зданий в двухкилометровом ядре и во всём круге, в процентных пунктах.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2.5. Ограничения и калибровка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Главное ограничение — сегментация.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Нейросетевая модель различает здания по контуру крыши. Там, где дома стоят вплотную и образуют сплошной периметр квартала — в Буэнос-Айресе, Мадриде, парижских кварталах — модель нередко видит один объект вместо десяти. Это смещает медиану вверх и завышает долю крупных категорий.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Однако само это смещение информативно: оно возникает ровно там, где застройка действительно сплошная и брандмауэрная. Различить артефакт и морфологию помогает сопоставление двух источников (раздел 8).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2.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Калибровочный замер: Париж, один и тот же круг, два источника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3200"/>
        <w:gridCol w:w="2070"/>
        <w:gridCol w:w="2070"/>
        <w:gridCol w:w="2071"/>
      </w:tblGrid>
      <w:tr>
        <w:trPr>
          <w:tblHeader/>
        </w:trPr>
        <w:tc>
          <w:tcPr>
            <w:tcW w:type="dxa" w:w="320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07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Microsoft</w:t>
            </w:r>
          </w:p>
        </w:tc>
        <w:tc>
          <w:tcPr>
            <w:tcW w:type="dxa" w:w="207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Overture</w:t>
            </w:r>
          </w:p>
        </w:tc>
        <w:tc>
          <w:tcPr>
            <w:tcW w:type="dxa" w:w="2071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Расхождение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Число зданий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138 346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427 413</w:t>
            </w:r>
          </w:p>
        </w:tc>
        <w:tc>
          <w:tcPr>
            <w:tcW w:type="dxa" w:w="207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3,09 ×</w:t>
            </w:r>
          </w:p>
        </w:tc>
      </w:tr>
      <w:tr>
        <w:tc>
          <w:tcPr>
            <w:tcW w:type="dxa" w:w="320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Медианное пятно, м²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129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76</w:t>
            </w:r>
          </w:p>
        </w:tc>
        <w:tc>
          <w:tcPr>
            <w:tcW w:type="dxa" w:w="207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1,71 ×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99-й процентиль, м²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8 784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2 094</w:t>
            </w:r>
          </w:p>
        </w:tc>
        <w:tc>
          <w:tcPr>
            <w:tcW w:type="dxa" w:w="207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4,19 ×</w:t>
            </w:r>
          </w:p>
        </w:tc>
      </w:tr>
      <w:tr>
        <w:tc>
          <w:tcPr>
            <w:tcW w:type="dxa" w:w="320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Суммарное пятно, км²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85,7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86,3</w:t>
            </w:r>
          </w:p>
        </w:tc>
        <w:tc>
          <w:tcPr>
            <w:tcW w:type="dxa" w:w="207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8"/>
                <w:szCs w:val="18"/>
              </w:rPr>
              <w:t xml:space="preserve">1,01 ×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Коэффициент застроенности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28,6%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27,5%</w:t>
            </w:r>
          </w:p>
        </w:tc>
        <w:tc>
          <w:tcPr>
            <w:tcW w:type="dxa" w:w="207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8"/>
                <w:szCs w:val="18"/>
              </w:rPr>
              <w:t xml:space="preserve">0,96 ×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Вывод калибровки.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Суммарная застроенная масса измеряется двумя независимыми методами с расхождением менее одного процента.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Количество отдельных объектов расходится втрое. Это означает: показатели площади и застроенности надёжны,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показатели количества и медианы следует читать как характеристику </w:t>
      </w:r>
      <w:r>
        <w:rPr>
          <w:rFonts w:ascii="Calibri" w:cs="Calibri" w:eastAsia="Calibri" w:hAnsi="Calibri"/>
          <w:i/>
          <w:iCs/>
          <w:color w:val="0B0B0B"/>
          <w:sz w:val="22"/>
          <w:szCs w:val="22"/>
        </w:rPr>
        <w:t xml:space="preserve">морфологического типа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, а не как перепись строений.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auto" w:sz="0"/>
          <w:insideV w:val="none" w:color="auto" w:sz="0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none" w:color="auto" w:sz="0"/>
              <w:left w:val="single" w:color="256ABF" w:sz="18"/>
              <w:bottom w:val="none" w:color="auto" w:sz="0"/>
              <w:right w:val="none" w:color="auto" w:sz="0"/>
            </w:tcBorders>
            <w:shd w:fill="FDF4E8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 w:line="288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21"/>
                <w:szCs w:val="21"/>
              </w:rPr>
              <w:t xml:space="preserve">Исключения из основного среза</w:t>
            </w:r>
          </w:p>
          <w:p>
            <w:pPr>
              <w:spacing w:after="9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Киншаса: Microsoft фиксирует лишь 4 004 зданий и 4,5 км² освоенной территории при 195 км² по Overture — пробел покрытия. Город анализируется только по Overture.</w:t>
            </w:r>
          </w:p>
          <w:p>
            <w:pPr>
              <w:spacing w:after="9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Сидней: Microsoft видит 81 км² освоенной территории против 241 км² по Overture — неполный набор тайлов. Город перенесён в контрольный срез.</w:t>
            </w:r>
          </w:p>
          <w:p>
            <w:pPr>
              <w:spacing w:after="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Мумбаи: расхождение освоенной территории 0,71 — данные приводятся, но плотность и застроенность помечены как заниженные.</w:t>
            </w:r>
          </w:p>
        </w:tc>
      </w:tr>
    </w:tbl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2.6. Чем это исследование не является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Это не оценка рынка недвижимости в денежном выражении: контуры зданий не содержат сведений о ценах, назначении, собственности или качестве. Это структурное исследование застроенной среды — инвентаризация физического запаса, на который опираются рынки строительства, эксплуатации, страхования и логистики. Рыночные следствия в разделе 7 выведены из измеренной структуры и обозначены как аналитическая интерпретация, а не как измерение.</w:t>
      </w:r>
    </w:p>
    <w:p>
      <w:pPr>
        <w:pStyle w:val="Heading1"/>
        <w:pageBreakBefore/>
        <w:pBdr>
          <w:bottom w:val="single" w:color="104281" w:sz="12" w:space="8"/>
        </w:pBdr>
        <w:spacing w:after="260" w:before="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3. Общая картина</w:t>
      </w:r>
    </w:p>
    <w:p>
      <w:pPr>
        <w:spacing w:after="220" w:before="0" w:line="300" w:lineRule="auto"/>
        <w:jc w:val="both"/>
      </w:pPr>
      <w:r>
        <w:rPr>
          <w:rFonts w:ascii="Calibri" w:cs="Calibri" w:eastAsia="Calibri" w:hAnsi="Calibri"/>
          <w:i/>
          <w:iCs/>
          <w:color w:val="52514E"/>
          <w:sz w:val="23"/>
          <w:szCs w:val="23"/>
        </w:rPr>
        <w:t xml:space="preserve">В основном срезе — 4 898 562 зданий 28 городов, суммарное пятно застройки 1 787 км². Это примерно площадь Гонконга, собранная из построек, каждая из которых измерена по отдельности.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3.1. Четыре категории в мировом масштабе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3.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Распределение мирового городского фонда по размерным категориям (основной срез)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2330"/>
        <w:gridCol w:w="1524"/>
        <w:gridCol w:w="1703"/>
        <w:gridCol w:w="1344"/>
        <w:gridCol w:w="1344"/>
        <w:gridCol w:w="1166"/>
      </w:tblGrid>
      <w:tr>
        <w:trPr>
          <w:tblHeader/>
        </w:trPr>
        <w:tc>
          <w:tcPr>
            <w:tcW w:type="dxa" w:w="233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1524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Зданий</w:t>
            </w:r>
          </w:p>
        </w:tc>
        <w:tc>
          <w:tcPr>
            <w:tcW w:type="dxa" w:w="170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Доля по количеству</w:t>
            </w:r>
          </w:p>
        </w:tc>
        <w:tc>
          <w:tcPr>
            <w:tcW w:type="dxa" w:w="1344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Пятно, км²</w:t>
            </w:r>
          </w:p>
        </w:tc>
        <w:tc>
          <w:tcPr>
            <w:tcW w:type="dxa" w:w="1344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Доля по площади</w:t>
            </w:r>
          </w:p>
        </w:tc>
        <w:tc>
          <w:tcPr>
            <w:tcW w:type="dxa" w:w="1166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Среднее, м²</w:t>
            </w:r>
          </w:p>
        </w:tc>
      </w:tr>
      <w:tr>
        <w:tc>
          <w:tcPr>
            <w:tcW w:type="dxa" w:w="233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до 300 м²</w:t>
            </w:r>
          </w:p>
        </w:tc>
        <w:tc>
          <w:tcPr>
            <w:tcW w:type="dxa" w:w="152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3 746 038</w:t>
            </w:r>
          </w:p>
        </w:tc>
        <w:tc>
          <w:tcPr>
            <w:tcW w:type="dxa" w:w="170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76,5%</w:t>
            </w:r>
          </w:p>
        </w:tc>
        <w:tc>
          <w:tcPr>
            <w:tcW w:type="dxa" w:w="134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430,1</w:t>
            </w:r>
          </w:p>
        </w:tc>
        <w:tc>
          <w:tcPr>
            <w:tcW w:type="dxa" w:w="134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24,1%</w:t>
            </w:r>
          </w:p>
        </w:tc>
        <w:tc>
          <w:tcPr>
            <w:tcW w:type="dxa" w:w="11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115</w:t>
            </w:r>
          </w:p>
        </w:tc>
      </w:tr>
      <w:tr>
        <w:tc>
          <w:tcPr>
            <w:tcW w:type="dxa" w:w="233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300 – 1 000 м²</w:t>
            </w:r>
          </w:p>
        </w:tc>
        <w:tc>
          <w:tcPr>
            <w:tcW w:type="dxa" w:w="152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836 680</w:t>
            </w:r>
          </w:p>
        </w:tc>
        <w:tc>
          <w:tcPr>
            <w:tcW w:type="dxa" w:w="170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17,1%</w:t>
            </w:r>
          </w:p>
        </w:tc>
        <w:tc>
          <w:tcPr>
            <w:tcW w:type="dxa" w:w="134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431,0</w:t>
            </w:r>
          </w:p>
        </w:tc>
        <w:tc>
          <w:tcPr>
            <w:tcW w:type="dxa" w:w="134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24,1%</w:t>
            </w:r>
          </w:p>
        </w:tc>
        <w:tc>
          <w:tcPr>
            <w:tcW w:type="dxa" w:w="11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515</w:t>
            </w:r>
          </w:p>
        </w:tc>
      </w:tr>
      <w:tr>
        <w:tc>
          <w:tcPr>
            <w:tcW w:type="dxa" w:w="233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1 000 – 10 000 м²</w:t>
            </w:r>
          </w:p>
        </w:tc>
        <w:tc>
          <w:tcPr>
            <w:tcW w:type="dxa" w:w="152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304 901</w:t>
            </w:r>
          </w:p>
        </w:tc>
        <w:tc>
          <w:tcPr>
            <w:tcW w:type="dxa" w:w="170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6,2%</w:t>
            </w:r>
          </w:p>
        </w:tc>
        <w:tc>
          <w:tcPr>
            <w:tcW w:type="dxa" w:w="134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741,0</w:t>
            </w:r>
          </w:p>
        </w:tc>
        <w:tc>
          <w:tcPr>
            <w:tcW w:type="dxa" w:w="134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41,5%</w:t>
            </w:r>
          </w:p>
        </w:tc>
        <w:tc>
          <w:tcPr>
            <w:tcW w:type="dxa" w:w="11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2 430</w:t>
            </w:r>
          </w:p>
        </w:tc>
      </w:tr>
      <w:tr>
        <w:tc>
          <w:tcPr>
            <w:tcW w:type="dxa" w:w="233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свыше 10 000 м²</w:t>
            </w:r>
          </w:p>
        </w:tc>
        <w:tc>
          <w:tcPr>
            <w:tcW w:type="dxa" w:w="152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10 943</w:t>
            </w:r>
          </w:p>
        </w:tc>
        <w:tc>
          <w:tcPr>
            <w:tcW w:type="dxa" w:w="170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0,2%</w:t>
            </w:r>
          </w:p>
        </w:tc>
        <w:tc>
          <w:tcPr>
            <w:tcW w:type="dxa" w:w="134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184,7</w:t>
            </w:r>
          </w:p>
        </w:tc>
        <w:tc>
          <w:tcPr>
            <w:tcW w:type="dxa" w:w="134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10,3%</w:t>
            </w:r>
          </w:p>
        </w:tc>
        <w:tc>
          <w:tcPr>
            <w:tcW w:type="dxa" w:w="11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16 880</w:t>
            </w:r>
          </w:p>
        </w:tc>
      </w:tr>
      <w:tr>
        <w:tc>
          <w:tcPr>
            <w:tcW w:type="dxa" w:w="233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52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4 898 562</w:t>
            </w:r>
          </w:p>
        </w:tc>
        <w:tc>
          <w:tcPr>
            <w:tcW w:type="dxa" w:w="170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100,0%</w:t>
            </w:r>
          </w:p>
        </w:tc>
        <w:tc>
          <w:tcPr>
            <w:tcW w:type="dxa" w:w="134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1 787</w:t>
            </w:r>
          </w:p>
        </w:tc>
        <w:tc>
          <w:tcPr>
            <w:tcW w:type="dxa" w:w="134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100,0%</w:t>
            </w:r>
          </w:p>
        </w:tc>
        <w:tc>
          <w:tcPr>
            <w:tcW w:type="dxa" w:w="11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365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Строка итогов содержит первый нетривиальный результат: средняя постройка мирового мегаполиса имеет пятно застройки 365 м² — размер небольшого дома. Средняя величина при этом почти втрое превышает медиану по большинству городов, что говорит о сильно скошенном распределении: немногочисленные крупные объекты тянут среднее вверх.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Асимметрия количества и площади.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Категория «до 300 м²» даёт 76,5% зданий, но лишь 24,1% площади.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Категория «1 000–10 000 м²» — обратный случай: 6,2% зданий и 41,5% площади.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Это означает, что любая политика, ориентированная на количество объектов (регистрация, адресация, страхование, доставка), и любая политика, ориентированная на площадь (энергоэффективность, налог на имущество, материалоёмкость), работают с практически непересекающимися частями городского фонда.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72175" cy="650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240" w:lineRule="auto"/>
        <w:jc w:val="left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Рис. 1.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Размерная структура зданий по городам. Города упорядочены по доле построек меньше 300 м². Разброс от 46% в Мадриде до 89% в Лос-Анджелесе показывает, что «мелкое зерно» — не универсальная черта, а результат конкретных правил землепользования.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3.2. Континентальный профиль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72175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240" w:lineRule="auto"/>
        <w:jc w:val="left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Рис. 2.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Средняя по городам континента доля зданий в каждой категории. Океания представлена одним городом (Мельбурн) — Сидней исключён из основного среза из-за пробела покрытия.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4.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Медианные характеристики по континентам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2259"/>
        <w:gridCol w:w="1035"/>
        <w:gridCol w:w="1600"/>
        <w:gridCol w:w="1506"/>
        <w:gridCol w:w="1129"/>
        <w:gridCol w:w="1882"/>
      </w:tblGrid>
      <w:tr>
        <w:trPr>
          <w:tblHeader/>
        </w:trPr>
        <w:tc>
          <w:tcPr>
            <w:tcW w:type="dxa" w:w="2259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Континент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Городов</w:t>
            </w:r>
          </w:p>
        </w:tc>
        <w:tc>
          <w:tcPr>
            <w:tcW w:type="dxa" w:w="160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Медианное пятно, м²</w:t>
            </w:r>
          </w:p>
        </w:tc>
        <w:tc>
          <w:tcPr>
            <w:tcW w:type="dxa" w:w="1506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Застроенность</w:t>
            </w:r>
          </w:p>
        </w:tc>
        <w:tc>
          <w:tcPr>
            <w:tcW w:type="dxa" w:w="1129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Джини</w:t>
            </w:r>
          </w:p>
        </w:tc>
        <w:tc>
          <w:tcPr>
            <w:tcW w:type="dxa" w:w="1882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Зданий на км²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Африка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121</w:t>
            </w:r>
          </w:p>
        </w:tc>
        <w:tc>
          <w:tcPr>
            <w:tcW w:type="dxa" w:w="150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20,3%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0,60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906</w:t>
            </w:r>
          </w:p>
        </w:tc>
      </w:tr>
      <w:tr>
        <w:tc>
          <w:tcPr>
            <w:tcW w:type="dxa" w:w="22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Азия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144</w:t>
            </w:r>
          </w:p>
        </w:tc>
        <w:tc>
          <w:tcPr>
            <w:tcW w:type="dxa" w:w="150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27,5%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0,65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Европа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129</w:t>
            </w:r>
          </w:p>
        </w:tc>
        <w:tc>
          <w:tcPr>
            <w:tcW w:type="dxa" w:w="150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23,4%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0,69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461</w:t>
            </w:r>
          </w:p>
        </w:tc>
      </w:tr>
      <w:tr>
        <w:tc>
          <w:tcPr>
            <w:tcW w:type="dxa" w:w="22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Северная Америка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142</w:t>
            </w:r>
          </w:p>
        </w:tc>
        <w:tc>
          <w:tcPr>
            <w:tcW w:type="dxa" w:w="150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25,2%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0,66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916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Южная Америка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171</w:t>
            </w:r>
          </w:p>
        </w:tc>
        <w:tc>
          <w:tcPr>
            <w:tcW w:type="dxa" w:w="150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31,9%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0,72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610</w:t>
            </w:r>
          </w:p>
        </w:tc>
      </w:tr>
      <w:tr>
        <w:tc>
          <w:tcPr>
            <w:tcW w:type="dxa" w:w="22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Океания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185</w:t>
            </w:r>
          </w:p>
        </w:tc>
        <w:tc>
          <w:tcPr>
            <w:tcW w:type="dxa" w:w="150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23,1%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0,47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793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Континент оказывается слабым предиктором. Африка и Северная Америка почти совпадают по медианному зданию (121 и 142 м²) и по плотности, хотя за этими цифрами стоят информальные кварталы Найроби и односемейные пригороды Лос-Анджелеса — морфологически похожие, экономически противоположные. Южная Америка выделяется единственным устойчивым признаком: самая высокая застроенность (31,9%) и самое крупное медианное здание (171 м²) — прямое следствие колониальной квартальной сетки, о чём подробно в разделе 6.2.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72175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240" w:lineRule="auto"/>
        <w:jc w:val="left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Рис. 3.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Двумерная карта городской морфологии. По горизонтали — размер типичного здания, по вертикали — доля земли под крышей. Правый верхний угол занимают города испанской квартальной традиции, левый нижний — Москва с модернистским микрорайоном.</w:t>
      </w:r>
    </w:p>
    <w:p>
      <w:pPr>
        <w:pStyle w:val="Heading1"/>
        <w:pageBreakBefore/>
        <w:pBdr>
          <w:bottom w:val="single" w:color="104281" w:sz="12" w:space="8"/>
        </w:pBdr>
        <w:spacing w:after="260" w:before="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4. Континентальные разрезы</w:t>
      </w:r>
    </w:p>
    <w:p>
      <w:pPr>
        <w:spacing w:after="220" w:before="0" w:line="300" w:lineRule="auto"/>
        <w:jc w:val="both"/>
      </w:pPr>
      <w:r>
        <w:rPr>
          <w:rFonts w:ascii="Calibri" w:cs="Calibri" w:eastAsia="Calibri" w:hAnsi="Calibri"/>
          <w:i/>
          <w:iCs/>
          <w:color w:val="52514E"/>
          <w:sz w:val="23"/>
          <w:szCs w:val="23"/>
        </w:rPr>
        <w:t xml:space="preserve">Континент сам по себе почти ничего не объясняет. Объясняют правовая традиция, момент массовой урбанизации и способ, которым общество распределяет землю. Ниже — шесть разрезов, в каждом из которых цифры сопоставлены с историей конкретных городов.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4.1. Азия: от 94 квадратных метров Токио до квартальной сетки Шанхая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5.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Азиатские города основного среза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1882"/>
        <w:gridCol w:w="1223"/>
        <w:gridCol w:w="1035"/>
        <w:gridCol w:w="1035"/>
        <w:gridCol w:w="1035"/>
        <w:gridCol w:w="847"/>
        <w:gridCol w:w="1129"/>
        <w:gridCol w:w="1225"/>
      </w:tblGrid>
      <w:tr>
        <w:trPr>
          <w:tblHeader/>
        </w:trPr>
        <w:tc>
          <w:tcPr>
            <w:tcW w:type="dxa" w:w="1882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Город</w:t>
            </w:r>
          </w:p>
        </w:tc>
        <w:tc>
          <w:tcPr>
            <w:tcW w:type="dxa" w:w="122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Зданий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до 300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300–1к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1к–10к</w:t>
            </w:r>
          </w:p>
        </w:tc>
        <w:tc>
          <w:tcPr>
            <w:tcW w:type="dxa" w:w="847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&gt;10к</w:t>
            </w:r>
          </w:p>
        </w:tc>
        <w:tc>
          <w:tcPr>
            <w:tcW w:type="dxa" w:w="1129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Медиана, м²</w:t>
            </w:r>
          </w:p>
        </w:tc>
        <w:tc>
          <w:tcPr>
            <w:tcW w:type="dxa" w:w="122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Застр.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Токио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410 685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87,0%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9,8%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3,1%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0,03%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94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30,6%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Джакарта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418 243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78,8%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17,5%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3,6%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0,03%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127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33,6%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Манила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199 447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74,2%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19,9%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5,8%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0,12%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138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31,2%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Дакка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164 657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72,8%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20,6%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6,4%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0,16%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149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22,8%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Мумбаи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87 812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67,3%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25,5%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7,0%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0,20%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176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24,5%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Дели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123 687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57,3%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30,2%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12,3%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0,23%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233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23,6%</w:t>
            </w:r>
          </w:p>
        </w:tc>
      </w:tr>
    </w:tbl>
    <w:p>
      <w:pPr>
        <w:spacing w:after="200" w:before="60" w:line="230" w:lineRule="auto"/>
        <w:jc w:val="left"/>
      </w:pP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Мумбаи: освоенная территория недооценена (0,71 к контрольному источнику), поэтому застроенность занижена.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Токио — предельный случай мелкого зерна.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Медианное здание 94 м², 87,0% построек меньше 300 м², 1 477 зданий на квадратный километр —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второй показатель плотности в выборке. При этом застроенность 30,6%: город плотный не за счёт крупных объёмов, а за счёт того, что мелких объектов очень много и стоят они вплотную.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Причина не в дефиците земли — по мировым меркам Токио не самый стеснённый город. Причина в устройстве японского рынка жилья: жилой дом в Японии амортизируется практически до нуля за два-три десятилетия, ценность сохраняет земельный участок, а не строение. Дом рассматривается как расходный актив, который сносят и строят заново; средний срок жизни жилого здания в Японии заметно короче европейского. Плюс налог на наследство, который регулярно вынуждает наследников дробить участки. Результат — устойчивое воспроизводство мельчайших индивидуальных домов, вплоть до сложившегося архитектурного жанра «кёсё дзютаку» — дома на участке в считанные десятки метров.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Дели и Мумбаи — противоположный полюс азиатской выборки.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В Дели доля мелких зданий всего 57,3%, медиана 233 м², а в категории 300–1 000 м² — 30,2% построек,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почти треть фонда. Это узнаваемая подпись «плотовой» застройки: участок нарезан по регламенту, на нём стоит трёх-четырёхэтажный дом на всю ширину надела. Низкие нормативы плотности застройки десятилетиями не позволяли строить вверх, поэтому фонд разросся вбок и вширь, а не ввысь.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Мумбаи — самый обсуждаемый в мировой урбанистике пример того, как норматив соотношения площади здания к площади участка формирует физическую форму города. Многолетнее ограничение этого коэффициента на острове Мумбаи привело к парадоксу: один из самых плотных по населению городов мира при относительно скромной этажности и медианном пятне 176 м². Плотность достигается не высотой зданий, а количеством людей внутри них.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Джакарта — рекордная плотность объектов.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418 243 зданий в круге, 1 338 на квадратный километр освоенной территории,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застроенность 33,6%. Это структура кампунга — плотных низкоэтажных городских деревень,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встроенных прямо в тело формального города и сохранившихся в центральных районах вопреки нескольким волнам сноса.</w:t>
      </w:r>
    </w:p>
    <w:p>
      <w:pPr>
        <w:pStyle w:val="Heading3"/>
        <w:keepNext/>
        <w:spacing w:after="100" w:before="250" w:line="276" w:lineRule="auto"/>
      </w:pPr>
      <w:r>
        <w:rPr>
          <w:rFonts w:ascii="Cambria" w:cs="Cambria" w:eastAsia="Cambria" w:hAnsi="Cambria"/>
          <w:b/>
          <w:bCs/>
          <w:color w:val="52514E"/>
          <w:sz w:val="23"/>
          <w:szCs w:val="23"/>
        </w:rPr>
        <w:t xml:space="preserve">Шанхай и Сеул: два города, которых нет у Microsoft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6.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Восточноазиатские города по контрольному источнику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1882"/>
        <w:gridCol w:w="1223"/>
        <w:gridCol w:w="1035"/>
        <w:gridCol w:w="1035"/>
        <w:gridCol w:w="1035"/>
        <w:gridCol w:w="847"/>
        <w:gridCol w:w="1129"/>
        <w:gridCol w:w="1225"/>
      </w:tblGrid>
      <w:tr>
        <w:trPr>
          <w:tblHeader/>
        </w:trPr>
        <w:tc>
          <w:tcPr>
            <w:tcW w:type="dxa" w:w="1882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Город</w:t>
            </w:r>
          </w:p>
        </w:tc>
        <w:tc>
          <w:tcPr>
            <w:tcW w:type="dxa" w:w="122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Зданий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до 300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300–1к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1к–10к</w:t>
            </w:r>
          </w:p>
        </w:tc>
        <w:tc>
          <w:tcPr>
            <w:tcW w:type="dxa" w:w="847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&gt;10к</w:t>
            </w:r>
          </w:p>
        </w:tc>
        <w:tc>
          <w:tcPr>
            <w:tcW w:type="dxa" w:w="1129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Медиана, м²</w:t>
            </w:r>
          </w:p>
        </w:tc>
        <w:tc>
          <w:tcPr>
            <w:tcW w:type="dxa" w:w="122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Застр.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Шанхай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174 452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60,0%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33,6%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6,3%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0,13%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210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22,4%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Сеул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234 036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88,1%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9,6%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2,2%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0,03%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85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16,2%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Шанхай выделяется долей средней категории: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33,6% зданий приходится на 300–1 000 м² —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самый высокий показатель во всей выборке. За этим стоит слоистая история города: линуны — сплошные ряды двух-трёхэтажных домов конца XIX — первой половины XX века, послевоенные рабочие посёлки и уже современные секционные корпуса. Все три типа дают здание примерно одного порядка величины.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Сеул — самый «пустой» город Азии по доле земли под крышей: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16,2%.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Это тот же морфологический результат, что и в Москве, полученный совершенно другим путём: корейские жилые комплексы-данджи представляют собой группы высотных башен в общем озеленённом дворе. Плановая советская экономика и южнокорейский девелоперский капитализм пришли к одинаковой пространственной форме — башня в свободном пространстве.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4.2. Африка: горизонтальный континент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7.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Африканские города основного среза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1882"/>
        <w:gridCol w:w="1223"/>
        <w:gridCol w:w="1035"/>
        <w:gridCol w:w="1035"/>
        <w:gridCol w:w="1035"/>
        <w:gridCol w:w="847"/>
        <w:gridCol w:w="1129"/>
        <w:gridCol w:w="1225"/>
      </w:tblGrid>
      <w:tr>
        <w:trPr>
          <w:tblHeader/>
        </w:trPr>
        <w:tc>
          <w:tcPr>
            <w:tcW w:type="dxa" w:w="1882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Город</w:t>
            </w:r>
          </w:p>
        </w:tc>
        <w:tc>
          <w:tcPr>
            <w:tcW w:type="dxa" w:w="122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Зданий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до 300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300–1к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1к–10к</w:t>
            </w:r>
          </w:p>
        </w:tc>
        <w:tc>
          <w:tcPr>
            <w:tcW w:type="dxa" w:w="847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&gt;10к</w:t>
            </w:r>
          </w:p>
        </w:tc>
        <w:tc>
          <w:tcPr>
            <w:tcW w:type="dxa" w:w="1129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Медиана, м²</w:t>
            </w:r>
          </w:p>
        </w:tc>
        <w:tc>
          <w:tcPr>
            <w:tcW w:type="dxa" w:w="122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Застр.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Каир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288 842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74,5%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20,9%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4,6%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0,05%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135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27,5%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Йоханнесбург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253 874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86,6%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11,2%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2,1%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0,08%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103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19,3%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Найроби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218 130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84,6%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13,2%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2,1%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0,05%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107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18,4%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Лагос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137 053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70,8%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27,5%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1,6%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0,02%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211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21,3%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Лагос — самый однородный мегаполис мира.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Коэффициент Джини 0,44 — минимум по выборке. 99-й процентиль пятна составляет всего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1 260 м², то есть даже верхний процент застройки остаётся зданием обычного размера.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Самое крупное здание в десятикилометровом круге — 21 428 м²; ни в одном другом городе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выборки максимум не опускается ниже 37 тысяч. Верхний процент зданий держит лишь 10,2% площади — при медианных 20% по выборке.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Мегаполис с населением в двузначных миллионах, построенный почти исключительно из зданий среднего размера, — статистическая редкость. Практический смысл в том, что рост Лагоса до сих пор происходит преимущественно горизонтально: город прибавляет объекты, а не объёмы. Крупные объёмы сосредоточены в нескольких деловых анклавах и статистически растворяются в общей массе.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Каир — красный кирпич на бывших полях.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Застроенность 27,5% при медиане 135 м² и доле мелких зданий 74,5%.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Значительная часть каирского фонда выросла как неформальная застройка на бывших сельскохозяйственных наделах: железобетонный каркас с заполнением красным кирпичом, возводимый поэтажно по мере появления денег у семьи. Геометрия участков унаследована от прежней нарезки полей, поэтому пятно застройки мелкое, а этажность высокая — сочетание, дающее очень плотный, но мелкозернистый город.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Йоханнесбург и Найроби почти совпадают по цифрам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(86,6% и 84,6% мелких зданий, медианы 103 и 107 м²),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но за одинаковой статистикой стоит разное. В Йоханнесбурге низкая застроенность (19,3%) — след пространственной структуры, унаследованной от апартеида: обширные малоплотные пригороды с крупными участками и отдельно расположенные тауншипы плотной мелкой застройки. В Найроби похожее распределение возникает из сосуществования колониальных садовых пригородов и информальных поселений.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auto" w:sz="0"/>
          <w:insideV w:val="none" w:color="auto" w:sz="0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none" w:color="auto" w:sz="0"/>
              <w:left w:val="single" w:color="256ABF" w:sz="18"/>
              <w:bottom w:val="none" w:color="auto" w:sz="0"/>
              <w:right w:val="none" w:color="auto" w:sz="0"/>
            </w:tcBorders>
            <w:shd w:fill="FDF4E8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 w:line="288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21"/>
                <w:szCs w:val="21"/>
              </w:rPr>
              <w:t xml:space="preserve">Киншаса: город, которого не видит одна из двух карт мира</w:t>
            </w:r>
          </w:p>
          <w:p>
            <w:pPr>
              <w:spacing w:after="9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Нейросетевая модель Microsoft фиксирует в десятикилометровом круге вокруг центра Киншасы 4 004 зданий и 4,5 км² освоенной территории. Контрольный источник в том же круге видит 514 058 зданий и 195 км² — в 128 раз больше объектов.</w:t>
            </w:r>
          </w:p>
          <w:p>
            <w:pPr>
              <w:spacing w:after="9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По данным контрольного источника Киншаса — самый мелкозернистый и самый плотный по числу объектов город исследования: медианное пятно 58 м², 96,5% зданий меньше 300 м², 2 636 зданий на квадратный километр.</w:t>
            </w:r>
          </w:p>
          <w:p>
            <w:pPr>
              <w:spacing w:after="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Это не курьёз, а предупреждение: качество глобальных данных о застройке распределено так же неравномерно, как и сама застройка. Любая рыночная модель, построенная на одном источнике, воспроизведёт его слепые пятна как «отсутствие рынка».</w:t>
            </w:r>
          </w:p>
        </w:tc>
      </w:tr>
    </w:tbl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4.3. Европа: континент наибольшего внутреннего разброса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8.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Европейские города основного среза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1882"/>
        <w:gridCol w:w="1223"/>
        <w:gridCol w:w="1035"/>
        <w:gridCol w:w="1035"/>
        <w:gridCol w:w="1035"/>
        <w:gridCol w:w="847"/>
        <w:gridCol w:w="1129"/>
        <w:gridCol w:w="1225"/>
      </w:tblGrid>
      <w:tr>
        <w:trPr>
          <w:tblHeader/>
        </w:trPr>
        <w:tc>
          <w:tcPr>
            <w:tcW w:type="dxa" w:w="1882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Город</w:t>
            </w:r>
          </w:p>
        </w:tc>
        <w:tc>
          <w:tcPr>
            <w:tcW w:type="dxa" w:w="122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Зданий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до 300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300–1к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1к–10к</w:t>
            </w:r>
          </w:p>
        </w:tc>
        <w:tc>
          <w:tcPr>
            <w:tcW w:type="dxa" w:w="847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&gt;10к</w:t>
            </w:r>
          </w:p>
        </w:tc>
        <w:tc>
          <w:tcPr>
            <w:tcW w:type="dxa" w:w="1129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Медиана, м²</w:t>
            </w:r>
          </w:p>
        </w:tc>
        <w:tc>
          <w:tcPr>
            <w:tcW w:type="dxa" w:w="122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Застр.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Лондон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166 438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66,0%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25,8%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8,0%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0,14%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194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23,4%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Стамбул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152 862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61,0%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31,7%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7,3%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0,04%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222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29,1%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Париж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138 346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71,3%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16,5%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11,4%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0,78%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129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28,6%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Берлин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125 479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80,2%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11,1%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7,8%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0,91%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79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21,6%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Москва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102 765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65,4%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23,5%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11,0%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0,04%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123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13,7%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Барселона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95 665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75,8%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15,3%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8,6%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0,33%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96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24,2%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Мадрид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55 343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46,4%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30,6%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22,3%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0,72%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341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21,8%</w:t>
            </w:r>
          </w:p>
        </w:tc>
      </w:tr>
    </w:tbl>
    <w:p>
      <w:pPr>
        <w:spacing w:after="200" w:before="60" w:line="230" w:lineRule="auto"/>
        <w:jc w:val="left"/>
      </w:pP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Стамбул отнесён к Европе: центр десятикилометрового круга расположен на историческом полуострове, в европейской части города.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Европа даёт самый широкий внутренний разброс из всех континентов: от медианы 79 м² в Берлине до 341 м² в Мадриде — почти четырёхкратная разница внутри одного континента, больше, чем между любыми двумя континентами. Причина в том, что европейские города прошли через большее число несовместимых градостроительных доктрин, и следы каждой сохранились.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Мадрид — самое крупное зерно в мире.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Только 46,4% зданий меньше 300 м², 22,3% приходится на категорию 1 000–10 000 м²,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медиана 341 м², плотность всего 237 объектов на квадратный километр — минимум по выборке.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Это классическая мансана серрада, замкнутый квартал: сплошной периметр застройки по границам участка с внутренним двором. Отдельного «дома» в привычном смысле здесь нет — есть квартал, разделённый на подъезды.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Москва — минимальная застроенность мира: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13,7%.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Это прямое следствие микрорайонной доктрины, принятой в конце 1950-х вместе с переходом на индустриальное панельное домостроение. Микрорайон проектировался как группа типовых корпусов в свободном озеленённом пространстве, с нормируемой инсоляцией и разрывами между зданиями. Земля расходуется щедро, здание занимает малую её долю.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Показательна структура категорий: 11,0% московских зданий попадают в диапазон 1 000–10 000 м²,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но лишь 0,04% превышают 10 000 м² — всего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40 объектов,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один из самых низких показателей выборки. Панельная секция или протяжённый корпус — крупное здание, но не гигантское: типовая серия задаёт верхнюю границу пятна. Москва застроена большими зданиями, но почти не имеет очень больших.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Берлин — рекорд неоднородности.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Джини 0,83 и доля верхнего процента 32,6% —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оба максимума выборки, при этом медиана 79 м² — минимум среди европейских городов.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Такое сочетание означает, что в одном городе сосуществуют принципиально разные размерные классы.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Немалый вклад в «хвост» мелких объектов вносят Kleingärten — городские садовые товарищества, которых в Берлине порядка семидесяти тысяч участков. Федеральный закон о садовых участках прямо ограничивает площадь садового домика 24 квадратными метрами вместе с крытой террасой. Десятки тысяч построек, у которых предельный размер задан не рынком, а нормой права, — редкий случай, когда закон напрямую виден в гистограмме распределения.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Париж и Барселона: сплошная ткань.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Париж — 11,4% зданий в категории 1 000–10 000 м² и 1080 объектов свыше 10 000 м²;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Барселона — Джини 0,77 при медиане всего 96 м².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Эшампле Ильдефонса Серды — регулярная сетка кварталов со срезанными углами — задаёт крупный периметр, внутри которого дробность сохраняется.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4.4. Северная Америка: два города в одном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9.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Североамериканские города основного среза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1882"/>
        <w:gridCol w:w="1223"/>
        <w:gridCol w:w="1035"/>
        <w:gridCol w:w="1035"/>
        <w:gridCol w:w="1035"/>
        <w:gridCol w:w="847"/>
        <w:gridCol w:w="1129"/>
        <w:gridCol w:w="1225"/>
      </w:tblGrid>
      <w:tr>
        <w:trPr>
          <w:tblHeader/>
        </w:trPr>
        <w:tc>
          <w:tcPr>
            <w:tcW w:type="dxa" w:w="1882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Город</w:t>
            </w:r>
          </w:p>
        </w:tc>
        <w:tc>
          <w:tcPr>
            <w:tcW w:type="dxa" w:w="122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Зданий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до 300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300–1к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1к–10к</w:t>
            </w:r>
          </w:p>
        </w:tc>
        <w:tc>
          <w:tcPr>
            <w:tcW w:type="dxa" w:w="847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&gt;10к</w:t>
            </w:r>
          </w:p>
        </w:tc>
        <w:tc>
          <w:tcPr>
            <w:tcW w:type="dxa" w:w="1129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Медиана, м²</w:t>
            </w:r>
          </w:p>
        </w:tc>
        <w:tc>
          <w:tcPr>
            <w:tcW w:type="dxa" w:w="122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Застр.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Лос-Анджелес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300 673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89,1%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7,9%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2,9%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0,14%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142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25,2%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Мехико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284 677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75,9%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16,7%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7,2%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0,17%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119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35,0%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Чикаго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162 348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87,9%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8,4%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3,5%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0,18%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110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23,5%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Торонто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109 658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84,8%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11,1%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4,0%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0,16%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146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19,5%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Нью-Йорк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97 704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71,0%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15,8%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12,6%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0,58%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155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27,1%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Лос-Анджелес — рекорд доли мелких зданий: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89,1%.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Почти девять из десяти построек в десятикилометровом круге вокруг центра — объекты меньше 300 м². Это результат зонирования под односемейную застройку, которое исторически покрывало большую часть жилой земли города, и десятилетий строительства бунгало и ранчо. Плотность при этом высокая — 994 зданий на квадратный километр: город плотный по числу объектов и разреженный по массе.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Нью-Йорк — самое «крупное» городское ядро мира.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В двухкилометровом круге вокруг Нижнего Манхэттена доля зданий меньше 300 м² падает до 18,7% — минимум выборки — против 71,0% по всему десятикилометровому кругу. Нижний Манхэттен и внешние боро — статистически два разных города, оказавшиеся под одним муниципальным управлением. По величине самого разрыва Нью-Йорк уступает Токио и Мельбурну (по 57 процентных пунктов), но там центр контрастирует с исключительно мелкой периферией, а не сам по себе так крупен.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Мехико — самая высокая застроенность континента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(35,0%) при высокой доле мелких зданий (75,9%).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Город наследует ту же испанскую квартальную сетку, что и Буэнос-Айрес с Лимой, но исторический центр застроен плотнее, а периферия — мельче.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Чикаго и Торонто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почти совпадают по доле мелких зданий (87,9% и 84,8%) —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североамериканская односемейная норма воспроизводится и по ту сторону границы. Различие в застроенности (23,5% против 19,5%) отражает более узкие чикагские участки.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4.5. Южная Америка: наследие «Законов Индий»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10.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Южноамериканские города основного среза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1882"/>
        <w:gridCol w:w="1223"/>
        <w:gridCol w:w="1035"/>
        <w:gridCol w:w="1035"/>
        <w:gridCol w:w="1035"/>
        <w:gridCol w:w="847"/>
        <w:gridCol w:w="1129"/>
        <w:gridCol w:w="1225"/>
      </w:tblGrid>
      <w:tr>
        <w:trPr>
          <w:tblHeader/>
        </w:trPr>
        <w:tc>
          <w:tcPr>
            <w:tcW w:type="dxa" w:w="1882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Город</w:t>
            </w:r>
          </w:p>
        </w:tc>
        <w:tc>
          <w:tcPr>
            <w:tcW w:type="dxa" w:w="122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Зданий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до 300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300–1к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1к–10к</w:t>
            </w:r>
          </w:p>
        </w:tc>
        <w:tc>
          <w:tcPr>
            <w:tcW w:type="dxa" w:w="847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&gt;10к</w:t>
            </w:r>
          </w:p>
        </w:tc>
        <w:tc>
          <w:tcPr>
            <w:tcW w:type="dxa" w:w="1129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Медиана, м²</w:t>
            </w:r>
          </w:p>
        </w:tc>
        <w:tc>
          <w:tcPr>
            <w:tcW w:type="dxa" w:w="122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Застр.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Сан-Паулу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192 322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69,0%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19,9%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10,7%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0,41%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171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38,2%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Лима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163 052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70,4%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18,7%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10,6%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0,35%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143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31,9%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Рио-де-Жанейро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128 881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83,5%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11,7%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4,7%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0,15%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103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24,2%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Богота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73 561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57,9%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22,9%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18,8%</w:t>
            </w:r>
          </w:p>
        </w:tc>
        <w:tc>
          <w:tcPr>
            <w:tcW w:type="dxa" w:w="8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0,45%</w:t>
            </w:r>
          </w:p>
        </w:tc>
        <w:tc>
          <w:tcPr>
            <w:tcW w:type="dxa" w:w="112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207</w:t>
            </w:r>
          </w:p>
        </w:tc>
        <w:tc>
          <w:tcPr>
            <w:tcW w:type="dxa" w:w="122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24,4%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Буэнос-Айрес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37 083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48,2%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17,1%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29,5%</w:t>
            </w:r>
          </w:p>
        </w:tc>
        <w:tc>
          <w:tcPr>
            <w:tcW w:type="dxa" w:w="8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5,20%</w:t>
            </w:r>
          </w:p>
        </w:tc>
        <w:tc>
          <w:tcPr>
            <w:tcW w:type="dxa" w:w="112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339</w:t>
            </w:r>
          </w:p>
        </w:tc>
        <w:tc>
          <w:tcPr>
            <w:tcW w:type="dxa" w:w="122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42,6%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Южная Америка — единственный континент с устойчивым общим признаком. Самая высокая медианная застроенность (31,9%), самое крупное медианное здание (171 м²) и самый высокий медианный Джини (0,72). Общий источник — регулярная квартальная сетка, предписанная испанским колониальным градостроительным законодательством XVI века: прямоугольная мансана вокруг центральной площади, застраиваемая по периметру. Через четыре столетия этот шаблон по-прежнему читается в цифрах.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Буэнос-Айрес — самый крупнозернистый город мира.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Медиана 339 м², средняя площадь здания 2 095 м²,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29,5% объектов в категории 1 000–10 000 м² и 5,20% свыше 10 000 м² —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1 930 зданий — почти вдвое больше, чем в Париже, и больше, чем в любом другом городе выборки.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Застроенность 42,6% — абсолютный максимум выборки. 99-й процентиль 16 777 м²: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это единственный город, где порог верхнего процента сам по себе превышает верхнюю границу третьей категории.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Здесь особенно важно различать морфологию и артефакт измерения. Портеньская квартальная застройка сплошная: здания примыкают друг к другу брандмауэрами по всему периметру мансаны, и модель сегментации видит квартал как единый объект. Контрольный источник насчитывает в том же круге в 11,2 раза больше зданий. Правильное прочтение цифр Буэнос-Айреса — не «здесь стоят гигантские дома», а «здесь застройка настолько непрерывна, что понятие отдельного здания теряет операционный смысл».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Богота — треть фонда в средней и крупной категориях: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18,8% зданий приходится на 1 000–10 000 м², второй показатель выборки после Буэнос-Айреса.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Богота застраивалась той же квартальной логикой, но в XX веке — с более крупным шагом сетки.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Рио-де-Жанейро выпадает из южноамериканского профиля: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83,5% мелких зданий и медиана 103 м² — ближе к африканским показателям, чем к соседним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Буэнос-Айресу и Боготе. Причина географическая и социальная одновременно: горный рельеф разрывает регулярную сетку, а фавелы на склонах состоят из очень мелких индивидуальных построек. Освоенная территория Рио — всего 153 км² из 314: половина круга приходится на скалы, лес и залив.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4.6. Океания: самая однородная застройка планеты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11.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Города Океании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1882"/>
        <w:gridCol w:w="1318"/>
        <w:gridCol w:w="1223"/>
        <w:gridCol w:w="1035"/>
        <w:gridCol w:w="1223"/>
        <w:gridCol w:w="941"/>
        <w:gridCol w:w="941"/>
        <w:gridCol w:w="848"/>
      </w:tblGrid>
      <w:tr>
        <w:trPr>
          <w:tblHeader/>
        </w:trPr>
        <w:tc>
          <w:tcPr>
            <w:tcW w:type="dxa" w:w="1882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Город</w:t>
            </w:r>
          </w:p>
        </w:tc>
        <w:tc>
          <w:tcPr>
            <w:tcW w:type="dxa" w:w="131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Источник</w:t>
            </w:r>
          </w:p>
        </w:tc>
        <w:tc>
          <w:tcPr>
            <w:tcW w:type="dxa" w:w="122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Зданий</w:t>
            </w:r>
          </w:p>
        </w:tc>
        <w:tc>
          <w:tcPr>
            <w:tcW w:type="dxa" w:w="10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до 300</w:t>
            </w:r>
          </w:p>
        </w:tc>
        <w:tc>
          <w:tcPr>
            <w:tcW w:type="dxa" w:w="122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Медиана, м²</w:t>
            </w:r>
          </w:p>
        </w:tc>
        <w:tc>
          <w:tcPr>
            <w:tcW w:type="dxa" w:w="941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Джини</w:t>
            </w:r>
          </w:p>
        </w:tc>
        <w:tc>
          <w:tcPr>
            <w:tcW w:type="dxa" w:w="941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Застр.</w:t>
            </w:r>
          </w:p>
        </w:tc>
        <w:tc>
          <w:tcPr>
            <w:tcW w:type="dxa" w:w="84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&gt;10к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Мельбурн</w:t>
            </w:r>
          </w:p>
        </w:tc>
        <w:tc>
          <w:tcPr>
            <w:tcW w:type="dxa" w:w="131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Microsoft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209 275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82,3%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185</w:t>
            </w:r>
          </w:p>
        </w:tc>
        <w:tc>
          <w:tcPr>
            <w:tcW w:type="dxa" w:w="9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0,47</w:t>
            </w:r>
          </w:p>
        </w:tc>
        <w:tc>
          <w:tcPr>
            <w:tcW w:type="dxa" w:w="9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23,1%</w:t>
            </w:r>
          </w:p>
        </w:tc>
        <w:tc>
          <w:tcPr>
            <w:tcW w:type="dxa" w:w="84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212</w:t>
            </w:r>
          </w:p>
        </w:tc>
      </w:tr>
      <w:tr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Сидней</w:t>
            </w:r>
          </w:p>
        </w:tc>
        <w:tc>
          <w:tcPr>
            <w:tcW w:type="dxa" w:w="131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Overture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177 566</w:t>
            </w:r>
          </w:p>
        </w:tc>
        <w:tc>
          <w:tcPr>
            <w:tcW w:type="dxa" w:w="10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82,3%</w:t>
            </w:r>
          </w:p>
        </w:tc>
        <w:tc>
          <w:tcPr>
            <w:tcW w:type="dxa" w:w="12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181</w:t>
            </w:r>
          </w:p>
        </w:tc>
        <w:tc>
          <w:tcPr>
            <w:tcW w:type="dxa" w:w="9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0,47</w:t>
            </w:r>
          </w:p>
        </w:tc>
        <w:tc>
          <w:tcPr>
            <w:tcW w:type="dxa" w:w="9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19,9%</w:t>
            </w:r>
          </w:p>
        </w:tc>
        <w:tc>
          <w:tcPr>
            <w:tcW w:type="dxa" w:w="84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99</w:t>
            </w:r>
          </w:p>
        </w:tc>
      </w:tr>
      <w:tr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Окленд</w:t>
            </w:r>
          </w:p>
        </w:tc>
        <w:tc>
          <w:tcPr>
            <w:tcW w:type="dxa" w:w="131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Overture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225 588</w:t>
            </w:r>
          </w:p>
        </w:tc>
        <w:tc>
          <w:tcPr>
            <w:tcW w:type="dxa" w:w="10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92,5%</w:t>
            </w:r>
          </w:p>
        </w:tc>
        <w:tc>
          <w:tcPr>
            <w:tcW w:type="dxa" w:w="12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131</w:t>
            </w:r>
          </w:p>
        </w:tc>
        <w:tc>
          <w:tcPr>
            <w:tcW w:type="dxa" w:w="9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0,49</w:t>
            </w:r>
          </w:p>
        </w:tc>
        <w:tc>
          <w:tcPr>
            <w:tcW w:type="dxa" w:w="9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18,8%</w:t>
            </w:r>
          </w:p>
        </w:tc>
        <w:tc>
          <w:tcPr>
            <w:tcW w:type="dxa" w:w="84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53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Города Океании дают самые низкие коэффициенты Джини во всём исследовании: 0,47 у Мельбурна, 0,47 у Сиднея, 0,49 у Окленда. Это застройка почти без размерного разнообразия: отдельно стоящий дом на собственном участке, повторённый сотни тысяч раз. Австралийский и новозеландский пригород сложился в XX веке вокруг идеала отдельного дома с садом, и статистика фиксирует его в чистом виде — при том, что деловые ядра этих городов вполне высотные, их вклад в общее распределение статистически незаметен.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4.7. Антарктида: контрольная точка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Крупнейшее постоянное поселение седьмого континента — станция Мак-Мёрдо. В том же десятикилометровом круге, по тем же правилам, что и мегаполисы, там обнаруживается 409 зданий: 341 построек меньше 300 м², 59 в диапазоне 300–1 000 м², 9 — от 1 000 до 10 000 м² и ни одного здания свыше 10 000 м². Медианное пятно 62 м², коэффициент застроенности 1,7%.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auto" w:sz="0"/>
          <w:insideV w:val="none" w:color="auto" w:sz="0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none" w:color="auto" w:sz="0"/>
              <w:left w:val="single" w:color="256ABF" w:sz="18"/>
              <w:bottom w:val="none" w:color="auto" w:sz="0"/>
              <w:right w:val="none" w:color="auto" w:sz="0"/>
            </w:tcBorders>
            <w:shd w:fill="F2F6FD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 w:line="288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21"/>
                <w:szCs w:val="21"/>
              </w:rPr>
              <w:t xml:space="preserve">Зачем в исследовании мегаполисов Антарктида</w:t>
            </w:r>
          </w:p>
          <w:p>
            <w:pPr>
              <w:spacing w:after="9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Мак-Мёрдо — поселение, где полностью отсутствуют рынок земли, наследственное право, налог на имущество и частный девелопмент: всё построено одним оператором по функциональной необходимости. Размерная структура при этом оказывается похожей на городскую — подавляющее большинство построек мелкие, несколько крупных объектов держат основную площадь.</w:t>
            </w:r>
          </w:p>
          <w:p>
            <w:pPr>
              <w:spacing w:after="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Это полезная контрольная точка: она показывает, что базовый скос распределения задан не экономикой, а инженерией и логистикой строительства. Экономика и право объясняют не сам скос, а его величину — то есть различия между городами, а не их общее сходство.</w:t>
            </w:r>
          </w:p>
        </w:tc>
      </w:tr>
    </w:tbl>
    <w:p>
      <w:pPr>
        <w:pStyle w:val="Heading1"/>
        <w:pageBreakBefore/>
        <w:pBdr>
          <w:bottom w:val="single" w:color="104281" w:sz="12" w:space="8"/>
        </w:pBdr>
        <w:spacing w:after="260" w:before="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5. Сквозные закономерности</w:t>
      </w:r>
    </w:p>
    <w:p>
      <w:pPr>
        <w:spacing w:after="220" w:before="0" w:line="300" w:lineRule="auto"/>
        <w:jc w:val="both"/>
      </w:pPr>
      <w:r>
        <w:rPr>
          <w:rFonts w:ascii="Calibri" w:cs="Calibri" w:eastAsia="Calibri" w:hAnsi="Calibri"/>
          <w:i/>
          <w:iCs/>
          <w:color w:val="52514E"/>
          <w:sz w:val="23"/>
          <w:szCs w:val="23"/>
        </w:rPr>
        <w:t xml:space="preserve">Пять устойчивых закономерностей проявляются на всех континентах. Ни одна из них не сводится к уровню дохода: богатые и бедные города встречаются на обоих концах каждой шкалы.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5.1. Обмен количества на размер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72175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240" w:lineRule="auto"/>
        <w:jc w:val="left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Рис. 4.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Число зданий на квадратный километр против средней площади здания, обе оси логарифмические. Пунктир — линейная регрессия в логарифмах.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Между плотностью объектов и их средним размером существует тождество: произведение этих двух величин равно застроенной площади на квадратный километр, то есть коэффициенту застроенности. Если бы застроенность была одинаковой во всех городах, наклон на графике был бы ровно −1.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Измеренный наклон равен −0,82 при R² = 0,78.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Информативно именно отклонение от −1: крупнозернистые города застроены плотнее, чем мелкозернистые. Увеличение среднего размера здания вдвое сопровождается снижением числа объектов лишь в 1,76 раза, а значит, доля земли под крышей растёт примерно на 14%. Практический вывод: укрупнение застройки — не нейтральная замена «много мелкого» на «мало крупного», а систематически более интенсивное использование земли.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При этом разброс самих факторов несопоставим с разбросом произведения. Плотность меняется от 204 до 1 477 объектов на квадратный километр (в семь раз), средний размер — от 207 до 2 095 м² (в десять раз), а коэффициент застроенности укладывается в трёхкратный диапазон. Города очень по-разному нарезают застроенную массу на объекты — и заметно менее свободны в том, какую долю земли занять.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5.2. Коэффициент застроенности как отпечаток доктрины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72175" cy="635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240" w:lineRule="auto"/>
        <w:jc w:val="left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Рис. 5.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Доля освоенной территории, находящейся под крышей. Диапазон трёхкратный: от микрорайонной Москвы до квартального Буэнос-Айреса.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Показатель отчётливо расслаивает выборку на три градостроительных режима, и границы между ними проходят не по континентам, а по эпохам и доктринам.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12.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Три режима землепользования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2259"/>
        <w:gridCol w:w="1412"/>
        <w:gridCol w:w="3200"/>
        <w:gridCol w:w="2540"/>
      </w:tblGrid>
      <w:tr>
        <w:trPr>
          <w:tblHeader/>
        </w:trPr>
        <w:tc>
          <w:tcPr>
            <w:tcW w:type="dxa" w:w="2259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Режим</w:t>
            </w:r>
          </w:p>
        </w:tc>
        <w:tc>
          <w:tcPr>
            <w:tcW w:type="dxa" w:w="1412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Застроенность</w:t>
            </w:r>
          </w:p>
        </w:tc>
        <w:tc>
          <w:tcPr>
            <w:tcW w:type="dxa" w:w="320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Города</w:t>
            </w:r>
          </w:p>
        </w:tc>
        <w:tc>
          <w:tcPr>
            <w:tcW w:type="dxa" w:w="254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Логика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Башня в свободном пространстве</w:t>
            </w:r>
          </w:p>
        </w:tc>
        <w:tc>
          <w:tcPr>
            <w:tcW w:type="dxa" w:w="141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14–20%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Москва, Сеул, Найроби, Йоханнесбург</w:t>
            </w:r>
          </w:p>
        </w:tc>
        <w:tc>
          <w:tcPr>
            <w:tcW w:type="dxa" w:w="254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нормируемые разрывы и инсоляция; земля расходуется щедро</w:t>
            </w:r>
          </w:p>
        </w:tc>
      </w:tr>
      <w:tr>
        <w:tc>
          <w:tcPr>
            <w:tcW w:type="dxa" w:w="22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Смешанная ткань</w:t>
            </w:r>
          </w:p>
        </w:tc>
        <w:tc>
          <w:tcPr>
            <w:tcW w:type="dxa" w:w="141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21–30%</w:t>
            </w:r>
          </w:p>
        </w:tc>
        <w:tc>
          <w:tcPr>
            <w:tcW w:type="dxa" w:w="320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Берлин, Лагос, Мадрид, Мельбурн, Лондон, Торонто, Чикаго, Барселона, Париж</w:t>
            </w:r>
          </w:p>
        </w:tc>
        <w:tc>
          <w:tcPr>
            <w:tcW w:type="dxa" w:w="254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наслоение эпох, участок застроен частично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Сплошной квартал</w:t>
            </w:r>
          </w:p>
        </w:tc>
        <w:tc>
          <w:tcPr>
            <w:tcW w:type="dxa" w:w="141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31–43%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Манила, Лима, Джакарта, Мехико, Сан-Паулу, Буэнос-Айрес</w:t>
            </w:r>
          </w:p>
        </w:tc>
        <w:tc>
          <w:tcPr>
            <w:tcW w:type="dxa" w:w="254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застройка по периметру участка вплотную к границам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Москва и Сеул в одной группе — самый показательный результат этого разреза.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13,7% и 16,2% соответственно.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Советская плановая экономика и южнокорейский частный девелопмент, разделённые идеологией, экономическим строем и полувеком, произвели одинаковую пространственную форму, потому что решали одну задачу: быстро расселить массовую урбанизацию индустриальным способом. Форма следует за методом производства, а не за формой собственности.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5.3. Концентрация площади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В каждом городе выборки небольшая доля зданий держит непропорционально большую долю застроенной площади. Медианно верхний процент объектов занимает около 20% всей площади под крышей; крайние значения — 10,2% в Лагосе и 32,6% в Берлине.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13.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Крайние значения концентрации застроенной площади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2447"/>
        <w:gridCol w:w="1882"/>
        <w:gridCol w:w="1318"/>
        <w:gridCol w:w="1882"/>
        <w:gridCol w:w="1882"/>
      </w:tblGrid>
      <w:tr>
        <w:trPr>
          <w:tblHeader/>
        </w:trPr>
        <w:tc>
          <w:tcPr>
            <w:tcW w:type="dxa" w:w="2447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Город</w:t>
            </w:r>
          </w:p>
        </w:tc>
        <w:tc>
          <w:tcPr>
            <w:tcW w:type="dxa" w:w="1882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Верхний 1% держит</w:t>
            </w:r>
          </w:p>
        </w:tc>
        <w:tc>
          <w:tcPr>
            <w:tcW w:type="dxa" w:w="131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Джини</w:t>
            </w:r>
          </w:p>
        </w:tc>
        <w:tc>
          <w:tcPr>
            <w:tcW w:type="dxa" w:w="1882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99-й процентиль, м²</w:t>
            </w:r>
          </w:p>
        </w:tc>
        <w:tc>
          <w:tcPr>
            <w:tcW w:type="dxa" w:w="1882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Максимум, м²</w:t>
            </w:r>
          </w:p>
        </w:tc>
      </w:tr>
      <w:tr>
        <w:tc>
          <w:tcPr>
            <w:tcW w:type="dxa" w:w="24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Берлин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32,6%</w:t>
            </w:r>
          </w:p>
        </w:tc>
        <w:tc>
          <w:tcPr>
            <w:tcW w:type="dxa" w:w="131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0,83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9 384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72 516</w:t>
            </w:r>
          </w:p>
        </w:tc>
      </w:tr>
      <w:tr>
        <w:tc>
          <w:tcPr>
            <w:tcW w:type="dxa" w:w="24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Чикаго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28,7%</w:t>
            </w:r>
          </w:p>
        </w:tc>
        <w:tc>
          <w:tcPr>
            <w:tcW w:type="dxa" w:w="131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0,66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3 212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80 028</w:t>
            </w:r>
          </w:p>
        </w:tc>
      </w:tr>
      <w:tr>
        <w:tc>
          <w:tcPr>
            <w:tcW w:type="dxa" w:w="24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Барселона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26,2%</w:t>
            </w:r>
          </w:p>
        </w:tc>
        <w:tc>
          <w:tcPr>
            <w:tcW w:type="dxa" w:w="131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0,77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5 393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257 950</w:t>
            </w:r>
          </w:p>
        </w:tc>
      </w:tr>
      <w:tr>
        <w:tc>
          <w:tcPr>
            <w:tcW w:type="dxa" w:w="24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Лос-Анджелес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25,5%</w:t>
            </w:r>
          </w:p>
        </w:tc>
        <w:tc>
          <w:tcPr>
            <w:tcW w:type="dxa" w:w="131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0,57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2 684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134 594</w:t>
            </w:r>
          </w:p>
        </w:tc>
      </w:tr>
      <w:tr>
        <w:tc>
          <w:tcPr>
            <w:tcW w:type="dxa" w:w="24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Париж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24,3%</w:t>
            </w:r>
          </w:p>
        </w:tc>
        <w:tc>
          <w:tcPr>
            <w:tcW w:type="dxa" w:w="131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0,78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8 784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93 497</w:t>
            </w:r>
          </w:p>
        </w:tc>
      </w:tr>
      <w:tr>
        <w:tc>
          <w:tcPr>
            <w:tcW w:type="dxa" w:w="24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Москва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13,1%</w:t>
            </w:r>
          </w:p>
        </w:tc>
        <w:tc>
          <w:tcPr>
            <w:tcW w:type="dxa" w:w="131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0,69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3 394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37 786</w:t>
            </w:r>
          </w:p>
        </w:tc>
      </w:tr>
      <w:tr>
        <w:tc>
          <w:tcPr>
            <w:tcW w:type="dxa" w:w="24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Буэнос-Айрес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13,1%</w:t>
            </w:r>
          </w:p>
        </w:tc>
        <w:tc>
          <w:tcPr>
            <w:tcW w:type="dxa" w:w="131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0,75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16 777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119 512</w:t>
            </w:r>
          </w:p>
        </w:tc>
      </w:tr>
      <w:tr>
        <w:tc>
          <w:tcPr>
            <w:tcW w:type="dxa" w:w="244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Стамбул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12,6%</w:t>
            </w:r>
          </w:p>
        </w:tc>
        <w:tc>
          <w:tcPr>
            <w:tcW w:type="dxa" w:w="131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0,57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2 842</w:t>
            </w:r>
          </w:p>
        </w:tc>
        <w:tc>
          <w:tcPr>
            <w:tcW w:type="dxa" w:w="1882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61 703</w:t>
            </w:r>
          </w:p>
        </w:tc>
      </w:tr>
      <w:tr>
        <w:tc>
          <w:tcPr>
            <w:tcW w:type="dxa" w:w="244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Лагос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10,2%</w:t>
            </w:r>
          </w:p>
        </w:tc>
        <w:tc>
          <w:tcPr>
            <w:tcW w:type="dxa" w:w="131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0,44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1 260</w:t>
            </w:r>
          </w:p>
        </w:tc>
        <w:tc>
          <w:tcPr>
            <w:tcW w:type="dxa" w:w="188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21 428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Обратите внимание на кажущийся парадокс: у Буэнос-Айреса самое крупное зерно в мире, но концентрация площади в верхнем проценте — всего 13,1%, одна из самых низких. Объяснение простое: там крупные здания — норма, а не исключение, поэтому верхний процент не выделяется на общем фоне. Концентрация измеряет не размер, а неравномерность.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Для страховщика и оператора инфраструктуры это практический показатель. Высокая концентрация означает, что убыток, риск и потребление сосредоточены в нескольких сотнях адресов, которые можно обследовать поимённо. Низкая — что работать придётся с десятками тысяч мелких однотипных объектов, где индивидуальная экспертиза экономически невозможна.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5.4. Неоднородность как историческая память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72175" cy="635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240" w:lineRule="auto"/>
        <w:jc w:val="left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Рис. 6.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Коэффициент Джини по площади зданий. Высокие значения указывают на сосуществование несовместимых типов застройки в одном городе.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Коэффициент Джини по размерам зданий читается как индекс исторической слоистости. Низкие значения — Лагос 0,44, Мельбурн 0,47 — означают, что город построен по одному образцу за один исторический период. Высокие — Берлин 0,83, Париж 0,78, Барселона 0,77 — что в одном круге радиусом десять километров уместились несовместимые градостроительные логики.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Показатель полезен как оперативный индикатор: он предсказывает, насколько сложным будет любое типовое решение в этом городе. Единый регламент реновации, единый стандарт энергоаудита или единый продукт страхования работают в Мельбурне и не работают в Берлине — не из-за качества регулирования, а из-за физической разнородности предмета.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5.5. Ядро и периферия: два типа города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Сравнение двухкилометрового ядра с полным кругом разделяет выборку надвое — и это разделение оказывается едва ли не самым содержательным результатом исследования.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14.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Контраст ядра: доля зданий меньше 300 м² в центре и в городе целиком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2259"/>
        <w:gridCol w:w="1694"/>
        <w:gridCol w:w="1694"/>
        <w:gridCol w:w="1694"/>
        <w:gridCol w:w="2070"/>
      </w:tblGrid>
      <w:tr>
        <w:trPr>
          <w:tblHeader/>
        </w:trPr>
        <w:tc>
          <w:tcPr>
            <w:tcW w:type="dxa" w:w="2259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Город</w:t>
            </w:r>
          </w:p>
        </w:tc>
        <w:tc>
          <w:tcPr>
            <w:tcW w:type="dxa" w:w="1694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Ядро, 2 км</w:t>
            </w:r>
          </w:p>
        </w:tc>
        <w:tc>
          <w:tcPr>
            <w:tcW w:type="dxa" w:w="1694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Круг, 10 км</w:t>
            </w:r>
          </w:p>
        </w:tc>
        <w:tc>
          <w:tcPr>
            <w:tcW w:type="dxa" w:w="1694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Разрыв, п.п.</w:t>
            </w:r>
          </w:p>
        </w:tc>
        <w:tc>
          <w:tcPr>
            <w:tcW w:type="dxa" w:w="207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7"/>
                <w:szCs w:val="17"/>
              </w:rPr>
              <w:t xml:space="preserve">Тип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Мельбурн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24,8%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82,3%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D03B3B"/>
                <w:sz w:val="17"/>
                <w:szCs w:val="17"/>
              </w:rPr>
              <w:t xml:space="preserve">-57,4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деловой центр</w:t>
            </w:r>
          </w:p>
        </w:tc>
      </w:tr>
      <w:tr>
        <w:tc>
          <w:tcPr>
            <w:tcW w:type="dxa" w:w="22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Токио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29,6%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87,0%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D03B3B"/>
                <w:sz w:val="17"/>
                <w:szCs w:val="17"/>
              </w:rPr>
              <w:t xml:space="preserve">-57,4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деловой центр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Чикаго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33,4%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87,9%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D03B3B"/>
                <w:sz w:val="17"/>
                <w:szCs w:val="17"/>
              </w:rPr>
              <w:t xml:space="preserve">-54,5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деловой центр</w:t>
            </w:r>
          </w:p>
        </w:tc>
      </w:tr>
      <w:tr>
        <w:tc>
          <w:tcPr>
            <w:tcW w:type="dxa" w:w="22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Торонто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31,9%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84,8%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D03B3B"/>
                <w:sz w:val="17"/>
                <w:szCs w:val="17"/>
              </w:rPr>
              <w:t xml:space="preserve">-52,9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деловой центр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Нью-Йорк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18,7%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71,0%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D03B3B"/>
                <w:sz w:val="17"/>
                <w:szCs w:val="17"/>
              </w:rPr>
              <w:t xml:space="preserve">-52,3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деловой центр</w:t>
            </w:r>
          </w:p>
        </w:tc>
      </w:tr>
      <w:tr>
        <w:tc>
          <w:tcPr>
            <w:tcW w:type="dxa" w:w="22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Берлин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31,0%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80,2%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D03B3B"/>
                <w:sz w:val="17"/>
                <w:szCs w:val="17"/>
              </w:rPr>
              <w:t xml:space="preserve">-49,2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деловой центр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Лос-Анджелес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49,7%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89,1%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D03B3B"/>
                <w:sz w:val="17"/>
                <w:szCs w:val="17"/>
              </w:rPr>
              <w:t xml:space="preserve">-39,4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деловой центр</w:t>
            </w:r>
          </w:p>
        </w:tc>
      </w:tr>
      <w:tr>
        <w:tc>
          <w:tcPr>
            <w:tcW w:type="dxa" w:w="22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Париж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33,5%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71,3%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D03B3B"/>
                <w:sz w:val="17"/>
                <w:szCs w:val="17"/>
              </w:rPr>
              <w:t xml:space="preserve">-37,8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деловой центр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Джакарта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75,6%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78,8%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CA30C"/>
                <w:sz w:val="17"/>
                <w:szCs w:val="17"/>
              </w:rPr>
              <w:t xml:space="preserve">-3,2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непрерывная ткань</w:t>
            </w:r>
          </w:p>
        </w:tc>
      </w:tr>
      <w:tr>
        <w:tc>
          <w:tcPr>
            <w:tcW w:type="dxa" w:w="22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Лагос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70,0%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70,8%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CA30C"/>
                <w:sz w:val="17"/>
                <w:szCs w:val="17"/>
              </w:rPr>
              <w:t xml:space="preserve">-0,9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непрерывная ткань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Мумбаи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69,2%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67,3%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CA30C"/>
                <w:sz w:val="17"/>
                <w:szCs w:val="17"/>
              </w:rPr>
              <w:t xml:space="preserve">+1,9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непрерывная ткань</w:t>
            </w:r>
          </w:p>
        </w:tc>
      </w:tr>
      <w:tr>
        <w:tc>
          <w:tcPr>
            <w:tcW w:type="dxa" w:w="22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Барселона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80,1%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75,8%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CA30C"/>
                <w:sz w:val="17"/>
                <w:szCs w:val="17"/>
              </w:rPr>
              <w:t xml:space="preserve">+4,3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непрерывная ткань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Дели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67,3%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57,3%</w:t>
            </w:r>
          </w:p>
        </w:tc>
        <w:tc>
          <w:tcPr>
            <w:tcW w:type="dxa" w:w="169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CA30C"/>
                <w:sz w:val="17"/>
                <w:szCs w:val="17"/>
              </w:rPr>
              <w:t xml:space="preserve">+10,0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непрерывная ткань</w:t>
            </w:r>
          </w:p>
        </w:tc>
      </w:tr>
      <w:tr>
        <w:tc>
          <w:tcPr>
            <w:tcW w:type="dxa" w:w="22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Стамбул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72,6%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61,0%</w:t>
            </w:r>
          </w:p>
        </w:tc>
        <w:tc>
          <w:tcPr>
            <w:tcW w:type="dxa" w:w="169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CA30C"/>
                <w:sz w:val="17"/>
                <w:szCs w:val="17"/>
              </w:rPr>
              <w:t xml:space="preserve">+11,6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непрерывная ткань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Первый тип — англо-американская и восточноазиатская модель.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Нью-Йорк, Мельбурн, Токио, Торонто, Чикаго, Берлин: центр — специализированная зона крупных объектов, радикально отличающаяся от остального города. Доля мелких зданий в ядре падает на 49–57 процентных пунктов. Такой центр возник как результат разделения функций: деловая активность вытеснила жильё, а высокая цена земли оправдала укрупнение.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Второй тип — города непрерывной исторической ткани.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Стамбул (+11,6), Дели (+10,0), Барселона (+4,3), Мумбаи (+1,9), Лагос (−0,9), Джакарта (−3,2): ядро либо не отличается от периферии, либо мельче её. В Стамбуле и Дели исторические центры — Фатих и Шахджаханабад — представляют собой средневековую мелкозернистую ткань, тогда как десятикилометровое кольцо включает более поздние крупные комплексы. Историческое ядро в этих городах не было переработано в деловой квартал.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auto" w:sz="0"/>
          <w:insideV w:val="none" w:color="auto" w:sz="0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none" w:color="auto" w:sz="0"/>
              <w:left w:val="single" w:color="256ABF" w:sz="18"/>
              <w:bottom w:val="none" w:color="auto" w:sz="0"/>
              <w:right w:val="none" w:color="auto" w:sz="0"/>
            </w:tcBorders>
            <w:shd w:fill="F2F6FD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 w:line="288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21"/>
                <w:szCs w:val="21"/>
              </w:rPr>
              <w:t xml:space="preserve">Почему это важно для рынка</w:t>
            </w:r>
          </w:p>
          <w:p>
            <w:pPr>
              <w:spacing w:after="9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Первый тип даёт понятный инвестиционный контур: несколько сотен крупных объектов в центре, прозрачная сегментация, работающая логика класса А/B/C. Второй тип такого контура не даёт: инвестиционный продукт приходится собирать из множества мелких объектов, а девелопмент упирается в согласование десятков собственников на квартал.</w:t>
            </w:r>
          </w:p>
          <w:p>
            <w:pPr>
              <w:spacing w:after="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Разрыв в 50 процентных пунктов между этими режимами объясняет, почему стандартные модели коммерческой недвижимости, откалиброванные на Нью-Йорке и Лондоне, систематически ошибаются в Стамбуле, Дели и Джакарте.</w:t>
            </w:r>
          </w:p>
        </w:tc>
      </w:tr>
    </w:tbl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5.6. Крупнейшая категория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72175" cy="635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240" w:lineRule="auto"/>
        <w:jc w:val="left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Рис. 7.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Здания с пятном застройки свыше 10 000 м²: абсолютное число и плотность на 100 км² освоенной территории.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Категория «свыше 10 000 м²» составляет лишь четверть процента фонда, но именно она определяет облик деловых, промышленных и логистических рынков. Разброс здесь максимальный из всех показателей исследования: от 22 объектов в Лагосе до 1 930 в Буэнос-Айресе — почти стократная разница при сопоставимой площади обследования.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Москва — важный частный случай.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Всего 40 зданий свыше 10 000 м², 13 на 100 км² — предпоследнее место выборки.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При этом 11,0% московских зданий попадают в категорию 1 000–10 000 м² — восьмой показатель.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Индустриальное домостроение производит крупные, но не гигантские объекты: типовая серия задаёт верхнюю границу пятна секции. Москва застроена большими зданиями и почти лишена очень больших.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5.7. Вертикальное измерение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Данные о высоте распределены неравномерно и не позволяют построить глобальную картину. В основном источнике высоты присутствуют только для Европы, Америк и Австралии и, судя по обрыву распределения около 40 метров, систематически занижены для высотных зданий. В контрольном источнике полнота колеблется от 1% зданий в Каире и Мумбаи до 98% в Лос-Анджелесе.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Поэтому раздел ограничен двенадцатью городами, где высота известна не менее чем для 40% зданий.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Для остальных городов известная высотой выборка смещена в сторону заметных высотных объектов, и любые средние по ней завышены в разы. Приводить такие цифры как характеристику города было бы ошибкой.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72175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240" w:lineRule="auto"/>
        <w:jc w:val="left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Рис. 8.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Медианная высота здания и 99-й процентиль. В скобках — доля зданий с известной высотой.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Москва даёт самый высокий 99-й процентиль выборки — 75 метров.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Это не про небоскрёбы: это про то, что рядовая московская застройка верхнего сегмента — панельные и монолитные корпуса в 17–25 этажей. В Нью-Йорке 99-й процентиль составляет 51 метр при медиане 9 метров: небоскрёбы там статистически исключительны и возвышаются над преимущественно малоэтажным городом. Москва вертикальна в среднем, Нью-Йорк — в хвосте распределения.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Лос-Анджелес и Мельбурн замыкают список с 99-м процентилем 16 метров: даже верхний процент застройки этих городов — здания в пять этажей.</w:t>
      </w:r>
    </w:p>
    <w:p>
      <w:pPr>
        <w:pStyle w:val="Heading1"/>
        <w:pageBreakBefore/>
        <w:pBdr>
          <w:bottom w:val="single" w:color="104281" w:sz="12" w:space="8"/>
        </w:pBdr>
        <w:spacing w:after="260" w:before="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6. Восемь национальных сюжетов</w:t>
      </w:r>
    </w:p>
    <w:p>
      <w:pPr>
        <w:spacing w:after="220" w:before="0" w:line="300" w:lineRule="auto"/>
        <w:jc w:val="both"/>
      </w:pPr>
      <w:r>
        <w:rPr>
          <w:rFonts w:ascii="Calibri" w:cs="Calibri" w:eastAsia="Calibri" w:hAnsi="Calibri"/>
          <w:i/>
          <w:iCs/>
          <w:color w:val="52514E"/>
          <w:sz w:val="23"/>
          <w:szCs w:val="23"/>
        </w:rPr>
        <w:t xml:space="preserve">Ниже — восемь случаев, где связь между конкретной нормой права, налогом или историческим решением и формой распределения зданий прослеживается наиболее отчётливо.</w:t>
      </w:r>
    </w:p>
    <w:p>
      <w:pPr>
        <w:pStyle w:val="Heading3"/>
        <w:keepNext/>
        <w:spacing w:after="100" w:before="250" w:line="276" w:lineRule="auto"/>
      </w:pPr>
      <w:r>
        <w:rPr>
          <w:rFonts w:ascii="Cambria" w:cs="Cambria" w:eastAsia="Cambria" w:hAnsi="Cambria"/>
          <w:b/>
          <w:bCs/>
          <w:color w:val="52514E"/>
          <w:sz w:val="23"/>
          <w:szCs w:val="23"/>
        </w:rPr>
        <w:t xml:space="preserve">6.1. Токио: дом как расходный материал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Медиана 94 м², 87,0% зданий меньше 300 м², 1 477 объектов на квадратный километр.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Японская модель обращения с жильём принципиально отличается от европейской и американской: строение рассматривается как амортизируемый актив, теряющий рыночную ценность за два-три десятилетия, тогда как ценность сохраняет земля. Дом покупают, чтобы через поколение снести и построить заново. К этому добавляется наследственное налогообложение, регулярно вынуждающее делить участок между наследниками, и национальная система зонирования, построенная не на разделении функций, а на предельно допустимом уровне неудобства для соседей, — она допускает мелкое смешение жилья, мастерских и торговли.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Совокупный результат — самовоспроизводящийся рынок мельчайших индивидуальных домов и целый архитектурный жанр «кёсё дзютаку»: дом на участке в несколько десятков квадратных метров, часто в три уровня и шириной в одну комнату. Ни в одном другом мегаполисе мира мелкое зерно не поддерживается настолько устойчиво.</w:t>
      </w:r>
    </w:p>
    <w:p>
      <w:pPr>
        <w:pStyle w:val="Heading3"/>
        <w:keepNext/>
        <w:spacing w:after="100" w:before="250" w:line="276" w:lineRule="auto"/>
      </w:pPr>
      <w:r>
        <w:rPr>
          <w:rFonts w:ascii="Cambria" w:cs="Cambria" w:eastAsia="Cambria" w:hAnsi="Cambria"/>
          <w:b/>
          <w:bCs/>
          <w:color w:val="52514E"/>
          <w:sz w:val="23"/>
          <w:szCs w:val="23"/>
        </w:rPr>
        <w:t xml:space="preserve">6.2. Буэнос-Айрес, Мадрид, Мехико: мансана длиною в 450 лет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Медианы 339, 341 и 119 м²; застроенность 42,6%, 21,8% и 35,0%.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Испанское колониальное градостроительное законодательство XVI века предписывало основывать города по единому шаблону: прямоугольная сетка улиц, центральная площадь, кварталы правильной формы. Этот шаблон был применён от Мехико до Буэнос-Айреса, а метрополия развивала ту же типологию у себя. Квартал застраивался по периметру вплотную к границам участка, с внутренним двором — форма, при которой отдельные здания срастаются в непрерывный массив.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Через четыре с половиной столетия эта норма читается как статистика: три из пяти городов с самой высокой застроенностью в выборке — испаноязычные, и все они дают аномально крупное медианное здание. Буэнос-Айрес доводит логику до предела: 42,6% земли под крышей и понятие «отдельного здания», фактически потерявшее операционный смысл.</w:t>
      </w:r>
    </w:p>
    <w:p>
      <w:pPr>
        <w:pStyle w:val="Heading3"/>
        <w:keepNext/>
        <w:spacing w:after="100" w:before="250" w:line="276" w:lineRule="auto"/>
      </w:pPr>
      <w:r>
        <w:rPr>
          <w:rFonts w:ascii="Cambria" w:cs="Cambria" w:eastAsia="Cambria" w:hAnsi="Cambria"/>
          <w:b/>
          <w:bCs/>
          <w:color w:val="52514E"/>
          <w:sz w:val="23"/>
          <w:szCs w:val="23"/>
        </w:rPr>
        <w:t xml:space="preserve">6.3. Москва: микрорайон как машина по расходованию земли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Застроенность 13,7% — минимум мира; 40 зданий свыше 10 000 м².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Переход к индустриальному панельному домостроению в конце 1950-х сопровождался принятием микрорайонной планировочной доктрины: базовой единицей города стала не улица и не квартал, а группа типовых корпусов в общем озеленённом пространстве, рассчитанная на определённое число жителей и обеспеченная нормативным набором обслуживания. Нормы инсоляции и противопожарные разрывы задавали минимальные расстояния между зданиями, а типовые серии — предельные размеры секции.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Оба ограничения видны в данных прямо. Разрывы дают минимальный в мире коэффициент застроенности. Типовые серии дают провал в верхней категории: при 11,0% зданий в диапазоне 1 000–10 000 м² объектов крупнее почти нет. Москва — город больших домов и очень немногих действительно крупных зданий.</w:t>
      </w:r>
    </w:p>
    <w:p>
      <w:pPr>
        <w:pStyle w:val="Heading3"/>
        <w:keepNext/>
        <w:spacing w:after="100" w:before="250" w:line="276" w:lineRule="auto"/>
      </w:pPr>
      <w:r>
        <w:rPr>
          <w:rFonts w:ascii="Cambria" w:cs="Cambria" w:eastAsia="Cambria" w:hAnsi="Cambria"/>
          <w:b/>
          <w:bCs/>
          <w:color w:val="52514E"/>
          <w:sz w:val="23"/>
          <w:szCs w:val="23"/>
        </w:rPr>
        <w:t xml:space="preserve">6.4. Берлин: 24 квадратных метра по закону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Джини 0,83 и доля верхнего процента 32,6% — оба максимума выборки при медиане 79 м².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Берлин совмещает в одном круге радиусом десять километров четыре несовместимых слоя: плотные периметральные кварталы эпохи грюндерцайта, модернистские жилые комплексы 1920-х, панельные районы ГДР и послевоенную застройку Запада. Но решающий вклад в мелкий хвост распределения вносит явление, не имеющее аналогов в других городах выборки: городские садовые товарищества.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В Берлине порядка семидесяти тысяч садовых участков, и федеральный закон о садовых товариществах прямо ограничивает площадь садового домика 24 квадратными метрами, включая крытую террасу. Десятки тысяч построек, чей предельный размер задан не рынком и не технологией, а строкой федерального закона, — редкий случай, когда правовая норма непосредственно видна в форме статистического распределения.</w:t>
      </w:r>
    </w:p>
    <w:p>
      <w:pPr>
        <w:pStyle w:val="Heading3"/>
        <w:keepNext/>
        <w:spacing w:after="100" w:before="250" w:line="276" w:lineRule="auto"/>
      </w:pPr>
      <w:r>
        <w:rPr>
          <w:rFonts w:ascii="Cambria" w:cs="Cambria" w:eastAsia="Cambria" w:hAnsi="Cambria"/>
          <w:b/>
          <w:bCs/>
          <w:color w:val="52514E"/>
          <w:sz w:val="23"/>
          <w:szCs w:val="23"/>
        </w:rPr>
        <w:t xml:space="preserve">6.5. Каир: город, выросший на границах полей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Застроенность 27,5% при медиане 135 м² и 74,5% зданий меньше 300 м².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Значительная часть каирского жилого фонда возникла как неформальная застройка на сельскохозяйственных землях в пойме Нила. Механизм роста был единообразным: земельный надел выкупался или занимался, на нём возводился железобетонный каркас, заполнявшийся красным кирпичом, и дом достраивался этаж за этажом по мере накопления средств семьёй — отсюда узнаваемый силуэт с торчащей арматурой незавершённого верхнего этажа.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Пятно застройки при этом наследует геометрию прежнего сельскохозяйственного надела: узкую полосу в несколько сотен квадратных метров. Итог — сочетание, редкое в мировой практике: мелкое зерно при высокой этажности и очень высокой плотности населения. Каирская застройка мелкая в плане и крупная в объёме.</w:t>
      </w:r>
    </w:p>
    <w:p>
      <w:pPr>
        <w:pStyle w:val="Heading3"/>
        <w:keepNext/>
        <w:spacing w:after="100" w:before="250" w:line="276" w:lineRule="auto"/>
      </w:pPr>
      <w:r>
        <w:rPr>
          <w:rFonts w:ascii="Cambria" w:cs="Cambria" w:eastAsia="Cambria" w:hAnsi="Cambria"/>
          <w:b/>
          <w:bCs/>
          <w:color w:val="52514E"/>
          <w:sz w:val="23"/>
          <w:szCs w:val="23"/>
        </w:rPr>
        <w:t xml:space="preserve">6.6. Лагос: мегаполис без крупных зданий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Джини 0,44, 99-й процентиль 1 260 м², максимум 21 428 м², 22 зданий свыше 10 000 м².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Лагос — самый ровный по размерам зданий мегаполис исследования. Здесь нет ни одного объекта, сопоставимого по пятну с типичным торговым центром европейской столицы, при том что население городской агломерации исчисляется двузначными миллионами. Верхний процент застройки держит всего 10,2% площади — вдвое меньше медианы по выборке.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Структурный смысл в том, что урбанизация Лагоса шла и продолжает идти преимущественно горизонтально и на частные средства домохозяйств. Крупные объёмы требуют либо институционального капитала, либо консолидации земли, либо и того и другого; в отсутствие обоих город прибавляет объекты, а не объёмы. Для оценки рынка это означает, что ёмкость измеряется не числом крупных проектов, а числом домохозяйств, строящих по одному этажу за раз.</w:t>
      </w:r>
    </w:p>
    <w:p>
      <w:pPr>
        <w:pStyle w:val="Heading3"/>
        <w:keepNext/>
        <w:spacing w:after="100" w:before="250" w:line="276" w:lineRule="auto"/>
      </w:pPr>
      <w:r>
        <w:rPr>
          <w:rFonts w:ascii="Cambria" w:cs="Cambria" w:eastAsia="Cambria" w:hAnsi="Cambria"/>
          <w:b/>
          <w:bCs/>
          <w:color w:val="52514E"/>
          <w:sz w:val="23"/>
          <w:szCs w:val="23"/>
        </w:rPr>
        <w:t xml:space="preserve">6.7. Лос-Анджелес: зонирование, ставшее ландшафтом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89,1% зданий меньше 300 м² — рекорд выборки — при плотности 994 объектов на квадратный километр.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Зонирование под односемейную застройку исторически покрывало большую часть жилой земли Лос-Анджелеса. Норма, ограничивающая участок одним домом на одну семью, действовала десятилетиями и была самоподдерживающейся: она формировала не только застройку, но и электорат, заинтересованный в её сохранении.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Результат виден в данных как чистый эксперимент: почти девять из десяти построек — мелкие, и это при том, что круг радиусом десять километров вокруг центра Лос-Анджелеса включает деловой даунтаун. Даже там, где ценность земли максимальна, регулирование не позволило укрупнить зерно.</w:t>
      </w:r>
    </w:p>
    <w:p>
      <w:pPr>
        <w:pStyle w:val="Heading3"/>
        <w:keepNext/>
        <w:spacing w:after="100" w:before="250" w:line="276" w:lineRule="auto"/>
      </w:pPr>
      <w:r>
        <w:rPr>
          <w:rFonts w:ascii="Cambria" w:cs="Cambria" w:eastAsia="Cambria" w:hAnsi="Cambria"/>
          <w:b/>
          <w:bCs/>
          <w:color w:val="52514E"/>
          <w:sz w:val="23"/>
          <w:szCs w:val="23"/>
        </w:rPr>
        <w:t xml:space="preserve">6.8. Мумбаи и Дели: коэффициент, ставший географией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Медианы 176 и 233 м²; в Дели 30,2% зданий приходится на категорию 300–1 000 м².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Индийские города — самый цитируемый в мировой урбанистике пример того, как норматив соотношения площади здания к площади участка формирует физическую форму города. Многолетнее жёсткое ограничение этого коэффициента на острове Мумбаи означало, что при огромном спросе на центральное расположение нельзя было строить вверх. Спрос нашёл выход в уплотнении людей внутри существующих объёмов и в разрастании города вширь.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Дели демонстрирует смежный механизм — «плотовую» застройку: участок нарезан по регламенту, на нём возводится трёх-четырёхэтажный дом на всю ширину надела, часто продаваемый поэтажно. Отсюда аномальная для мировой выборки концентрация в категории 300–1 000 м²: почти треть всего фонда. Дели — город, застроенный преимущественно зданиями одного размерного класса.</w:t>
      </w:r>
    </w:p>
    <w:p>
      <w:pPr>
        <w:pStyle w:val="Heading1"/>
        <w:pageBreakBefore/>
        <w:pBdr>
          <w:bottom w:val="single" w:color="104281" w:sz="12" w:space="8"/>
        </w:pBdr>
        <w:spacing w:after="260" w:before="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7. Что это значит для рынков</w:t>
      </w:r>
    </w:p>
    <w:p>
      <w:pPr>
        <w:spacing w:after="220" w:before="0" w:line="300" w:lineRule="auto"/>
        <w:jc w:val="both"/>
      </w:pPr>
      <w:r>
        <w:rPr>
          <w:rFonts w:ascii="Calibri" w:cs="Calibri" w:eastAsia="Calibri" w:hAnsi="Calibri"/>
          <w:i/>
          <w:iCs/>
          <w:color w:val="52514E"/>
          <w:sz w:val="23"/>
          <w:szCs w:val="23"/>
        </w:rPr>
        <w:t xml:space="preserve">Раздел переводит измеренную структуру в следствия для шести рынков. Это аналитическая интерпретация, выведенная из морфологии, а не результат измерения рыночных величин: данные о зданиях не содержат сведений о ценах, обороте и собственности.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7.1. Строительство и материалы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Адресный рынок по количеству объектов и по площади — это два разных рынка. Три четверти всех строительных объектов — здания меньше 300 м², но они дают лишь 24,1% площади. Половина всей застроенной площади приходится на категории от 1 000 м² и выше, где сосредоточено 6,4% объектов.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Практический вывод: производитель материалов, продающий через объём поставки на объект, работает с шестью процентами зданий; производитель, продающий через розницу и малых подрядчиков, — с семьюдесятью шестью процентами. Это разные каналы, разные логистические схемы и разные циклы спроса, и переносить оценку ёмкости с одного на другой некорректно.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7.2. Девелопмент и инвестиции в недвижимость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Контраст ядра из раздела 5.5 напрямую определяет применимость стандартных инвестиционных моделей. В городах первого типа деловой центр физически отделён и состоит из ограниченного числа крупных объектов — сегментация по классам работает, сделки крупные, сопоставимые объекты находятся. В городах второго типа — Стамбул, Дели, Джакарта, Мумбаи, Лагос — институционального продукта в привычном виде физически мало.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Отсюда следует не «эти рынки менее развиты», а «на этих рынках стоимость создаётся не там, где её ищет стандартная модель». Ёмкость определяется не числом башен, а способностью работать с фрагментированной собственностью: агрегацией участков, поэтажной продажей, кредитованием индивидуального застройщика.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7.3. Декарбонизация и энергоэффективность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auto" w:sz="0"/>
          <w:insideV w:val="none" w:color="auto" w:sz="0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none" w:color="auto" w:sz="0"/>
              <w:left w:val="single" w:color="256ABF" w:sz="18"/>
              <w:bottom w:val="none" w:color="auto" w:sz="0"/>
              <w:right w:val="none" w:color="auto" w:sz="0"/>
            </w:tcBorders>
            <w:shd w:fill="F2F6FD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 w:line="288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21"/>
                <w:szCs w:val="21"/>
              </w:rPr>
              <w:t xml:space="preserve">Структурный барьер модернизации</w:t>
            </w:r>
          </w:p>
          <w:p>
            <w:pPr>
              <w:spacing w:after="9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Программы повышения энергоэффективности почти везде проектируются под крупные здания: там ниже удельные транзакционные издержки на квадратный метр, есть профессиональный собственник и техническая служба. Но категория свыше 10 000 м² — это 0,22% зданий и 10,3% площади.</w:t>
            </w:r>
          </w:p>
          <w:p>
            <w:pPr>
              <w:spacing w:after="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Основная масса площади — 65,6% — находится в средних категориях от 300 до 10 000 м². Это здания, слишком большие для розничных решений и слишком мелкие для индивидуального инжинирингового подхода. Именно здесь, а не в небоскрёбах и не в частных домах, сосредоточен основной нерешённый объём задачи модернизации фонда.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Географическое измерение проблемы задаётся коэффициентом Джини. В однородных городах — Мельбурн, Лагос, Окленд, Сидней — типовое решение масштабируется: здания похожи, и одна технология покрывает большую долю фонда. В неоднородных — Берлин, Париж, Барселона, Буэнос-Айрес — любая типовая программа покрывает лишь часть фонда, и стоимость охвата растёт нелинейно.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7.4. Страхование и оценка риска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Концентрация площади в верхнем проценте объектов — прямой параметр катастрофического моделирования. В Берлине, Чикаго и Барселоне верхний процент держит 26–33% застроенной площади: портфельный риск концентрирован, его можно и нужно оценивать поимённо. В Лагосе, Стамбуле, Буэнос-Айресе и Москве — 13–16%: риск распределён, и работать приходится статистически.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Второй параметр — коэффициент застроенности, определяющий вероятность распространения ущерба между зданиями. При 42,6% земли под крышей и сплошной брандмауэрной застройке Буэнос-Айреса пожар, наводнение или сейсмическое воздействие затрагивают смежные объекты почти неизбежно; при 13,7% московских разрывов объекты изолированы. Одинаковый по силе внешний удар даёт в этих двух городах принципиально разные распределения убытка.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7.5. Логистика последней мили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Экономика доставки определяется числом адресов на километр маршрута. Разброс по выборке тринадцатикратный: от 204 зданий на квадратный километр в Буэнос-Айресе до 2 636 в Киншасе. Токио с 1 477 и Джакарта с 1 338 образуют плотный азиатский кластер.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При этом связь плотности адресов с плотностью населения не прямая. В Буэнос-Айресе мало зданий, но каждое содержит много квартир — доставка идёт в подъезд, а не к дому. В Киншасе и Токио каждое здание — отдельная точка. Первое благоприятствует пунктам выдачи и консолидации, второе — плотным пешим и мотоциклетным маршрутам. Модель юнит-экономики, перенесённая между этими двумя режимами без пересчёта, ошибётся на порядок.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7.6. Геоданные как рынок и как риск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Расхождение источников, описанное в разделе 8, имеет прямую коммерческую цену. Модель оценки рынка, построенная на числе объектов из одного источника, может ошибаться втрое — и это не случайная ошибка, а систематическое смещение, коррелирующее с типом застройки: сильнее всего оно там, где застройка сплошная, то есть в исторических центрах, где сосредоточена ценность.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Практическое правило по итогам калибровки: показатели площади и застроенности можно брать из любого качественного источника — расхождение в пределах десяти процентов. Показатели количества объектов требуют либо локальной валидации, либо явного указания источника как части определения показателя.</w:t>
      </w:r>
    </w:p>
    <w:p>
      <w:pPr>
        <w:pStyle w:val="Heading1"/>
        <w:pageBreakBefore/>
        <w:pBdr>
          <w:bottom w:val="single" w:color="104281" w:sz="12" w:space="8"/>
        </w:pBdr>
        <w:spacing w:after="260" w:before="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8. Расхождение источников как результат</w:t>
      </w:r>
    </w:p>
    <w:p>
      <w:pPr>
        <w:spacing w:after="220" w:before="0" w:line="300" w:lineRule="auto"/>
        <w:jc w:val="both"/>
      </w:pPr>
      <w:r>
        <w:rPr>
          <w:rFonts w:ascii="Calibri" w:cs="Calibri" w:eastAsia="Calibri" w:hAnsi="Calibri"/>
          <w:i/>
          <w:iCs/>
          <w:color w:val="52514E"/>
          <w:sz w:val="23"/>
          <w:szCs w:val="23"/>
        </w:rPr>
        <w:t xml:space="preserve">Сопоставление двух независимых глобальных наборов данных об одних и тех же городах даёт самостоятельный содержательный результат — и одновременно инструмент для различения морфологии и артефакта.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72175" cy="641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240" w:lineRule="auto"/>
        <w:jc w:val="left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Рис. 9.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Отношение числа зданий по контрольному источнику к числу зданий по основному. Значение 1,0 означает полное согласие источников.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Отношение меняется от 0,85 в Москве до 11,2 в Буэнос-Айресе. Разброс не случаен: он почти монотонно связан со сплошностью застройки. Там, где здания стоят отдельно — Лос-Анджелес, Чикаго, Мельбурн, Йоханнесбург, Барселона — источники согласны в пределах 40%. Там, где здания срослись брандмауэрами — Буэнос-Айрес, Богота, Сан-Паулу — расхождение достигает порядка.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Отсюда следует практический показатель.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Отношение числа объектов между «алгоритмически единым» и «локально полным» источником можно читать как индекс сплошности городской ткани — величину, которую иначе пришлось бы измерять полевым обследованием. Высокое значение означает не плохие данные, а брандмауэрную застройку.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15.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Устойчивость показателей к смене источника (медиана по 28 городам)</w:t>
      </w:r>
    </w:p>
    <w:tbl>
      <w:tblPr>
        <w:tblW w:type="dxa" w:w="9411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3953"/>
        <w:gridCol w:w="2823"/>
        <w:gridCol w:w="2635"/>
      </w:tblGrid>
      <w:tr>
        <w:trPr>
          <w:tblHeader/>
        </w:trPr>
        <w:tc>
          <w:tcPr>
            <w:tcW w:type="dxa" w:w="395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82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Медианное расхождение</w:t>
            </w:r>
          </w:p>
        </w:tc>
        <w:tc>
          <w:tcPr>
            <w:tcW w:type="dxa" w:w="263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8"/>
                <w:szCs w:val="18"/>
              </w:rPr>
              <w:t xml:space="preserve">Пригодность</w:t>
            </w:r>
          </w:p>
        </w:tc>
      </w:tr>
      <w:tr>
        <w:tc>
          <w:tcPr>
            <w:tcW w:type="dxa" w:w="395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Освоенная территория</w:t>
            </w:r>
          </w:p>
        </w:tc>
        <w:tc>
          <w:tcPr>
            <w:tcW w:type="dxa" w:w="28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4%</w:t>
            </w:r>
          </w:p>
        </w:tc>
        <w:tc>
          <w:tcPr>
            <w:tcW w:type="dxa" w:w="26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8"/>
                <w:szCs w:val="18"/>
              </w:rPr>
              <w:t xml:space="preserve">надёжен</w:t>
            </w:r>
          </w:p>
        </w:tc>
      </w:tr>
      <w:tr>
        <w:tc>
          <w:tcPr>
            <w:tcW w:type="dxa" w:w="395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Коэффициент застроенности</w:t>
            </w:r>
          </w:p>
        </w:tc>
        <w:tc>
          <w:tcPr>
            <w:tcW w:type="dxa" w:w="28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6%</w:t>
            </w:r>
          </w:p>
        </w:tc>
        <w:tc>
          <w:tcPr>
            <w:tcW w:type="dxa" w:w="26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8"/>
                <w:szCs w:val="18"/>
              </w:rPr>
              <w:t xml:space="preserve">надёжен</w:t>
            </w:r>
          </w:p>
        </w:tc>
      </w:tr>
      <w:tr>
        <w:tc>
          <w:tcPr>
            <w:tcW w:type="dxa" w:w="395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Суммарное пятно застройки</w:t>
            </w:r>
          </w:p>
        </w:tc>
        <w:tc>
          <w:tcPr>
            <w:tcW w:type="dxa" w:w="28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10%</w:t>
            </w:r>
          </w:p>
        </w:tc>
        <w:tc>
          <w:tcPr>
            <w:tcW w:type="dxa" w:w="26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8"/>
                <w:szCs w:val="18"/>
              </w:rPr>
              <w:t xml:space="preserve">надёжен</w:t>
            </w:r>
          </w:p>
        </w:tc>
      </w:tr>
      <w:tr>
        <w:tc>
          <w:tcPr>
            <w:tcW w:type="dxa" w:w="395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Медианное пятно</w:t>
            </w:r>
          </w:p>
        </w:tc>
        <w:tc>
          <w:tcPr>
            <w:tcW w:type="dxa" w:w="28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в 1,7 раза</w:t>
            </w:r>
          </w:p>
        </w:tc>
        <w:tc>
          <w:tcPr>
            <w:tcW w:type="dxa" w:w="26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C835A"/>
                <w:sz w:val="18"/>
                <w:szCs w:val="18"/>
              </w:rPr>
              <w:t xml:space="preserve">зависит от источника</w:t>
            </w:r>
          </w:p>
        </w:tc>
      </w:tr>
      <w:tr>
        <w:tc>
          <w:tcPr>
            <w:tcW w:type="dxa" w:w="395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Число зданий</w:t>
            </w:r>
          </w:p>
        </w:tc>
        <w:tc>
          <w:tcPr>
            <w:tcW w:type="dxa" w:w="28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в 2,1 раза</w:t>
            </w:r>
          </w:p>
        </w:tc>
        <w:tc>
          <w:tcPr>
            <w:tcW w:type="dxa" w:w="263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C835A"/>
                <w:sz w:val="18"/>
                <w:szCs w:val="18"/>
              </w:rPr>
              <w:t xml:space="preserve">зависит от источника</w:t>
            </w:r>
          </w:p>
        </w:tc>
      </w:tr>
      <w:tr>
        <w:tc>
          <w:tcPr>
            <w:tcW w:type="dxa" w:w="395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99-й процентиль</w:t>
            </w:r>
          </w:p>
        </w:tc>
        <w:tc>
          <w:tcPr>
            <w:tcW w:type="dxa" w:w="28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в 2,3 раза</w:t>
            </w:r>
          </w:p>
        </w:tc>
        <w:tc>
          <w:tcPr>
            <w:tcW w:type="dxa" w:w="263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8"/>
                <w:szCs w:val="18"/>
              </w:rPr>
              <w:t xml:space="preserve">несопоставим</w:t>
            </w:r>
          </w:p>
        </w:tc>
      </w:tr>
    </w:tbl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Это ключевое ограничение всего исследования и одновременно его методологический вклад. Все выводы о площади, застроенности и распределении массы устойчивы. Все выводы о количестве объектов и о медианном размере верны в рамках единой методики сегментации и должны читаться как характеристика морфологического типа, а не как перепись строений.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auto" w:sz="0"/>
          <w:insideV w:val="none" w:color="auto" w:sz="0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none" w:color="auto" w:sz="0"/>
              <w:left w:val="single" w:color="256ABF" w:sz="18"/>
              <w:bottom w:val="none" w:color="auto" w:sz="0"/>
              <w:right w:val="none" w:color="auto" w:sz="0"/>
            </w:tcBorders>
            <w:shd w:fill="F2F6FD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 w:line="288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21"/>
                <w:szCs w:val="21"/>
              </w:rPr>
              <w:t xml:space="preserve">Почему основным выбран менее полный источник</w:t>
            </w:r>
          </w:p>
          <w:p>
            <w:pPr>
              <w:spacing w:after="9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Контрольный источник полнее, но его полнота неравномерна: она зависит от наличия кадастра и активности картографического сообщества в конкретной стране. Сравнивая по нему Париж и Лагос, мы сравнивали бы качество картографирования, а не города.</w:t>
            </w:r>
          </w:p>
          <w:p>
            <w:pPr>
              <w:spacing w:after="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Основной источник применяет один и тот же алгоритм к одинаковым спутниковым снимкам во всём мире. Он видит мир одинаково неточно — и именно поэтому пригоден для сравнения. Полноту контрольного источника мы используем там, где основной имеет пробел, и как инструмент калибровки.</w:t>
            </w:r>
          </w:p>
        </w:tc>
      </w:tr>
    </w:tbl>
    <w:p>
      <w:pPr>
        <w:pStyle w:val="Heading1"/>
        <w:pageBreakBefore/>
        <w:pBdr>
          <w:bottom w:val="single" w:color="104281" w:sz="12" w:space="8"/>
        </w:pBdr>
        <w:spacing w:after="260" w:before="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9. Выводы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9.1. О структуре мирового городского фонда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Городской фонд мира мелкозернист по количеству и среднекрупен по площади.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76,5% зданий меньше 300 м², но они дают лишь 24,1% площади. Половина всей застроенной площади (51,8%) сосредоточена в объектах крупнее 1 000 м², которых всего 6,4%. Любая политика, работающая с количеством, и любая политика, работающая с площадью, адресуются к почти непересекающимся частям фонда.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Средняя постройка мегаполиса — небольшой дом.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Среднее пятно застройки по всей выборке — 365 м². Мировой город устроен не из башен и не из заводов, а из массы мелких строений, между которыми изредка встречаются крупные.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9.2. О различиях между городами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Различия задаются правом и историей, а не географией и не доходом.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Континент оказался слабым предиктором: африканский Найроби и североамериканский Лос-Анджелес морфологически ближе друг к другу, чем Мадрид и Берлин. Зато почти каждое крайнее значение в выборке имеет конкретное правовое или историческое объяснение — от испанских градостроительных предписаний XVI века до немецкого закона о садовых участках и японского порядка амортизации жилья.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Города обменивают количество зданий на их размер при слабо меняющейся суммарной массе.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Плотность объектов различается семикратно, средний размер — десятикратно, а коэффициент застроенности укладывается в трёхкратный диапазон. Отклонение показателя связи от единичного (−0,82 вместо −1) означает, что укрупнение зерна систематически сопровождается более интенсивным использованием земли.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Ключевое различие между городами — не высота, а устройство центра.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Города первого типа имеют специализированное деловое ядро, отличающееся от остального города на 49–57 процентных пунктов по доле мелких зданий. Города второго типа — непрерывную ткань, где ядро не отличается от периферии или даже мельче её. Это разделение важнее континентального и предсказывает применимость стандартных инвестиционных, страховых и регуляторных моделей.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Модернистская доктрина оставила самый заметный след.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Москва и Сеул, разделённые идеологией и полувеком, дают одинаково низкий коэффициент застроенности (13,7% и 16,2%) — потому что обе решали задачу быстрого индустриального расселения. Форма застройки следует за методом её производства.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9.3. О данных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Застроенная масса измеряется надёжно, количество объектов — нет.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Два независимых глобальных источника сходятся в пределах 4–10% по освоенной территории, коэффициенту застроенности и суммарному пятну застройки, но расходятся в 2,1 раза по числу зданий и в 1,7 раза по медианному размеру. Расхождение не случайно: оно максимально там, где застройка сплошная.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Пробелы покрытия географически смещены.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Основной источник практически не видит Киншасу — семнадцатимиллионный город — и не покрывает Китай, Корею и Новую Зеландию. Любая глобальная модель на одном источнике воспроизведёт его слепые пятна как отсутствие рынка.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9.4. Практические рекомендации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Для оценки рынков.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Оценивайте ёмкость через площадь и коэффициент застроенности; число объектов используйте только с явным указанием источника как части определения показателя.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Для программ модернизации фонда.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Основной нерешённый объём — категории от 300 до 10 000 м², где сосредоточено 65,6% площади. Инструменты, разработанные для крупных зданий, покрывают десятую часть задачи.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Для страхования.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Различайте города по концентрации (верхний процент держит от 10% до 33% площади) и по коэффициенту застроенности, определяющему вероятность распространения ущерба между смежными объектами.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Для логистики.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Плотность адресов различается тринадцатикратно и слабо связана с плотностью населения; юнит-экономику нельзя переносить между режимами «много мелких зданий» и «мало крупных» без пересчёта.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Для градостроительной политики. 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Коэффициент Джини по размерам зданий предсказывает, будет ли работать типовое решение: в однородных городах масштабируется, в неоднородных стоимость охвата растёт нелинейно.</w:t>
      </w:r>
    </w:p>
    <w:p>
      <w:pPr>
        <w:spacing w:after="200"/>
      </w:pP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auto" w:sz="0"/>
          <w:insideV w:val="none" w:color="auto" w:sz="0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tcBorders>
              <w:top w:val="none" w:color="auto" w:sz="0"/>
              <w:left w:val="single" w:color="256ABF" w:sz="18"/>
              <w:bottom w:val="none" w:color="auto" w:sz="0"/>
              <w:right w:val="none" w:color="auto" w:sz="0"/>
            </w:tcBorders>
            <w:shd w:fill="F2F6FD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 w:line="288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21"/>
                <w:szCs w:val="21"/>
              </w:rPr>
              <w:t xml:space="preserve">Главный вывод</w:t>
            </w:r>
          </w:p>
          <w:p>
            <w:pPr>
              <w:spacing w:after="9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Размер здания — это застывшее решение. За медианой в 94 квадратных метра в Токио стоит порядок амортизации и налог на наследство; за 341 квадратным метром в Мадриде — предписание испанской короны о форме квартала; за 13,7 процента застроенности в Москве — норматив инсоляции; за двадцатью четырьмя метрами берлинского садового домика — строка федерального закона.</w:t>
            </w:r>
          </w:p>
          <w:p>
            <w:pPr>
              <w:spacing w:after="0" w:before="0" w:line="288" w:lineRule="auto"/>
              <w:jc w:val="both"/>
            </w:pPr>
            <w:r>
              <w:rPr>
                <w:rFonts w:ascii="Calibri" w:cs="Calibri" w:eastAsia="Calibri" w:hAnsi="Calibri"/>
                <w:color w:val="0B0B0B"/>
                <w:sz w:val="21"/>
                <w:szCs w:val="21"/>
              </w:rPr>
              <w:t xml:space="preserve">Города различаются не потому, что различаются их климат, рельеф или доход, а потому, что различаются правила, по которым в них можно строить. Спутниковые контуры зданий оказываются точным и полностью объективным способом эти правила прочитать.</w:t>
            </w:r>
          </w:p>
        </w:tc>
      </w:tr>
    </w:tbl>
    <w:p>
      <w:pPr>
        <w:sectPr>
          <w:footerReference w:type="default" r:id="rId7"/>
          <w:pgSz w:w="11905" w:h="16837" w:orient="portrait"/>
          <w:pgMar w:top="1133" w:right="1247" w:bottom="1133" w:left="1247" w:header="708" w:footer="623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104281" w:sz="12" w:space="8"/>
        </w:pBdr>
        <w:spacing w:after="260" w:before="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Приложение А. Полная таблица метрик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Основной срез: Microsoft GlobalMLBuildingFootprints, выпуск от 3 февраля 2026 г. Круг радиусом 10 км вокруг центра города, площадь 314,2 км². Города упорядочены по числу зданий.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16.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Размерная структура и морфологические показатели, 28 городов</w:t>
      </w:r>
    </w:p>
    <w:tbl>
      <w:tblPr>
        <w:tblW w:type="dxa" w:w="14796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2114"/>
        <w:gridCol w:w="1550"/>
        <w:gridCol w:w="1268"/>
        <w:gridCol w:w="1268"/>
        <w:gridCol w:w="1268"/>
        <w:gridCol w:w="1268"/>
        <w:gridCol w:w="1268"/>
        <w:gridCol w:w="1268"/>
        <w:gridCol w:w="1127"/>
        <w:gridCol w:w="1127"/>
        <w:gridCol w:w="1270"/>
      </w:tblGrid>
      <w:tr>
        <w:trPr>
          <w:tblHeader/>
        </w:trPr>
        <w:tc>
          <w:tcPr>
            <w:tcW w:type="dxa" w:w="2114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Город</w:t>
            </w:r>
          </w:p>
        </w:tc>
        <w:tc>
          <w:tcPr>
            <w:tcW w:type="dxa" w:w="155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Зданий</w:t>
            </w:r>
          </w:p>
        </w:tc>
        <w:tc>
          <w:tcPr>
            <w:tcW w:type="dxa" w:w="126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до 300</w:t>
            </w:r>
          </w:p>
        </w:tc>
        <w:tc>
          <w:tcPr>
            <w:tcW w:type="dxa" w:w="126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300–1к</w:t>
            </w:r>
          </w:p>
        </w:tc>
        <w:tc>
          <w:tcPr>
            <w:tcW w:type="dxa" w:w="126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1к–10к</w:t>
            </w:r>
          </w:p>
        </w:tc>
        <w:tc>
          <w:tcPr>
            <w:tcW w:type="dxa" w:w="126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&gt;10к, шт.</w:t>
            </w:r>
          </w:p>
        </w:tc>
        <w:tc>
          <w:tcPr>
            <w:tcW w:type="dxa" w:w="126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Медиана</w:t>
            </w:r>
          </w:p>
        </w:tc>
        <w:tc>
          <w:tcPr>
            <w:tcW w:type="dxa" w:w="126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Среднее</w:t>
            </w:r>
          </w:p>
        </w:tc>
        <w:tc>
          <w:tcPr>
            <w:tcW w:type="dxa" w:w="1127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Джини</w:t>
            </w:r>
          </w:p>
        </w:tc>
        <w:tc>
          <w:tcPr>
            <w:tcW w:type="dxa" w:w="1127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Застр.</w:t>
            </w:r>
          </w:p>
        </w:tc>
        <w:tc>
          <w:tcPr>
            <w:tcW w:type="dxa" w:w="127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Зд./км²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Джакарта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418 243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78,8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17,5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3,6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142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127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251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0,59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33,6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1 338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Токио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410 685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87,0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9,8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3,1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137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94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207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0,60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30,6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1 477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Лос-Анджелес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300 673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89,1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7,9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2,9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410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142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253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0,57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25,2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994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Каир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288 842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74,5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20,9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4,6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142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135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287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0,62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27,5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959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Мехико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284 677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75,9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16,7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7,2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477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119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379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0,71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35,0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924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Йоханнесбург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253 874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86,6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11,2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2,1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203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103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208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0,62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19,3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929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Найроби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218 130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84,6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13,2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2,1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119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107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208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0,59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18,4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884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Мельбурн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209 275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82,3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14,8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2,8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212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185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291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0,47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23,1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793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Манила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199 447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74,2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19,9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5,8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242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138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332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0,65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31,2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939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Сан-Паулу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192 322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69,0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19,9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10,7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789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171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537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0,71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38,2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712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Лондон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166 438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66,0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25,8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8,0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238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194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423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0,63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23,4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554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Дакка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164 657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72,8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20,6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6,4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260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149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361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0,66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22,8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631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Лима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163 052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70,4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18,7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10,6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575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143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524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0,74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31,9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610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Чикаго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162 348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87,9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8,4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3,5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286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110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256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0,66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23,5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916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Стамбул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152 862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61,0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31,7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7,3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66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222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388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0,57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29,1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751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Париж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138 346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71,3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16,5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11,4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1 080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129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619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0,78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28,6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461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Лагос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137 053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70,8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27,5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1,6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22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211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268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0,44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21,3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795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Рио-де-Жанейро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128 881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83,5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11,7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4,7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187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103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287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0,69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24,2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841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Берлин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125 479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80,2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11,1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7,8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1 147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79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514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0,83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21,6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421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Дели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123 687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57,3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30,2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12,3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281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233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538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0,65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23,6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438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Торонто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109 658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84,8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11,1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4,0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177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146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298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0,57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19,5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656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Москва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102 765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65,4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23,5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11,0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40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123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404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0,69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13,7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338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Нью-Йорк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97 704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71,0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15,8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12,6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563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155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619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0,73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27,1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438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Барселона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95 665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75,8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15,3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8,6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316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96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423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0,77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24,2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573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Мумбаи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87 812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67,3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25,5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7,0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173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176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403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0,66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24,5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607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Богота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73 561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57,9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22,9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18,8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329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207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758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0,72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24,4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322</w:t>
            </w:r>
          </w:p>
        </w:tc>
      </w:tr>
      <w:tr>
        <w:tc>
          <w:tcPr>
            <w:tcW w:type="dxa" w:w="211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Мадрид</w:t>
            </w:r>
          </w:p>
        </w:tc>
        <w:tc>
          <w:tcPr>
            <w:tcW w:type="dxa" w:w="15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55 343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46,4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30,6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22,3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400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341</w:t>
            </w:r>
          </w:p>
        </w:tc>
        <w:tc>
          <w:tcPr>
            <w:tcW w:type="dxa" w:w="12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921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0,68</w:t>
            </w:r>
          </w:p>
        </w:tc>
        <w:tc>
          <w:tcPr>
            <w:tcW w:type="dxa" w:w="112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21,8</w:t>
            </w:r>
          </w:p>
        </w:tc>
        <w:tc>
          <w:tcPr>
            <w:tcW w:type="dxa" w:w="12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237</w:t>
            </w:r>
          </w:p>
        </w:tc>
      </w:tr>
      <w:tr>
        <w:tc>
          <w:tcPr>
            <w:tcW w:type="dxa" w:w="2114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Буэнос-Айрес</w:t>
            </w:r>
          </w:p>
        </w:tc>
        <w:tc>
          <w:tcPr>
            <w:tcW w:type="dxa" w:w="15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37 083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48,2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17,1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29,5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1 930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339</w:t>
            </w:r>
          </w:p>
        </w:tc>
        <w:tc>
          <w:tcPr>
            <w:tcW w:type="dxa" w:w="126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2 095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0,75</w:t>
            </w:r>
          </w:p>
        </w:tc>
        <w:tc>
          <w:tcPr>
            <w:tcW w:type="dxa" w:w="112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42,6</w:t>
            </w:r>
          </w:p>
        </w:tc>
        <w:tc>
          <w:tcPr>
            <w:tcW w:type="dxa" w:w="12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204</w:t>
            </w:r>
          </w:p>
        </w:tc>
      </w:tr>
    </w:tbl>
    <w:p>
      <w:pPr>
        <w:spacing w:after="200" w:before="60" w:line="230" w:lineRule="auto"/>
        <w:jc w:val="left"/>
      </w:pP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Доли категорий — в процентах от числа зданий. Медиана и среднее — площадь пятна застройки, м². Застр. — коэффициент застроенности освоенной территории, %. Зд./км² — зданий на км² освоенной территории.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17.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Распределение площади и концентрация, 28 городов</w:t>
      </w:r>
    </w:p>
    <w:tbl>
      <w:tblPr>
        <w:tblW w:type="dxa" w:w="14796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2367"/>
        <w:gridCol w:w="1776"/>
        <w:gridCol w:w="1923"/>
        <w:gridCol w:w="1628"/>
        <w:gridCol w:w="1628"/>
        <w:gridCol w:w="1628"/>
        <w:gridCol w:w="1776"/>
        <w:gridCol w:w="2070"/>
      </w:tblGrid>
      <w:tr>
        <w:trPr>
          <w:tblHeader/>
        </w:trPr>
        <w:tc>
          <w:tcPr>
            <w:tcW w:type="dxa" w:w="2367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Город</w:t>
            </w:r>
          </w:p>
        </w:tc>
        <w:tc>
          <w:tcPr>
            <w:tcW w:type="dxa" w:w="1776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Пятно, км²</w:t>
            </w:r>
          </w:p>
        </w:tc>
        <w:tc>
          <w:tcPr>
            <w:tcW w:type="dxa" w:w="1923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Освоено, км²</w:t>
            </w:r>
          </w:p>
        </w:tc>
        <w:tc>
          <w:tcPr>
            <w:tcW w:type="dxa" w:w="162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10-й проц.</w:t>
            </w:r>
          </w:p>
        </w:tc>
        <w:tc>
          <w:tcPr>
            <w:tcW w:type="dxa" w:w="162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90-й проц.</w:t>
            </w:r>
          </w:p>
        </w:tc>
        <w:tc>
          <w:tcPr>
            <w:tcW w:type="dxa" w:w="162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99-й проц.</w:t>
            </w:r>
          </w:p>
        </w:tc>
        <w:tc>
          <w:tcPr>
            <w:tcW w:type="dxa" w:w="1776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Максимум</w:t>
            </w:r>
          </w:p>
        </w:tc>
        <w:tc>
          <w:tcPr>
            <w:tcW w:type="dxa" w:w="207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Верхний 1%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Джакарта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104,9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312,6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33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515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2 036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207 740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15,3%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Токио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85,1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278,1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40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382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2 055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91 685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19,0%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Лос-Анджелес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76,2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302,6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50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319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2 684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134 594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25,5%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Каир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82,8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301,1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29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610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2 325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207 530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16,2%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Мехико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107,9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308,0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741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4 755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89 879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21,9%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Йоханнесбург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52,7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273,4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350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2 034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76 727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23,7%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Найроби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45,4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246,8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388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1 771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48 383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19,4%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Мельбурн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60,9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263,8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104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406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2 264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122 854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19,0%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Манила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66,3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212,4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33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656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3 320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72 963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19,7%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Сан-Паулу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103,2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270,3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36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1 119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6 636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112 580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20,5%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Лондон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70,4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300,7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32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865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3 990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85 945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17,7%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Дакка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59,5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261,1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32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722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3 424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185 770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21,4%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Лима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85,4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267,4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34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1 101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6 443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140 820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21,1%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Чикаго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41,6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177,2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42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362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3 212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80 028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28,7%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Стамбул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59,3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203,6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38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817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2 842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61 703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12,6%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Париж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85,7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299,9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1 290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8 784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93 497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24,3%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Лагос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36,7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172,3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54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485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1 260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21 428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10,2%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Рио-де-Жанейро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37,0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153,2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32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508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3 647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88 346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24,5%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Берлин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64,4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298,2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852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9 384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72 516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32,6%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Дели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66,5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282,2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34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1 178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4 625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176 029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18,0%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Торонто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32,6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167,3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80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440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2 993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140 398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23,8%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Москва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41,5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304,4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1 062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3 394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37 786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13,1%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Нью-Йорк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60,4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223,3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59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1 351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7 751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104 103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21,3%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Барселона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40,5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167,1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889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5 393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257 950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26,2%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Мумбаи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35,4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144,6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34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785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3 644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98 098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21,8%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Богота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55,8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228,6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38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1 999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7 045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87 698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15,8%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Мадрид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51,0</w:t>
            </w:r>
          </w:p>
        </w:tc>
        <w:tc>
          <w:tcPr>
            <w:tcW w:type="dxa" w:w="192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233,7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37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2 240</w:t>
            </w:r>
          </w:p>
        </w:tc>
        <w:tc>
          <w:tcPr>
            <w:tcW w:type="dxa" w:w="162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8 684</w:t>
            </w:r>
          </w:p>
        </w:tc>
        <w:tc>
          <w:tcPr>
            <w:tcW w:type="dxa" w:w="177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220 235</w:t>
            </w:r>
          </w:p>
        </w:tc>
        <w:tc>
          <w:tcPr>
            <w:tcW w:type="dxa" w:w="207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15,2%</w:t>
            </w:r>
          </w:p>
        </w:tc>
      </w:tr>
      <w:tr>
        <w:tc>
          <w:tcPr>
            <w:tcW w:type="dxa" w:w="236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Буэнос-Айрес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77,7</w:t>
            </w:r>
          </w:p>
        </w:tc>
        <w:tc>
          <w:tcPr>
            <w:tcW w:type="dxa" w:w="1923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182,1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37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6 882</w:t>
            </w:r>
          </w:p>
        </w:tc>
        <w:tc>
          <w:tcPr>
            <w:tcW w:type="dxa" w:w="162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16 777</w:t>
            </w:r>
          </w:p>
        </w:tc>
        <w:tc>
          <w:tcPr>
            <w:tcW w:type="dxa" w:w="177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119 512</w:t>
            </w:r>
          </w:p>
        </w:tc>
        <w:tc>
          <w:tcPr>
            <w:tcW w:type="dxa" w:w="207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13,1%</w:t>
            </w:r>
          </w:p>
        </w:tc>
      </w:tr>
    </w:tbl>
    <w:p>
      <w:pPr>
        <w:spacing w:after="200" w:before="60" w:line="230" w:lineRule="auto"/>
        <w:jc w:val="left"/>
      </w:pP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Процентили и максимум — площадь пятна застройки, м². Верхний 1% — доля суммарной площади, приходящаяся на 1% крупнейших зданий.</w:t>
      </w:r>
    </w:p>
    <w:p>
      <w:pPr>
        <w:pStyle w:val="Heading1"/>
        <w:pageBreakBefore/>
        <w:pBdr>
          <w:bottom w:val="single" w:color="104281" w:sz="12" w:space="8"/>
        </w:pBdr>
        <w:spacing w:after="260" w:before="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Приложение Б. Контрольный срез</w:t>
      </w:r>
    </w:p>
    <w:p>
      <w:pPr>
        <w:spacing w:after="140" w:before="0" w:line="288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Overture Maps Foundation, выпуск 2026-08-19.0. Та же геометрия наблюдения. Включает пять городов, отсутствующих в основном срезе: Шанхай, Сеул, Окленд, Киншасу и станцию Мак-Мёрдо.</w:t>
      </w:r>
    </w:p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18.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Размерная структура по контрольному источнику, 34 города</w:t>
      </w:r>
    </w:p>
    <w:tbl>
      <w:tblPr>
        <w:tblW w:type="dxa" w:w="14796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2466"/>
        <w:gridCol w:w="1850"/>
        <w:gridCol w:w="1541"/>
        <w:gridCol w:w="1541"/>
        <w:gridCol w:w="1541"/>
        <w:gridCol w:w="1541"/>
        <w:gridCol w:w="1541"/>
        <w:gridCol w:w="1387"/>
        <w:gridCol w:w="1388"/>
      </w:tblGrid>
      <w:tr>
        <w:trPr>
          <w:tblHeader/>
        </w:trPr>
        <w:tc>
          <w:tcPr>
            <w:tcW w:type="dxa" w:w="2466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Город</w:t>
            </w:r>
          </w:p>
        </w:tc>
        <w:tc>
          <w:tcPr>
            <w:tcW w:type="dxa" w:w="185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Зданий</w:t>
            </w:r>
          </w:p>
        </w:tc>
        <w:tc>
          <w:tcPr>
            <w:tcW w:type="dxa" w:w="1541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до 300</w:t>
            </w:r>
          </w:p>
        </w:tc>
        <w:tc>
          <w:tcPr>
            <w:tcW w:type="dxa" w:w="1541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300–1к</w:t>
            </w:r>
          </w:p>
        </w:tc>
        <w:tc>
          <w:tcPr>
            <w:tcW w:type="dxa" w:w="1541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1к–10к</w:t>
            </w:r>
          </w:p>
        </w:tc>
        <w:tc>
          <w:tcPr>
            <w:tcW w:type="dxa" w:w="1541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&gt;10к, шт.</w:t>
            </w:r>
          </w:p>
        </w:tc>
        <w:tc>
          <w:tcPr>
            <w:tcW w:type="dxa" w:w="1541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Медиана</w:t>
            </w:r>
          </w:p>
        </w:tc>
        <w:tc>
          <w:tcPr>
            <w:tcW w:type="dxa" w:w="1387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Джини</w:t>
            </w:r>
          </w:p>
        </w:tc>
        <w:tc>
          <w:tcPr>
            <w:tcW w:type="dxa" w:w="1388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Застр.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Джакарта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965 266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95,0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4,2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0,8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139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70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0,53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36,0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Сан-Паулу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887 324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92,5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6,4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1,0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172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84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0,55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38,5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Богота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741 110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95,9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3,4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0,7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244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36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0,69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25,6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Токио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710 663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93,9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4,8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1,3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140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63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0,58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31,0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Манила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564 581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91,2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7,5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1,3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178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66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0,62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37,8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Дакка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555 260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94,8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4,7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33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71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0,51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21,5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Киншаса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514 058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96,5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3,2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0,4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32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58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0,52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24,6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Лима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504 731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91,5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7,2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1,3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88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75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0,59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25,9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Мехико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476 263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84,3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12,1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3,6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306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92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0,68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35,2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Париж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427 413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85,5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11,3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3,2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257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76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0,69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27,5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Буэнос-Айрес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414 095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94,0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4,6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1,4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138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57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0,63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28,1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Лос-Анджелес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407 694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90,0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7,7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2,2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305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122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0,59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26,6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Найроби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400 799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92,0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7,0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1,0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55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55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0,62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19,3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Лондон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398 665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87,3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10,1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2,6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116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77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0,61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23,8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Дели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337 341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90,2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8,5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1,3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73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73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0,60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16,7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Йоханнесбург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335 143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89,3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9,1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1,5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209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67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0,65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19,9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Нью-Йорк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315 688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89,5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7,6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2,9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345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103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0,60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28,5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Лагос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312 562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88,9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10,4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0,7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84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0,55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25,1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Каир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289 836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84,8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13,2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2,0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83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80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0,63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17,0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Мельбурн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268 513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86,1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11,8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2,0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168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161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0,47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24,0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Стамбул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254 018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84,7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13,9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1,4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59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132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0,49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25,9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Мумбаи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237 791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86,6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11,2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2,1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114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56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0,68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20,0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Рио-де-Жанейро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235 884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90,4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8,1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1,5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64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75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0,60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23,2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Сеул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234 036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88,1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9,6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2,2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68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85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0,60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16,2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Чикаго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233 913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92,0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5,4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2,5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252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99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0,63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24,9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Берлин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231 186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79,2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17,2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3,6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168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91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0,67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19,1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Окленд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225 588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92,5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6,1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1,3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53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131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0,49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18,8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Торонто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183 794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92,1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5,4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2,4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131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114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0,53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20,8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Сидней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177 566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82,3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15,0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2,7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99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181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0,47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19,9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Шанхай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174 452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60,0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33,6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6,3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235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210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0,60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22,4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Мадрид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154 201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71,5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23,1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5,3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175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167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0,61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19,9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Барселона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125 109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73,4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20,8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5,6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216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149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0,65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25,9</w:t>
            </w:r>
          </w:p>
        </w:tc>
      </w:tr>
      <w:tr>
        <w:tc>
          <w:tcPr>
            <w:tcW w:type="dxa" w:w="2466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Москва</w:t>
            </w:r>
          </w:p>
        </w:tc>
        <w:tc>
          <w:tcPr>
            <w:tcW w:type="dxa" w:w="18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87 161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52,9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29,8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17,0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317</w:t>
            </w:r>
          </w:p>
        </w:tc>
        <w:tc>
          <w:tcPr>
            <w:tcW w:type="dxa" w:w="154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259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0,68</w:t>
            </w:r>
          </w:p>
        </w:tc>
        <w:tc>
          <w:tcPr>
            <w:tcW w:type="dxa" w:w="138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18,8</w:t>
            </w:r>
          </w:p>
        </w:tc>
      </w:tr>
      <w:tr>
        <w:tc>
          <w:tcPr>
            <w:tcW w:type="dxa" w:w="2466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Мак-Мёрдо</w:t>
            </w:r>
          </w:p>
        </w:tc>
        <w:tc>
          <w:tcPr>
            <w:tcW w:type="dxa" w:w="185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409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83,4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14,4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2,2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154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62</w:t>
            </w:r>
          </w:p>
        </w:tc>
        <w:tc>
          <w:tcPr>
            <w:tcW w:type="dxa" w:w="1387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0,62</w:t>
            </w:r>
          </w:p>
        </w:tc>
        <w:tc>
          <w:tcPr>
            <w:tcW w:type="dxa" w:w="1388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1,7</w:t>
            </w:r>
          </w:p>
        </w:tc>
      </w:tr>
    </w:tbl>
    <w:p>
      <w:pPr>
        <w:keepNext/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04281"/>
          <w:sz w:val="17"/>
          <w:szCs w:val="17"/>
        </w:rPr>
        <w:t xml:space="preserve">Табл. 19. </w:t>
      </w:r>
      <w:r>
        <w:rPr>
          <w:rFonts w:ascii="Calibri" w:cs="Calibri" w:eastAsia="Calibri" w:hAnsi="Calibri"/>
          <w:color w:val="52514E"/>
          <w:sz w:val="17"/>
          <w:szCs w:val="17"/>
        </w:rPr>
        <w:t xml:space="preserve">Сопоставление источников по городам</w:t>
      </w:r>
    </w:p>
    <w:tbl>
      <w:tblPr>
        <w:tblW w:type="dxa" w:w="14796"/>
        <w:tblBorders>
          <w:top w:val="single" w:color="104281" w:sz="10"/>
          <w:left w:val="none" w:color="auto" w:sz="0"/>
          <w:bottom w:val="single" w:color="104281" w:sz="10"/>
          <w:right w:val="none" w:color="auto" w:sz="0"/>
          <w:insideH w:val="single" w:color="E1E0D9" w:sz="4"/>
          <w:insideV w:val="none" w:color="auto" w:sz="0"/>
        </w:tblBorders>
      </w:tblPr>
      <w:tblGrid>
        <w:gridCol w:w="3255"/>
        <w:gridCol w:w="2811"/>
        <w:gridCol w:w="2811"/>
        <w:gridCol w:w="2959"/>
        <w:gridCol w:w="2960"/>
      </w:tblGrid>
      <w:tr>
        <w:trPr>
          <w:tblHeader/>
        </w:trPr>
        <w:tc>
          <w:tcPr>
            <w:tcW w:type="dxa" w:w="3255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Город</w:t>
            </w:r>
          </w:p>
        </w:tc>
        <w:tc>
          <w:tcPr>
            <w:tcW w:type="dxa" w:w="2811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Microsoft, зданий</w:t>
            </w:r>
          </w:p>
        </w:tc>
        <w:tc>
          <w:tcPr>
            <w:tcW w:type="dxa" w:w="2811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Overture, зданий</w:t>
            </w:r>
          </w:p>
        </w:tc>
        <w:tc>
          <w:tcPr>
            <w:tcW w:type="dxa" w:w="2959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Отношение по числу</w:t>
            </w:r>
          </w:p>
        </w:tc>
        <w:tc>
          <w:tcPr>
            <w:tcW w:type="dxa" w:w="2960"/>
            <w:shd w:fill="E8EF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04281"/>
                <w:sz w:val="15"/>
                <w:szCs w:val="15"/>
              </w:rPr>
              <w:t xml:space="preserve">Отношение по площади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Киншаса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4 004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514 058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5"/>
                <w:szCs w:val="15"/>
              </w:rPr>
              <w:t xml:space="preserve">128,39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81,94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Буэнос-Айрес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37 083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414 095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5"/>
                <w:szCs w:val="15"/>
              </w:rPr>
              <w:t xml:space="preserve">11,17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0,68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Богота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73 561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741 110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5"/>
                <w:szCs w:val="15"/>
              </w:rPr>
              <w:t xml:space="preserve">10,07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1,20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Сан-Паулу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192 322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887 324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5"/>
                <w:szCs w:val="15"/>
              </w:rPr>
              <w:t xml:space="preserve">4,61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1,19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Дакка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164 657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555 260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3,37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1,06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Нью-Йорк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97 704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315 688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3,23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1,15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Лима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163 052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504 731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3,10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0,85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Париж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138 346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427 413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3,09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1,01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Сидней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61 989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177 566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2,86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3,16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Манила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199 447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564 581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2,83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1,21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Мадрид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55 343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154 201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2,79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1,01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Дели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123 687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337 341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2,73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0,75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Мумбаи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87 812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237 791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2,71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1,16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Лондон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166 438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398 665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2,40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1,06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Джакарта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418 243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965 266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2,31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1,08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Лагос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137 053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312 562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2,28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1,24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Берлин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125 479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231 186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1,84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0,90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Найроби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218 130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400 799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1,84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1,08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Рио-де-Жанейро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128 881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235 884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1,83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0,96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Токио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410 685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710 663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1,73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1,05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Торонто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109 658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183 794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1,68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1,16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Мехико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284 677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476 263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1,67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1,04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Стамбул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152 862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254 018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1,66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0,88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Чикаго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162 348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233 913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1,44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1,10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Лос-Анджелес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300 673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407 694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1,36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1,10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Йоханнесбург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253 874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335 143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1,32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1,09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Барселона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95 665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125 109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1,31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1,10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Мельбурн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209 275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268 513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1,28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1,06 ×</w:t>
            </w:r>
          </w:p>
        </w:tc>
      </w:tr>
      <w:tr>
        <w:tc>
          <w:tcPr>
            <w:tcW w:type="dxa" w:w="325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Каир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288 842</w:t>
            </w:r>
          </w:p>
        </w:tc>
        <w:tc>
          <w:tcPr>
            <w:tcW w:type="dxa" w:w="281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289 836</w:t>
            </w:r>
          </w:p>
        </w:tc>
        <w:tc>
          <w:tcPr>
            <w:tcW w:type="dxa" w:w="2959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1,00 ×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0,63 ×</w:t>
            </w:r>
          </w:p>
        </w:tc>
      </w:tr>
      <w:tr>
        <w:tc>
          <w:tcPr>
            <w:tcW w:type="dxa" w:w="3255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Москва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102 765</w:t>
            </w:r>
          </w:p>
        </w:tc>
        <w:tc>
          <w:tcPr>
            <w:tcW w:type="dxa" w:w="2811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87 161</w:t>
            </w:r>
          </w:p>
        </w:tc>
        <w:tc>
          <w:tcPr>
            <w:tcW w:type="dxa" w:w="2959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0,85 ×</w:t>
            </w:r>
          </w:p>
        </w:tc>
        <w:tc>
          <w:tcPr>
            <w:tcW w:type="dxa" w:w="2960"/>
            <w:shd w:fill="F6F8FC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cs="Calibri" w:eastAsia="Calibri" w:hAnsi="Calibri"/>
                <w:color w:val="0B0B0B"/>
                <w:sz w:val="15"/>
                <w:szCs w:val="15"/>
              </w:rPr>
              <w:t xml:space="preserve">1,38 ×</w:t>
            </w:r>
          </w:p>
        </w:tc>
      </w:tr>
    </w:tbl>
    <w:p>
      <w:pPr>
        <w:spacing w:after="200" w:before="60" w:line="230" w:lineRule="auto"/>
        <w:jc w:val="left"/>
      </w:pP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Киншаса и Сидней исключены из основного среза: у Microsoft там пробелы покрытия, а не расхождение сегментации.</w:t>
      </w:r>
    </w:p>
    <w:p>
      <w:pPr>
        <w:pStyle w:val="Heading1"/>
        <w:pageBreakBefore/>
        <w:pBdr>
          <w:bottom w:val="single" w:color="104281" w:sz="12" w:space="8"/>
        </w:pBdr>
        <w:spacing w:after="260" w:before="0" w:line="276" w:lineRule="auto"/>
      </w:pPr>
      <w:r>
        <w:rPr>
          <w:rFonts w:ascii="Cambria" w:cs="Cambria" w:eastAsia="Cambria" w:hAnsi="Cambria"/>
          <w:b/>
          <w:bCs/>
          <w:color w:val="104281"/>
          <w:sz w:val="40"/>
          <w:szCs w:val="40"/>
        </w:rPr>
        <w:t xml:space="preserve">Приложение В. Источники и воспроизводимость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Наборы данных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Microsoft GlobalMLBuildingFootprints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 — глобальный набор контуров зданий, полученных нейросетевой сегментацией спутниковых снимков. Использован выпуск от 3 февраля 2026 г., распространяемый как GeoJSONL по тайлам quadkey уровня 9. Лицензия Open Data Commons Open Database License (ODbL).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Overture Maps Foundation, тема buildings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 — объединённый набор, включающий OpenStreetMap, Esri Community Maps, Google Open Buildings и Microsoft. Использован выпуск 2026-08-19.0 в формате GeoParquet. Лицензии ODbL и CDLA Permissive 2.0 в зависимости от происхождения записи.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Процедура обработки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Для каждого города определены тайлы, пересекающие ограничивающий прямоугольник круга радиусом 10 км.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Данные обработаны потоково без сохранения на диск: предварительная фильтрация по первой координате контура, затем полный разбор геометрии для попавших в прямоугольник объектов.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Площадь вычислена по формуле шнурования в локальной равновеликой проекции с центром в точке отсчёта города; для объектов такого размера погрешность проекции не превышает долей процента.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Объект отнесён к городу, если его геометрический центр лежит внутри круга. Отброшены контуры меньше 4 м² и больше 3 км².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Освоенная территория рассчитана по сетке ячеек 250 × 250 м: ячейка считается освоенной, если содержит хотя бы один объект.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Коэффициент Джини рассчитан по площадям всех зданий города, доля верхнего процента — по отсортированному распределению.</w:t>
      </w:r>
    </w:p>
    <w:p>
      <w:pPr>
        <w:pStyle w:val="Heading2"/>
        <w:keepNext/>
        <w:spacing w:after="130" w:before="340" w:line="276" w:lineRule="auto"/>
      </w:pPr>
      <w:r>
        <w:rPr>
          <w:rFonts w:ascii="Cambria" w:cs="Cambria" w:eastAsia="Cambria" w:hAnsi="Cambria"/>
          <w:b/>
          <w:bCs/>
          <w:color w:val="104281"/>
          <w:sz w:val="27"/>
          <w:szCs w:val="27"/>
        </w:rPr>
        <w:t xml:space="preserve">Ограничения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Измеряется пятно застройки, а не площадь помещений и не надземная площадь.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Нейросетевая сегментация склеивает смежные здания со сплошным периметром; смещение максимально в городах квартальной застройки.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Данные о высоте неполны и в основном источнике обрезаны около 40 м; вертикальный анализ ограничен двенадцатью городами.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Фиксированный радиус 10 км сравнивает сопоставимые фрагменты ткани, но не города целиком: агломерации Токио, Дели или Лагоса выходят далеко за его пределы.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both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Исследование описывает физический запас застройки и не содержит данных о ценах, назначении, собственности и обороте.</w:t>
      </w:r>
    </w:p>
    <w:p>
      <w:pPr>
        <w:spacing w:after="300"/>
      </w:pPr>
    </w:p>
    <w:p>
      <w:pPr>
        <w:spacing w:before="200"/>
        <w:jc w:val="left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Все расчёты выполнены непосредственно по исходным геоданным; ни одна цифра в отчёте не заимствована из вторичных публикаций.</w:t>
      </w:r>
    </w:p>
    <w:sectPr>
      <w:footerReference w:type="default" r:id="rId8"/>
      <w:pgSz w:w="16837" w:h="11905" w:orient="landscape"/>
      <w:pgMar w:top="907" w:right="1020" w:bottom="907" w:left="1020" w:header="708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0D9" w:sz="4" w:space="6"/>
      </w:pBdr>
      <w:tabs>
        <w:tab w:val="right" w:pos="9411"/>
      </w:tabs>
      <w:spacing w:before="120"/>
    </w:pPr>
    <w:r>
      <w:rPr>
        <w:rFonts w:ascii="Calibri" w:cs="Calibri" w:eastAsia="Calibri" w:hAnsi="Calibri"/>
        <w:color w:val="898781"/>
        <w:sz w:val="15"/>
        <w:szCs w:val="15"/>
      </w:rPr>
      <w:t xml:space="preserve">Анатомия мегаполиса · сентябрь 2026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b/>
        <w:bCs/>
        <w:color w:val="52514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0D9" w:sz="4" w:space="6"/>
      </w:pBdr>
      <w:tabs>
        <w:tab w:val="right" w:pos="14343"/>
      </w:tabs>
      <w:spacing w:before="120"/>
    </w:pPr>
    <w:r>
      <w:rPr>
        <w:rFonts w:ascii="Calibri" w:cs="Calibri" w:eastAsia="Calibri" w:hAnsi="Calibri"/>
        <w:color w:val="898781"/>
        <w:sz w:val="15"/>
        <w:szCs w:val="15"/>
      </w:rPr>
      <w:t xml:space="preserve">Анатомия мегаполиса · приложения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b/>
        <w:bCs/>
        <w:color w:val="52514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00"/>
      </w:pPr>
      <w:rPr>
        <w:rFonts w:ascii="Calibri" w:cs="Calibri" w:eastAsia="Calibri" w:hAnsi="Calibri"/>
        <w:color w:val="256ABF"/>
      </w:rPr>
    </w:lvl>
    <w:lvl w:ilvl="1" w15:tentative="1">
      <w:start w:val="1"/>
      <w:numFmt w:val="bullet"/>
      <w:lvlText w:val="–"/>
      <w:lvlJc w:val="left"/>
      <w:pPr>
        <w:ind w:left="680" w:hanging="200"/>
      </w:pPr>
      <w:rPr>
        <w:rFonts w:ascii="Calibri" w:cs="Calibri" w:eastAsia="Calibri" w:hAnsi="Calibri"/>
        <w:color w:val="89878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Calibri" w:cs="Calibri" w:eastAsia="Calibri" w:hAnsi="Calibri"/>
        <w:b/>
        <w:bCs/>
        <w:color w:val="10428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04281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04281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52514E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97c9654b8c19912428f3c98816d9c9fdc725a717.png"/><Relationship Id="rId10" Type="http://schemas.openxmlformats.org/officeDocument/2006/relationships/image" Target="media/1f6b10a6dc64e8dc9c72f9838f16b2dfe51e310f.png"/><Relationship Id="rId11" Type="http://schemas.openxmlformats.org/officeDocument/2006/relationships/image" Target="media/0541de08b6ba35fedbc2104fdcc81d05dab26750.png"/><Relationship Id="rId12" Type="http://schemas.openxmlformats.org/officeDocument/2006/relationships/image" Target="media/fbe3c5f8e2b8c0dc0224f2deb066bc84633a630e.png"/><Relationship Id="rId13" Type="http://schemas.openxmlformats.org/officeDocument/2006/relationships/image" Target="media/f77dbdbaef6f58700a8badbef185b219561622a8.png"/><Relationship Id="rId14" Type="http://schemas.openxmlformats.org/officeDocument/2006/relationships/image" Target="media/e88b188f3b035c2b6a6e78cfbe1f3b8cd8f1ab06.png"/><Relationship Id="rId15" Type="http://schemas.openxmlformats.org/officeDocument/2006/relationships/image" Target="media/9637d66bcfea1c27e451316f5b1b334768874929.png"/><Relationship Id="rId16" Type="http://schemas.openxmlformats.org/officeDocument/2006/relationships/image" Target="media/2eade38928133ab63624430b1a71a6fc2a8d9ed6.png"/><Relationship Id="rId17" Type="http://schemas.openxmlformats.org/officeDocument/2006/relationships/image" Target="media/fbbec38eb3856ff344960da8c0b9fc9e059b0be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Анатомия мегаполиса: размерная структура зданий 34 крупнейших городов мира</dc:title>
  <dc:creator>Аналитическое исследование застройки</dc:creator>
  <dc:description>Сравнительное исследование размерной структуры застройки на шести континентах по спутниковым контурам зданий</dc:description>
  <cp:lastModifiedBy>Un-named</cp:lastModifiedBy>
  <cp:revision>1</cp:revision>
  <dcterms:created xsi:type="dcterms:W3CDTF">2026-09-12T10:56:17.873Z</dcterms:created>
  <dcterms:modified xsi:type="dcterms:W3CDTF">2026-09-12T10:56:17.873Z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