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69" w:lineRule="auto"/>
        <w:jc w:val="left"/>
      </w:pPr>
    </w:p>
    <w:p>
      <w:pPr>
        <w:spacing w:before="0" w:after="0" w:line="269" w:lineRule="auto"/>
        <w:jc w:val="left"/>
      </w:pP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6B7785"/>
          <w:sz w:val="22"/>
          <w:spacing w:val="60"/>
        </w:rPr>
        <w:t>ЕЖЕНЕДЕЛЬНАЯ АНАЛИТИКА</w:t>
      </w: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1F3A5F"/>
          <w:sz w:val="60"/>
        </w:rPr>
        <w:t>Рынок недвижимости</w:t>
      </w:r>
    </w:p>
    <w:p>
      <w:pPr>
        <w:spacing w:before="0" w:after="200" w:line="269" w:lineRule="auto"/>
        <w:jc w:val="left"/>
      </w:pPr>
      <w:r>
        <w:rPr>
          <w:rFonts w:ascii="Calibri" w:hAnsi="Calibri" w:cs="Calibri"/>
          <w:b/>
          <w:i w:val="0"/>
          <w:color w:val="1F3A5F"/>
          <w:sz w:val="60"/>
        </w:rPr>
        <w:t>Нидерландов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3324"/>
        <w:gridCol w:w="3324"/>
        <w:gridCol w:w="3324"/>
      </w:tblGrid>
      <w:tr>
        <w:tc>
          <w:tcPr>
            <w:tcW w:type="dxa" w:w="3175"/>
            <w:shd w:val="clear" w:color="auto" w:fill="16846F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175"/>
            <w:shd w:val="clear" w:color="auto" w:fill="C0791C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175"/>
            <w:shd w:val="clear" w:color="auto" w:fill="2C5F8A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40" w:after="200" w:line="269" w:lineRule="auto"/>
        <w:jc w:val="left"/>
      </w:pPr>
      <w:r>
        <w:rPr>
          <w:rFonts w:ascii="Calibri" w:hAnsi="Calibri" w:cs="Calibri"/>
          <w:b/>
          <w:i/>
          <w:color w:val="105A4C"/>
          <w:sz w:val="28"/>
        </w:rPr>
        <w:t>«Большие деньги двигаются: Vesteda гасит панику, Prologis торгуется за Segro, а ритейл-парки тихо обыгрывают весь рынок»</w:t>
      </w: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222B36"/>
          <w:sz w:val="26"/>
        </w:rPr>
        <w:t xml:space="preserve">Период: </w:t>
      </w:r>
      <w:r>
        <w:rPr>
          <w:rFonts w:ascii="Calibri" w:hAnsi="Calibri" w:cs="Calibri"/>
          <w:b w:val="0"/>
          <w:i w:val="0"/>
          <w:color w:val="222B36"/>
          <w:sz w:val="26"/>
        </w:rPr>
        <w:t>23–30 июня 2026 г.</w:t>
      </w: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6B7785"/>
          <w:sz w:val="22"/>
        </w:rPr>
        <w:t xml:space="preserve">Сегменты: </w:t>
      </w:r>
      <w:r>
        <w:rPr>
          <w:rFonts w:ascii="Calibri" w:hAnsi="Calibri" w:cs="Calibri"/>
          <w:b w:val="0"/>
          <w:i w:val="0"/>
          <w:color w:val="6B7785"/>
          <w:sz w:val="22"/>
        </w:rPr>
        <w:t>жилая недвижимость · коммерция (стрит-ритейл) · индустриальная (склады, промзоны)</w:t>
      </w:r>
    </w:p>
    <w:p>
      <w:pPr>
        <w:spacing w:before="40" w:after="280" w:line="269" w:lineRule="auto"/>
        <w:jc w:val="left"/>
      </w:pPr>
      <w:r>
        <w:rPr>
          <w:rFonts w:ascii="Calibri" w:hAnsi="Calibri" w:cs="Calibri"/>
          <w:b w:val="0"/>
          <w:i/>
          <w:color w:val="6B7785"/>
          <w:sz w:val="19"/>
        </w:rPr>
        <w:t>Отчёт сформирован: 30 июня 2026 г.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1F3A5F"/>
            <w:tcMar>
              <w:top w:w="150" w:type="dxa"/>
              <w:bottom w:w="150" w:type="dxa"/>
              <w:start w:w="220" w:type="dxa"/>
              <w:end w:w="220" w:type="dxa"/>
              <w:left w:w="220" w:type="dxa"/>
              <w:right w:w="220" w:type="dxa"/>
            </w:tcMar>
          </w:tcPr>
          <w:p>
            <w:pPr>
              <w:spacing w:after="80"/>
            </w:pPr>
            <w:r>
              <w:rPr>
                <w:rFonts w:ascii="Calibri" w:hAnsi="Calibri" w:cs="Calibri"/>
                <w:b/>
                <w:i w:val="0"/>
                <w:color w:val="FFFFFF"/>
                <w:sz w:val="22"/>
              </w:rPr>
              <w:t>ГЛАВНЫЕ ВЫВОДЫ НЕДЕЛИ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1.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Институционалы перестали бежать из арендного жилья: Vesteda срезала выкуп паёв с 4,1 млрд до 765 млн евро, а Bouwinvest вдвое нарастил фонд для жилья пожилых — паника отступает, рынок стабилизируется.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2.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Города ужесточают долю доступного жилья (Утрехт 80%, Роттердам ~67%), а девелоперы (BPD) лоббируют смягчение — это главное напряжение сезона, которое определит маржу будущих проектов.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3.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Периферийные ритейл-парки — тихий чемпион недели: вакантность 4,4% против 5,5% по рынку, доходность ~7,5% брутто у Retail Estates; устойчивый высокодоходный продукт, пока центры городов страдают.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4.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Логистика переоценивается на корпоративной истории: оферта Prologis на Segro (~14,6 млрд евро, отклонена) задаёт тон всему сектору, Deutsche Bank срезал целевые цены REIT, но держит «покупать» — оценки считают привлекательными.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5.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Налоги остаются тормозом для притока капитала: box 3 (реальная доходность) сдвинут на 2028, а IVBN бьётся за смягчение лимита на вычет процентов — пока нагрузка выше европейской.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F3A5F"/>
          <w:sz w:val="23"/>
        </w:rPr>
        <w:t>Коротко о неделе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EEF2F6"/>
            <w:tcMar>
              <w:top w:w="140" w:type="dxa"/>
              <w:bottom w:w="14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Неделя 23–30 июня выдалась насыщенной по всем трём сегментам. В жилье главный сюжет — институциональные деньги: фонд Bouwinvest для жилья пожилых привлёк новый капитал (committed capital вырос со 130 до 263,5 млн евро), а крупнейший жилищный фонд Vesteda договорился об ограниченном выкупе паёв (765 млн евро вместо первоначальных 4,1 млрд), предотвратив масштабную распродажу арендного жилья; параллельно Утрехт и Роттердам утвердили коалиционные соглашения с жёсткими планками доступного жилья (80% и ~67%). В коммерции CBRE и инвесторы (Retail Estates) подсветили тему недели — периферийные ритейл-парки оказались на удивление устойчивы (вакантность всего 4,4% против 5,5% в среднем по торговой недвижимости). В индустриале доминировала большая корпоративная история: предложение Prologis о покупке Segro (~14,6 млрд евро, отклонено), снижение целевых цен Deutsche Bank по четырём логистическим REIT при сохранении рекомендации «покупать», а также спекулятивная стройка Panattoni в Эммене на 150 000 м2.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16846F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🏠  Жилая недвижимость</w:t>
            </w:r>
          </w:p>
        </w:tc>
      </w:tr>
    </w:tbl>
    <w:p>
      <w:pPr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05A4C"/>
          <w:sz w:val="23"/>
        </w:rPr>
        <w:t>Изменения в законах и регулировании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Сенат (Eerste Kamer — верхняя палата парламента) 30 июня провёл пленарные дебаты по законопроекту 'Wet werkelijk rendement box 3' (закон о налогообложении фактической доходности в режиме налога на капитал физлиц 'box 3'). Для частных арендодателей это важно: вместо нынешней фиктивной доходности предлагается облагать реальный арендный доход ежегодно, а прирост стоимости недвижимости — только при продаже (vermogenswinstbelasting — налог на прирост капитала). Комиссия по финансам (FIN) 23 июня решила снова поставить закон на повестку после дебатов. Голосование может состояться не раньше начала 2027 — Сенат разделён по вопросу обложения 'бумажного' (нереализованного) прироста. Старт нового режима намечен на 1 января 2028.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Если держите арендное жильё как физлицо — налог переходит на реальный доход, а не фиктивный: считайте кэш-флоу заранее, но решения пока ждут — режим только с 2028.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2026-06-30   •   Источник: Eerste Kamer der Staten-Generaal (wetsvoorstel 36748)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1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Утрехт (4-й город страны, ~370 тыс. жителей) представил коалиционное соглашение на 2026–2030 (партии PRO Utrecht и D66). По жилью: для всей новой застройки вводится обязательная доля 80% доступного жилья (betaalbare nieuwbouw — социальная плюс средняя аренда и доступная покупка), ежегодно выделяется 12 млн евро на развитие территорий и земельную политику, создаётся рабочая группа по борьбе с перегрузкой электросети (netcongestie). Это более жёсткая планка доступности, чем общенациональные ~⅔, — прямой сигнал застройщикам и арендным инвесторам о структуре будущего предложения.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В Утрехте свободно-рыночного жилья в новых проектах останется лишь 20% — закладывайте более низкую маржу и иную модель доходности на этой территории.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2026-06-24   •   Источник: Vastgoedjournaal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2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Роттердам (2-й город страны, ~670 тыс. жителей) представил коалиционное соглашение 2026–2030 'Vaart maken' (Набрать ход; коалиция PRO, D66, VVD, CDA, Volt). До 2030 года планируется построить 15 000 жилищ, из них 10 000 доступных (около 67% — в соответствии с Regiewet, законом о госрегулировании жилищного строительства). Создаётся строительный фонд (doorbouwfonds) на 111 млн евро, чтобы проекты не останавливались при удорожании стройки; более 1 млрд евро резервируется на жильё, территории, экономику и климат.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Роттердам держит планку строго по нацзакону (67%), но подстраховывает девелоперов фондом на 111 млн € — снижает риск заморозки проектов при удорожании.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Vastgoedmarkt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3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Государственный совет (Raad van State — высший административный суд) 24 июня аннулировал план застройки (bestemmingsplan) и экологическое разрешение для жилого проекта Koggenland в Пюрмеренде из-за недостаточного обоснования расчёта парковочного спроса. При этом стройка продолжится: суд оставил в силе правовые последствия решений, поскольку муниципалитет провёл новое исследование парковки. Проект — 64 жилья (53 социальных арендных + 11 средней аренды, middenhuur). Урок для девелоперов: процедурные дефекты ведут к отмене, но устранимые недочёты не обязательно останавливают стройку.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Сигнал по процедурным рискам: слабое обоснование (например, по парковке) может отменить разрешение, но своевременное доисследование спасает проект — документируйте расчёты тщательно.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2026-06-25   •   Источник: Raad van State / RegioPurmerend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4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05A4C"/>
          <w:sz w:val="23"/>
        </w:rPr>
        <w:t>Новости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На внеочередном собрании акционеров (BAVA) 26 июня фонд Vesteda — один из крупнейших в Нидерландах институциональных инвесторов в жильё (портфель ~10,8 млрд евро, около 28 000 арендных квартир) — установил итоговый объём заявок на выкуп паёв (redemptievolume) на уровне 765 млн евро. Это резкое снижение по сравнению с первоначальными заявками инвесторов (в основном пенсионных фондов) на 4,1 млрд евро от 2 марта. Теперь инвесторы могут подавать заявки на выход ежегодно (раньше — раз в семь лет), а фонд будет давать ликвидность 'по мере возможности' (best-effort) в размере 7,5% капитала в год. Сделка предотвратила масштабную распродажу арендного жилья.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Главный успокаивающий сигнал недели: распродажи ~28 000 квартир не будет — давление на цены арендного жилья снизилось, рынок стабилизируется.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Vesteda Newsroom / NOS / FD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5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Bouwinvest (один из крупнейших нидерландских управляющих недвижимостью для пенсионных фондов, входит в группу bpfBOUW, под управлением ~14 млрд евро) привлёк новый капитал в фонд жилья для пожилых Dutch Senior Living Impact Fund. В фонд вошли пенсионный фонд PME (металлургия/электротехника) и ещё один нидерландский пенсионный фонд — теперь у фонда шесть институциональных инвесторов вместо четырёх. Объём обязательств (committed capital — заявленный капитал к вложению) вырос со 130 млн евро на первом закрытии до 263,5 млн евро — это более чем удвоение. Редкий позитивный сигнал притока денег в арендное жильё на фоне общего оттока капитала у институционалов; деньги идут в сегмент healthcare-жилья (жильё с уходом/для пожилых).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Деньги текут в жильё для пожилых — растущий сегмент со стабильным спросом из-за старения населения; ориентир, куда смотрят умные институционалы.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2026-06-30   •   Источник: Vastgoedjournaal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6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Девелопер Heijmans (крупная биржевая нидерландская строительно-девелоперская компания, котируется на Euronext Amsterdam) и муниципалитет IJsselstein (под Утрехтом) подписали антериорное соглашение (anterieure overeenkomst — договор о застройке между девелопером и муниципалитетом) на 563 жилища на бывшей промплощадке Roba Metals (~6 га). Структура: 27% социальная аренда, 37% средняя аренда и доступная покупка, 36% более дорогое жильё. Решение совета ожидается в 3-4 кв. 2026, продажа первых жилищ — с 2028 года. Стройку обеспечат коллективной энергосистемой (тепловой насос, солнечные панели, аккумуляторы) на фоне перегруженной электросети.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Пример рабочей модели на фоне перегрузки сетей: редевелопмент промплощадки с автономной энергосистемой — обходной путь там, где сеть не тянет новых подключений.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2026-06-29   •   Источник: Vastgoedjournaal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7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Harm Janssen, гендиректор BPD (Bouwfonds Property Development — один из крупнейших девелоперов жилья в Нидерландах и Германии, дочерняя структура Rabobank), в интервью заявил: нужно просто начинать строить. Его тезис — дефицит инфраструктуры (он оценил потребность примерно в 80 млрд евро) и перегрузка электросетей не должны быть поводом годами держать крупные площадки замороженными, «сигналы зелёные». Он также призвал пересмотреть требование, по которому две трети жилья должны навсегда оставаться доступными, и сделать ставку на стандартизацию, чтобы ускорить вывод жилья на рынок.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Голос крупного девелопера за смягчение нормы доступности и стандартизацию — следите за этим лобби: его успех напрямую повлияет на маржу будущих проектов.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2026-06-24   •   Источник: Vastgoedjournaal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8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EAF3EE"/>
            <w:tcMar>
              <w:top w:w="140" w:type="dxa"/>
              <w:bottom w:w="14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6" w:space="0" w:color="16846F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105A4C"/>
                <w:sz w:val="18"/>
              </w:rPr>
              <w:t>ВЫВОД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Неделя для жилья богата на институциональные сигналы: Vesteda удержала ситуацию с выкупом паёв и избежала распродажи, а Bouwinvest наоборот привлёк свежий капитал в жильё для пожилых — два разнонаправленных, но в сумме стабилизирующих сюжета. Города (Утрехт, Роттердам) закрепляют высокие доли доступного жилья, тогда как девелоперы (BPD) лоббируют смягчение требований доступности и ускорение строительства — это ключевое напряжение сезона. Отдельных пунктов по trends и stats на этой неделе не набралось, но новостной и законодательный поток был плотным.</w:t>
            </w:r>
          </w:p>
        </w:tc>
      </w:tr>
    </w:tbl>
    <w:p>
      <w:pPr>
        <w:spacing w:before="0" w:after="12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FFF6E5"/>
            <w:tcMar>
              <w:top w:w="100" w:type="dxa"/>
              <w:bottom w:w="10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0" w:space="0" w:color="C0791C"/>
            </w:tcBorders>
          </w:tcPr>
          <w:p>
            <w:pPr>
              <w:spacing w:after="0" w:line="264" w:lineRule="auto"/>
            </w:pPr>
            <w:r>
              <w:rPr>
                <w:rFonts w:ascii="Calibri" w:hAnsi="Calibri" w:cs="Calibri"/>
                <w:b/>
                <w:i w:val="0"/>
                <w:color w:val="8A5510"/>
                <w:sz w:val="18"/>
              </w:rPr>
              <w:t xml:space="preserve">👁  ЗА ЧЕМ СЛЕДИТЬ.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0"/>
              </w:rPr>
              <w:t>Следите за исходом голосования в Сенате по box 3 (старт 2028) и за тем, уступят ли города давлению девелоперов по снижению доли доступного жилья — это определит маржу и структуру новых проектов.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C0791C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🏪  Коммерция (стрит-ритейл)</w:t>
            </w:r>
          </w:p>
        </w:tc>
      </w:tr>
    </w:tbl>
    <w:p>
      <w:pPr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8A5510"/>
          <w:sz w:val="23"/>
        </w:rPr>
        <w:t>Изменения в законах и регулировании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26 июня отраслевая ассоциация институциональных инвесторов в недвижимость IVBN призвала правительство не откладывать до 2032 года смягчение правила ограничения вычета процентов (earningsstrippingmaatregel — лимит на вычет процентных расходов из налогооблагаемой прибыли). Поводом стало предложение Еврокомиссии от 24 июня: с 2029 года вычет процентов до 30% от налоговой EBITDA, с 2032 года — порог 3 млн евро. Нынешние нидерландские правила жёстче: лимит 24,5% EBITDA при пороге всего 1 млн евро, что непропорционально бьёт по инвесторам со структурой через BV (частную компанию). Высокая налоговая нагрузка — одна из причин ухода капитала из нидерландской недвижимости.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Если держите недвижимость через BV с заёмным финансированием — нынешний жёсткий лимит на вычет процентов режет прибыль; смягчение поможет, но пока его только лоббируют.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Vastgoed Insider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9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8A5510"/>
          <w:sz w:val="23"/>
        </w:rPr>
        <w:t>Новости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CBRE (крупнейший в мире консультант, оценщик и брокер коммерческой недвижимости; в Нидерландах один из ведущих игроков) выпустил отчёт о периферийных ритейл-парках (retailparken — крупноформатные торговые парки на окраинах: мебель, товары для дома, DIY/строймаркеты). Вывод: пока центры городов под давлением e-commerce и банкротств, периферийные парки остаются устойчивыми. Вакантность (leegstand — доля пустующих площадей) на начало 2026 — всего 4,4% против 5,5% в среднем по торговой недвижимости. Из 194 обследованных парков в 73 нет ни одной пустующей единицы. Несмотря на банкротство Carpetright и проблемы Kwantum и Leen Bakker, освободившиеся помещения быстро сдаются заново. CBRE подаёт ритейл-парки как стабильный инвестиционный продукт.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Аргумент в пользу периферийных ритейл-парков как защитного актива: даже банкротства арендаторов быстро перекрываются новыми — низкий риск простоя.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2026-06-23   •   Источник: CBRE (пресс-релиз 'Perifere winkelgebieden trotseren retailcrisis en blijven verrassend populair')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0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Retail Estates (бельгийская биржевая компания недвижимости со статусом GVV/SIR — регулируемого фонда-REIT; специализируется на периферийных ритейл-парках в Бенилюксе, Euronext Brussels) сделала первый шаг во Францию, купив ритейл-парк под Парижем. Для нидерландского рынка важно, что Нидерланды теперь дают 38% портфеля компании (Бельгия — 62%). По годовым результатам заполняемость (occupancy) выросла до 97,8%, чистый арендный доход +2,5%, стоимость портфеля +1,6%, дивиденд повышен до 5,20 евро брутто (22-й год роста подряд, доходность ~7,5% брутто). Иллюстрация тезиса недели: инвесторы воспринимают ритейл-парки как устойчивый высокодоходный сегмент. (Сама сделка во Франции закрыта в апреле 2026; обзорная статья вышла 23 июня — в окне.)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Живое доказательство доходности сегмента: заполняемость 97,8% и 22 года роста дивиденда подряд — ориентир по доходности (~7,5%) для тех, кто рассматривает ритейл-парки.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2026-06-23   •   Источник: Test-Aankoop/Test-Achats (Invest)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1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8A5510"/>
          <w:sz w:val="23"/>
        </w:rPr>
        <w:t>Тренды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В отраслевой прессе ритейла (vakbladmannenmode.nl) вышел материал о резком скачке готовности потребителей к покупкам (koopbereidheid — субиндекс потребительского доверия, отражающий готовность к крупным покупкам). По данным CBS (Centraal Bureau voor de Statistiek — статистическое бюро), koopbereidheid поднялась с -28 в мае до -22 в июне — крупнейшее месячное улучшение за всю историю наблюдений; общий индекс доверия вырос с -46 до -39 (сильнейший рост за 11+ лет). Но издание подчёркивает: для ритейлеров это лишь осторожно позитивный сигнал — уровни всё ещё глубоко в минусе и ниже долгосрочного среднего (-9), быстрого всплеска трат ждать не стоит. Первичный релиз CBS — 22 июня (вне окна), отраслевая интерпретация — 29 июня (в окне).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Настроение потребителей разворачивается вверх рекордными темпами — ранний сигнал к восстановлению спроса в рознице, но до реального роста трат ещё далеко.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2026-06-29   •   Источник: Vakblad Mannenmode (на основе данных CBS)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2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8A5510"/>
          <w:sz w:val="23"/>
        </w:rPr>
        <w:t>Статистика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5669"/>
        <w:gridCol w:w="3855"/>
      </w:tblGrid>
      <w:tr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Значение / динамика</w:t>
            </w:r>
          </w:p>
        </w:tc>
      </w:tr>
      <w:tr>
        <w:tc>
          <w:tcPr>
            <w:tcW w:type="dxa" w:w="5669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Ключевая цифра из отчёта CBRE по нидерландским ритейл-паркам (retailparken — периферийные крупноформатные торговые парки): вакантность (leegstand — доля пустующих площадей) на начало 2026 — 4,4%. Это ниже фрикционного уровня (минимально неизбежная вакантность при нормальной ротации арендаторов) и существенно ниже среднего по всей торговой недвижимости страны (5,5%). Обследовано 194 парка, в 73 пустующих единиц нет вообще. Цифра подтверждена перепечаткой в отраслевых СМИ в окне отчётной недели (24 июня).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Вакантность ниже фрикционного уровня означает фактически дефицит площадей в сегменте — поддержка арендных ставок и стоимости таких объектов.</w:t>
            </w:r>
          </w:p>
        </w:tc>
        <w:tc>
          <w:tcPr>
            <w:tcW w:type="dxa" w:w="3855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E7A4D"/>
                <w:sz w:val="19"/>
              </w:rPr>
              <w:t xml:space="preserve">▲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вакантность ритейл-парков 4,4% (среднее по торговой недвижимости 5,5%); 194 парка, 73 без вакантности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CBRE 'Stabiliteit in Nederlandse Retailparken'; перепечатка keukenendesign.nl</w:t>
            </w:r>
            <w:hyperlink r:id="rId23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</w:tbl>
    <w:p>
      <w:pPr>
        <w:spacing w:before="0" w:after="4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EAF3EE"/>
            <w:tcMar>
              <w:top w:w="140" w:type="dxa"/>
              <w:bottom w:w="14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6" w:space="0" w:color="16846F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105A4C"/>
                <w:sz w:val="18"/>
              </w:rPr>
              <w:t>ВЫВОД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Главная тема недели в коммерции — устойчивость периферийных ритейл-парков: отчёт CBRE и годовые результаты Retail Estates сошлись в одном выводе — это стабильный, высокодоходный сегмент с очень низкой вакантностью (4,4%), пока центры городов страдают. Отдельный позитивный нюанс — рекордный месячный рост готовности потребителей к покупкам, хотя уровни всё ещё глубоко отрицательные. На законодательном фронте IVBN бьётся за смягчение налога на проценты как условие возврата капитала в недвижимость. По стрит-ритейлу в узком смысле (магазины в центрах городов) новых сделок на неделе почти не было — фокус сместился к периферийным форматам.</w:t>
            </w:r>
          </w:p>
        </w:tc>
      </w:tr>
    </w:tbl>
    <w:p>
      <w:pPr>
        <w:spacing w:before="0" w:after="12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FFF6E5"/>
            <w:tcMar>
              <w:top w:w="100" w:type="dxa"/>
              <w:bottom w:w="10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0" w:space="0" w:color="C0791C"/>
            </w:tcBorders>
          </w:tcPr>
          <w:p>
            <w:pPr>
              <w:spacing w:after="0" w:line="264" w:lineRule="auto"/>
            </w:pPr>
            <w:r>
              <w:rPr>
                <w:rFonts w:ascii="Calibri" w:hAnsi="Calibri" w:cs="Calibri"/>
                <w:b/>
                <w:i w:val="0"/>
                <w:color w:val="8A5510"/>
                <w:sz w:val="18"/>
              </w:rPr>
              <w:t xml:space="preserve">👁  ЗА ЧЕМ СЛЕДИТЬ.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0"/>
              </w:rPr>
              <w:t>Следите, продолжит ли расти потребительское доверие (koopbereidheid) и удержат ли ритейл-парки сверхнизкую вакантность; на налоговом фронте — реакция правительства на призыв IVBN ускорить смягчение лимита на вычет процентов.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2C5F8A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🏭  Индустриал (склады, промзоны)</w:t>
            </w:r>
          </w:p>
        </w:tc>
      </w:tr>
    </w:tbl>
    <w:p>
      <w:pPr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E4466"/>
          <w:sz w:val="23"/>
        </w:rPr>
        <w:t>Новости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Американская Prologis (крупнейшая в мире публичная компания логистической недвижимости) сделала предложение о поглощении британской Segro примерно за 14,6 млрд евро (~12,6 млрд фунтов): 0,084 новой акции Prologis за акцию Segro, то есть 925 пенсов за бумагу — премия 24,6% к цене до объявления. Цель — создать 'крупнейшую в мире котируемую логистическую недвижимость'. Совет Segro единогласно отклонил оферту как заниженную и оппортунистическую (попытку нажиться на сниженных оценках европейской недвижимости). По британскому кодексу о поглощениях Prologis до 22 июля должна либо подтвердить твёрдое намерение, либо отказаться. Для Нидерландов значимо: у Prologis крупное присутствие в стране, а сделка задаёт тон оценкам всего европейского (и нидерландского) логистического сектора.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Крупнейший игрок готов платить премию 24,6% за логистику — рынок сигнализирует, что европейские (и нидерландские) логистические активы недооценены.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2026-06-25   •   Источник: Warehouse Totaal / PropertyNL / Bloomberg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4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25 июня Deutsche Bank (крупный немецкий инвестбанк) понизил целевые цены (koersdoel — ориентир справедливой цены акции) для четырёх ведущих европейских компаний логистической недвижимости, активно работающих и в Нидерландах, но сохранил по всем рекомендацию 'покупать'. Цели: CTP (чешская группа, крупнейший в континентальной Европе владелец логистических парков, ~40% активов в Нидерландах) — с 22,00 до 19,00 евро; WDP (Warehouses De Pauw, бельгийско-нидерландский логистический REIT) — с 30,00 до 25,00 евро; Montea (бельгийский REIT, ~40% портфеля в Нидерландах) — с 85,00 до 73,00 евро; VGP (бельгийский девелопер логистических парков) — со 120,00 до 100,00 евро (фаворит банка). Логика: повышенные ожидания по ставкам уже в цене, оценки привлекательные, потенциал роста выше риска снижения; поддержку даёт заявка Prologis на Segro.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Целевые цены срезаны, но рекомендация осталась «покупать» — аналитики видят в логистике апсайд, несмотря на давление ставок; ориентир для держателей этих REIT.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2026-06-25   •   Источник: De Aandeelhouder / IEX / The Asset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5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Девелопер Panattoni (один из крупнейших в мире игроков рынка логистической и промышленной недвижимости, активен в Нидерландах и Бельгии) начал спекулятивную застройку (стройку без заранее найденного арендатора) комплекса Panattoni Park Emmen площадью около 150 000 м2 (как 22 футбольных поля) на промзоне De Tweeling у автострады A37 в сторону Германии. Собственные инвестиции Panattoni превышают 100 млн евро, ещё примерно столько же, как ожидается, вложат будущие арендаторы в дооснащение. Арендатор пока не объявлен: ставка на то, что крупные международные производители предпочитают готовые помещения и скорость. Сдача — март 2028. Panattoni называет это крупнейшим коммерческим зданием на севере Нидерландов.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Спекулятивная стройка на 150 000 м2 без арендатора — крупный игрок ставит на сохранение спроса; индикатор уверенности в логистическом рынке севера страны.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2026-06-23   •   Источник: PropertyNL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6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Логистический оператор Humby (провайдер, уже имеющий более 25 000 м2 складов в регионе Венло) заключил долгосрочный договор аренды на 29 779 м2 по адресу Dirk Hartogweg 8 на промзоне Trade Port в Венло. Арендодатель — фонд CCP 5 под управлением Tristan Capital Partners (крупный международный инвестор в недвижимость), asset-менеджмент ведёт ARC Real Estate Partners; ранее объект арендовала Nunner Logistics. Интересы сторон представляли Boek en Offermans Makelaars, JLL и Cushman &amp; Wakefield. Сделка показывает сохраняющийся спрос на крупные склады в лимбургском логистическом коридоре.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Быстрая пересдача почти 30 000 м2 в логистическом коридоре Венло подтверждает живой спрос на крупные склады — поддержка ставок и заполняемости в регионе.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PropertyNL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7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Компания Base Investments от имени международного инвестора Patron Capital купила бизнес- и офисное помещение по адресу Griftsemolenweg 38 в Ваассене у Wibra Holding (нидерландская сеть бюджетных розничных магазинов, владелец объекта). Пример того, как операторы монетизируют собственную недвижимость, а инвесторы наращивают портфели индустриальных/складских активов (структура похожа на sale-and-leaseback — продажу с обратной арендой, когда компания продаёт недвижимость и остаётся в ней арендатором; точная формулировка в открытой части не подтверждена). Площадь и сумма сделки в открытой части не раскрыты (полный текст за пейволлом).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Тренд монетизации корпоративной недвижимости: компании высвобождают капитал, продавая объекты инвесторам — возможность для покупателей нарастить портфель.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Vastgoedjournaal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8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EAF3EE"/>
            <w:tcMar>
              <w:top w:w="140" w:type="dxa"/>
              <w:bottom w:w="14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6" w:space="0" w:color="16846F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105A4C"/>
                <w:sz w:val="18"/>
              </w:rPr>
              <w:t>ВЫВОД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Индустриал стал самым ярким сегментом недели благодаря большой корпоративной истории: предложение Prologis о покупке Segro (~14,6 млрд евро, отклонено) переоценивает весь европейский логистический сектор, а Deutsche Bank на этом фоне срезал целевые цены четырёх ведущих REIT, но рекомендацию 'покупать' сохранил — рынок видит привлекательные оценки. На земле спрос жив: Panattoni рискнула спекулятивной стройкой на 150 000 м2 в Эммене, а Humby арендовала почти 30 000 м2 в Венло. Отдельная сделка в Ваассене (Patron Capital/Wibra) указывает на интерес к монетизации корпоративной недвижимости, хотя детали закрыты пейволлом. Законодательных и статистических пунктов по сегменту на этой неделе не набралось.</w:t>
            </w:r>
          </w:p>
        </w:tc>
      </w:tr>
    </w:tbl>
    <w:p>
      <w:pPr>
        <w:spacing w:before="0" w:after="12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FFF6E5"/>
            <w:tcMar>
              <w:top w:w="100" w:type="dxa"/>
              <w:bottom w:w="10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0" w:space="0" w:color="C0791C"/>
            </w:tcBorders>
          </w:tcPr>
          <w:p>
            <w:pPr>
              <w:spacing w:after="0" w:line="264" w:lineRule="auto"/>
            </w:pPr>
            <w:r>
              <w:rPr>
                <w:rFonts w:ascii="Calibri" w:hAnsi="Calibri" w:cs="Calibri"/>
                <w:b/>
                <w:i w:val="0"/>
                <w:color w:val="8A5510"/>
                <w:sz w:val="18"/>
              </w:rPr>
              <w:t xml:space="preserve">👁  ЗА ЧЕМ СЛЕДИТЬ.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0"/>
              </w:rPr>
              <w:t>Ключевая дата — 22 июля: подтвердит ли Prologis твёрдое намерение по Segro или отступит; это переоценит весь сектор. Также следите, найдёт ли Panattoni арендатора на свои 150 000 м2 до сдачи в 2028.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1F3A5F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🧭  Картина недели и прогноз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EEF2F6"/>
            <w:tcMar>
              <w:top w:w="140" w:type="dxa"/>
              <w:bottom w:w="14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 w:line="283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Картина недели — осторожный разворот к стабилизации сразу в трёх сегментах. В жилье институциональный капитал перестал бежать: сделка Vesteda сняла угрозу распродажи, а приток денег в фонд Bouwinvest для пожилых показывает, куда смещается аппетит инвесторов — в сегменты со структурным спросом. Логистика подаёт тот же сигнал с другой стороны: готовность Prologis платить премию за Segro и сохранённая Deutsche Bank рекомендация «покупать» говорят, что профессионалы считают активы недооценёнными — это эхо того же возвращения уверенности, что и в жилье. Связующая нить всех трёх сегментов — налоги и регулирование: жёсткий box 3, лимит на вычет процентов и высокие доли доступного жилья остаются главным тормозом для притока капитала, и именно вокруг их смягчения идёт основная борьба (IVBN, BPD). Коммерция подтверждает общий вывод снизу: периферийные ритейл-парки с вакантностью 4,4% и рекордно растущим потребительским доверием — тихая зона устойчивости. Прогноз: при сохранении этих сигналов осень может принести постепенное возвращение капитала, но скорость зависит от двух развилок — решения Prologis по Segro (22 июля) и от того, уступит ли государство по налоговой нагрузке и нормам доступности.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5D6D7E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📖  Словарь терминов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2835"/>
        <w:gridCol w:w="6690"/>
      </w:tblGrid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box 3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Режим нидерландского подоходного налога на капитал физлиц (сбережения и инвестиции, включая арендную недвижимость).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Wet werkelijk rendement box 3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Законопроект о налогообложении фактической (реальной), а не фиктивной доходности капитала в режиме box 3; старт намечен на 2028.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vermogenswinstbelasting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Налог на прирост капитала — облагается прирост стоимости актива, как правило при его продаже.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Eerste Kamer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Сенат, верхняя палата парламента Нидерландов.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Tweede Kamer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Нижняя палата парламента Нидерландов.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Raad van State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Государственный совет — высший административный суд страны.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betaalbare nieuwbouw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Доступная новостройка — жильё в категориях социальной и средней аренды плюс доступная покупка.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middenhuur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Средняя аренда — сегмент жилья между социальной и свободно-рыночной арендой.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netcongestie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Перегрузка электросети — когда мощностей сети не хватает для всех новых подключений.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Regiewet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Закон о госрегулировании жилищного строительства, задающий обязательные доли доступного жилья.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bestemmingsplan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План застройки/зонирования территории, утверждаемый муниципалитетом.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anterieure overeenkomst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Антериорное соглашение — договор о застройке между девелопером и муниципалитетом до утверждения плана.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doorbouwfonds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Строительный фонд муниципалитета, чтобы проекты не останавливались при удорожании стройки.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redemptievolume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Объём заявок инвесторов на выкуп (погашение) своих паёв в фонде.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committed capital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Заявленный (обязательственный) капитал — деньги, которые инвесторы обязались вложить в фонд.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BAVA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Внеочередное общее собрание акционеров (buitengewone algemene vergadering van aandeelhouders).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best-effort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«По мере возможности» — обязательство приложить усилия без гарантии результата (здесь — по выкупу паёв).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leegstand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Вакантность — доля пустующих (несданных) площадей.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фрикционная вакантность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Минимально неизбежный уровень пустующих площадей при нормальной ротации арендаторов.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retailparken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Периферийные ритейл-парки — крупноформатные торговые парки на окраинах (мебель, товары для дома, DIY/строймаркеты).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koopbereidheid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Готовность к покупкам — субиндекс потребительского доверия, отражающий настрой на крупные траты.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CBS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Centraal Bureau voor de Statistiek — нидерландское статистическое бюро.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earningsstrippingmaatregel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Правило ограничения вычета процентных расходов из налогооблагаемой прибыли.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EBITDA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Прибыль до вычета процентов, налогов и амортизации — база для расчёта лимита вычета процентов.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BV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Besloten vennootschap — нидерландская частная компания с ограниченной ответственностью (аналог ООО).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REIT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Биржевой фонд недвижимости с особым налоговым режимом, обязанный распределять большую часть дохода в дивиденды.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GVV/SIR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Бельгийский статус регулируемого фонда недвижимости (аналог REIT).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occupancy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Заполняемость — доля сданных площадей в портфеле.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koersdoel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Целевая цена акции — ориентир справедливой стоимости от аналитика/банка.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спекулятивная застройка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Стройка объекта без заранее найденного арендатора, в расчёте сдать его позже.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sale-and-leaseback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Продажа с обратной арендой — компания продаёт свою недвижимость инвестору и остаётся в ней арендатором.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IVBN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Отраслевая ассоциация институциональных инвесторов в недвижимость Нидерландов.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BPD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Bouwfonds Property Development — один из крупнейших девелоперов жилья в Нидерландах и Германии, структура Rabobank.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3PL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Логистический подрядчик, ведущий склады и доставку чужих товаров (third-party logistics).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5D6D7E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🔗  Источники</w:t>
            </w:r>
          </w:p>
        </w:tc>
      </w:tr>
    </w:tbl>
    <w:p>
      <w:pPr>
        <w:spacing w:before="0" w:after="40" w:line="269" w:lineRule="auto"/>
        <w:jc w:val="left"/>
      </w:pPr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Vastgoedjournaal — Bouwinvest ouderenfonds  </w:t>
      </w:r>
      <w:hyperlink r:id="rId16">
        <w:r>
          <w:rPr>
            <w:color w:val="1155CC"/>
            <w:sz w:val="18"/>
            <w:rFonts w:ascii="Calibri" w:hAnsi="Calibri"/>
            <w:u w:val="single"/>
          </w:rPr>
          <w:t xml:space="preserve">https://vastgoedjournaal.nl/news/73539/twee-pensioenfondsen-stappen-in-ouderenfonds-bouwinvest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Vesteda Newsroom — redemption volume  </w:t>
      </w:r>
      <w:hyperlink r:id="rId15">
        <w:r>
          <w:rPr>
            <w:color w:val="1155CC"/>
            <w:sz w:val="18"/>
            <w:rFonts w:ascii="Calibri" w:hAnsi="Calibri"/>
            <w:u w:val="single"/>
          </w:rPr>
          <w:t xml:space="preserve">https://news.vesteda.com/vesteda-redemption-volume-set-at--765-million-and-fund-terms-amended/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Vastgoedmarkt — coalitieakkoord Rotterdam  </w:t>
      </w:r>
      <w:hyperlink r:id="rId13">
        <w:r>
          <w:rPr>
            <w:color w:val="1155CC"/>
            <w:sz w:val="18"/>
            <w:rFonts w:ascii="Calibri" w:hAnsi="Calibri"/>
            <w:u w:val="single"/>
          </w:rPr>
          <w:t xml:space="preserve">https://www.vastgoedmarkt.nl/209650/rotterdams-coalitieakkoord-volgt-braaf-de-regiewet-67-procent-betaalbare-woningen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Vastgoedjournaal — coalitieakkoord Utrecht  </w:t>
      </w:r>
      <w:hyperlink r:id="rId12">
        <w:r>
          <w:rPr>
            <w:color w:val="1155CC"/>
            <w:sz w:val="18"/>
            <w:rFonts w:ascii="Calibri" w:hAnsi="Calibri"/>
            <w:u w:val="single"/>
          </w:rPr>
          <w:t xml:space="preserve">https://vastgoedjournaal.nl/news/73472/coalitieakkoord-utrecht-80-procent-betaalbare-nieuwbouw-en-doorbraakteam-netcongestie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Eerste Kamer — wetsvoorstel 36748 (box 3)  </w:t>
      </w:r>
      <w:hyperlink r:id="rId11">
        <w:r>
          <w:rPr>
            <w:color w:val="1155CC"/>
            <w:sz w:val="18"/>
            <w:rFonts w:ascii="Calibri" w:hAnsi="Calibri"/>
            <w:u w:val="single"/>
          </w:rPr>
          <w:t xml:space="preserve">https://www.eerstekamer.nl/wetsvoorstel/36748_wet_werkelijk_rendement_box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RegioPurmerend / Raad van State — Koggenland  </w:t>
      </w:r>
      <w:hyperlink r:id="rId14">
        <w:r>
          <w:rPr>
            <w:color w:val="1155CC"/>
            <w:sz w:val="18"/>
            <w:rFonts w:ascii="Calibri" w:hAnsi="Calibri"/>
            <w:u w:val="single"/>
          </w:rPr>
          <w:t xml:space="preserve">https://regiopurmerend.nl/raad-van-state-zet-streep-door-besluiten-maar-woningbouw-koggenland-gaat-toch-door/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CBRE — perifere winkelgebieden (persbericht)  </w:t>
      </w:r>
      <w:hyperlink r:id="rId20">
        <w:r>
          <w:rPr>
            <w:color w:val="1155CC"/>
            <w:sz w:val="18"/>
            <w:rFonts w:ascii="Calibri" w:hAnsi="Calibri"/>
            <w:u w:val="single"/>
          </w:rPr>
          <w:t xml:space="preserve">https://www.cbre.nl/press-releases/perifere-winkelgebieden-trotseren-retailcrisis-en-blijven-verrassend-populair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keukenendesign.nl — leegstand retailparken  </w:t>
      </w:r>
      <w:hyperlink r:id="rId23">
        <w:r>
          <w:rPr>
            <w:color w:val="1155CC"/>
            <w:sz w:val="18"/>
            <w:rFonts w:ascii="Calibri" w:hAnsi="Calibri"/>
            <w:u w:val="single"/>
          </w:rPr>
          <w:t xml:space="preserve">https://keukenendesign.nl/leegstand-retailparken-blijft-opvallend-laag/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Test-Aankoop (Invest) — Retail Estates  </w:t>
      </w:r>
      <w:hyperlink r:id="rId21">
        <w:r>
          <w:rPr>
            <w:color w:val="1155CC"/>
            <w:sz w:val="18"/>
            <w:rFonts w:ascii="Calibri" w:hAnsi="Calibri"/>
            <w:u w:val="single"/>
          </w:rPr>
          <w:t xml:space="preserve">https://www.test-aankoop.be/invest/beleggen/vastgoed/gereglementeerde-vastgoedvennootschappen/artikels/2026/06/retail-estates-eerste-stap-frankrijk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Vakblad Mannenmode — koopbereidheid (CBS)  </w:t>
      </w:r>
      <w:hyperlink r:id="rId22">
        <w:r>
          <w:rPr>
            <w:color w:val="1155CC"/>
            <w:sz w:val="18"/>
            <w:rFonts w:ascii="Calibri" w:hAnsi="Calibri"/>
            <w:u w:val="single"/>
          </w:rPr>
          <w:t xml:space="preserve">https://www.vakbladmannenmode.nl/koopbereidheid-maakt-sprong/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Warehouse Totaal — Prologis bod op Segro  </w:t>
      </w:r>
      <w:hyperlink r:id="rId24">
        <w:r>
          <w:rPr>
            <w:color w:val="1155CC"/>
            <w:sz w:val="18"/>
            <w:rFonts w:ascii="Calibri" w:hAnsi="Calibri"/>
            <w:u w:val="single"/>
          </w:rPr>
          <w:t xml:space="preserve">https://www.warehousetotaal.nl/warehousing/logistiek-vastgoed/prologis-doet-miljardenbod-op-segro-maar-logistieke-vastgoedreus-wijst-overname-af/144181/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De Aandeelhouder — Deutsche Bank koersdoelen logistiek  </w:t>
      </w:r>
      <w:hyperlink r:id="rId25">
        <w:r>
          <w:rPr>
            <w:color w:val="1155CC"/>
            <w:sz w:val="18"/>
            <w:rFonts w:ascii="Calibri" w:hAnsi="Calibri"/>
            <w:u w:val="single"/>
          </w:rPr>
          <w:t xml:space="preserve">https://www.deaandeelhouder.nl/nieuws/2026/06/25/beursblik-deutsche-bank-verlaagt-koersdoelen-voor-aanbieders-van-logistiek-vastgoed/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PropertyNL — Panattoni Park Emmen  </w:t>
      </w:r>
      <w:hyperlink r:id="rId26">
        <w:r>
          <w:rPr>
            <w:color w:val="1155CC"/>
            <w:sz w:val="18"/>
            <w:rFonts w:ascii="Calibri" w:hAnsi="Calibri"/>
            <w:u w:val="single"/>
          </w:rPr>
          <w:t xml:space="preserve">https://propertynl.com/Nieuws/Panattoni-ontwikkelt-groots-multifunctioneel-bedrijvencomplex-in-Emmen/d6e9ee42-b453-4e1e-aef7-4b5a3487fa0d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PropertyNL — Humby huurt in Venlo  </w:t>
      </w:r>
      <w:hyperlink r:id="rId27">
        <w:r>
          <w:rPr>
            <w:color w:val="1155CC"/>
            <w:sz w:val="18"/>
            <w:rFonts w:ascii="Calibri" w:hAnsi="Calibri"/>
            <w:u w:val="single"/>
          </w:rPr>
          <w:t xml:space="preserve">https://propertynl.com/Nieuws/Humby-huurt-bijna-30-000-m-logistieke-ruimte-in-Venlo/63cab933-adaa-4d81-b102-bcd555b1b790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Vastgoed Insider — IVBN renteaftrekbeperking  </w:t>
      </w:r>
      <w:hyperlink r:id="rId19">
        <w:r>
          <w:rPr>
            <w:color w:val="1155CC"/>
            <w:sz w:val="18"/>
            <w:rFonts w:ascii="Calibri" w:hAnsi="Calibri"/>
            <w:u w:val="single"/>
          </w:rPr>
          <w:t xml:space="preserve">https://vastgoedinsider.nl/nederland-heft-ook-in-box-2-vaak-te-veel-belasting-op-vastgoed-europese-commissie-hanteert-lichtere-regels-voor-renteaftrekbeperking/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Vastgoedjournaal — Heijmans IJsselstein 563 woningen  </w:t>
      </w:r>
      <w:hyperlink r:id="rId17">
        <w:r>
          <w:rPr>
            <w:color w:val="1155CC"/>
            <w:sz w:val="18"/>
            <w:rFonts w:ascii="Calibri" w:hAnsi="Calibri"/>
            <w:u w:val="single"/>
          </w:rPr>
          <w:t xml:space="preserve">https://vastgoedjournaal.nl/news/73515/oud-roba-metals-terrein-maakt-plaats-voor-563-woningen-van-heijmans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Vastgoedjournaal — Wibra bedrijfspand Vaassen verkocht  </w:t>
      </w:r>
      <w:hyperlink r:id="rId28">
        <w:r>
          <w:rPr>
            <w:color w:val="1155CC"/>
            <w:sz w:val="18"/>
            <w:rFonts w:ascii="Calibri" w:hAnsi="Calibri"/>
            <w:u w:val="single"/>
          </w:rPr>
          <w:t xml:space="preserve">https://vastgoedjournaal.nl/news/73504/bedrijfspand-in-vaassen-van-wibra-verkocht</w:t>
        </w:r>
      </w:hyperlink>
    </w:p>
    <w:p>
      <w:pPr>
        <w:spacing w:before="200" w:after="0" w:line="269" w:lineRule="auto"/>
        <w:jc w:val="left"/>
      </w:pPr>
    </w:p>
    <w:p>
      <w:pPr>
        <w:spacing w:before="120" w:after="0" w:line="269" w:lineRule="auto"/>
        <w:jc w:val="left"/>
        <w:pBdr>
          <w:top w:val="single" w:sz="6" w:space="4" w:color="D7DEE6"/>
        </w:pBdr>
      </w:pPr>
      <w:r>
        <w:rPr>
          <w:rFonts w:ascii="Calibri" w:hAnsi="Calibri" w:cs="Calibri"/>
          <w:b w:val="0"/>
          <w:i/>
          <w:color w:val="6B7785"/>
          <w:sz w:val="16"/>
        </w:rPr>
        <w:t>Дисклеймер: материал носит информационно-аналитический характер, подготовлен на основе открытых источников и не является инвестиционной рекомендацией. Проверяйте данные по первоисточникам перед принятием решений.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B7785"/>
        <w:sz w:val="16"/>
      </w:rPr>
      <w:t xml:space="preserve">Стр. </w:t>
      <w:fldChar w:fldCharType="begin"/>
      <w:instrText xml:space="preserve">PAGE</w:instrText>
      <w:fldChar w:fldCharType="end"/>
    </w:r>
    <w:r>
      <w:rPr>
        <w:rFonts w:ascii="Calibri" w:hAnsi="Calibri"/>
        <w:color w:val="6B7785"/>
        <w:sz w:val="16"/>
      </w:rPr>
      <w:t xml:space="preserve"> из </w:t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cs="Calibri"/>
        <w:b w:val="0"/>
        <w:i w:val="0"/>
        <w:color w:val="6B7785"/>
        <w:sz w:val="16"/>
      </w:rPr>
      <w:t>Недвижимость Нидерландов · 23–30 июня 2026 г.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color w:val="222B3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eerstekamer.nl/wetsvoorstel/36748_wet_werkelijk_rendement_box" TargetMode="External"/><Relationship Id="rId12" Type="http://schemas.openxmlformats.org/officeDocument/2006/relationships/hyperlink" Target="https://vastgoedjournaal.nl/news/73472/coalitieakkoord-utrecht-80-procent-betaalbare-nieuwbouw-en-doorbraakteam-netcongestie" TargetMode="External"/><Relationship Id="rId13" Type="http://schemas.openxmlformats.org/officeDocument/2006/relationships/hyperlink" Target="https://www.vastgoedmarkt.nl/209650/rotterdams-coalitieakkoord-volgt-braaf-de-regiewet-67-procent-betaalbare-woningen" TargetMode="External"/><Relationship Id="rId14" Type="http://schemas.openxmlformats.org/officeDocument/2006/relationships/hyperlink" Target="https://regiopurmerend.nl/raad-van-state-zet-streep-door-besluiten-maar-woningbouw-koggenland-gaat-toch-door/" TargetMode="External"/><Relationship Id="rId15" Type="http://schemas.openxmlformats.org/officeDocument/2006/relationships/hyperlink" Target="https://news.vesteda.com/vesteda-redemption-volume-set-at--765-million-and-fund-terms-amended/" TargetMode="External"/><Relationship Id="rId16" Type="http://schemas.openxmlformats.org/officeDocument/2006/relationships/hyperlink" Target="https://vastgoedjournaal.nl/news/73539/twee-pensioenfondsen-stappen-in-ouderenfonds-bouwinvest" TargetMode="External"/><Relationship Id="rId17" Type="http://schemas.openxmlformats.org/officeDocument/2006/relationships/hyperlink" Target="https://vastgoedjournaal.nl/news/73515/oud-roba-metals-terrein-maakt-plaats-voor-563-woningen-van-heijmans" TargetMode="External"/><Relationship Id="rId18" Type="http://schemas.openxmlformats.org/officeDocument/2006/relationships/hyperlink" Target="https://vastgoedjournaal.nl/news/73469/harm-janssen-bpd-we-moeten-gewoon-beginnen-met-bouwen" TargetMode="External"/><Relationship Id="rId19" Type="http://schemas.openxmlformats.org/officeDocument/2006/relationships/hyperlink" Target="https://vastgoedinsider.nl/nederland-heft-ook-in-box-2-vaak-te-veel-belasting-op-vastgoed-europese-commissie-hanteert-lichtere-regels-voor-renteaftrekbeperking/" TargetMode="External"/><Relationship Id="rId20" Type="http://schemas.openxmlformats.org/officeDocument/2006/relationships/hyperlink" Target="https://www.cbre.nl/press-releases/perifere-winkelgebieden-trotseren-retailcrisis-en-blijven-verrassend-populair" TargetMode="External"/><Relationship Id="rId21" Type="http://schemas.openxmlformats.org/officeDocument/2006/relationships/hyperlink" Target="https://www.test-aankoop.be/invest/beleggen/vastgoed/gereglementeerde-vastgoedvennootschappen/artikels/2026/06/retail-estates-eerste-stap-frankrijk" TargetMode="External"/><Relationship Id="rId22" Type="http://schemas.openxmlformats.org/officeDocument/2006/relationships/hyperlink" Target="https://www.vakbladmannenmode.nl/koopbereidheid-maakt-sprong/" TargetMode="External"/><Relationship Id="rId23" Type="http://schemas.openxmlformats.org/officeDocument/2006/relationships/hyperlink" Target="https://keukenendesign.nl/leegstand-retailparken-blijft-opvallend-laag/" TargetMode="External"/><Relationship Id="rId24" Type="http://schemas.openxmlformats.org/officeDocument/2006/relationships/hyperlink" Target="https://www.warehousetotaal.nl/warehousing/logistiek-vastgoed/prologis-doet-miljardenbod-op-segro-maar-logistieke-vastgoedreus-wijst-overname-af/144181/" TargetMode="External"/><Relationship Id="rId25" Type="http://schemas.openxmlformats.org/officeDocument/2006/relationships/hyperlink" Target="https://www.deaandeelhouder.nl/nieuws/2026/06/25/beursblik-deutsche-bank-verlaagt-koersdoelen-voor-aanbieders-van-logistiek-vastgoed/" TargetMode="External"/><Relationship Id="rId26" Type="http://schemas.openxmlformats.org/officeDocument/2006/relationships/hyperlink" Target="https://propertynl.com/Nieuws/Panattoni-ontwikkelt-groots-multifunctioneel-bedrijvencomplex-in-Emmen/d6e9ee42-b453-4e1e-aef7-4b5a3487fa0d" TargetMode="External"/><Relationship Id="rId27" Type="http://schemas.openxmlformats.org/officeDocument/2006/relationships/hyperlink" Target="https://propertynl.com/Nieuws/Humby-huurt-bijna-30-000-m-logistieke-ruimte-in-Venlo/63cab933-adaa-4d81-b102-bcd555b1b790" TargetMode="External"/><Relationship Id="rId28" Type="http://schemas.openxmlformats.org/officeDocument/2006/relationships/hyperlink" Target="https://vastgoedjournaal.nl/news/73504/bedrijfspand-in-vaassen-van-wibra-verkoch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