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Bdr>
          <w:bottom w:val="single" w:sz="16" w:space="1" w:color="C9A961"/>
        </w:pBdr>
        <w:spacing w:before="0" w:after="28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/>
          <w:i w:val="0"/>
          <w:color w:val="1A3A5C"/>
          <w:spacing w:val="70"/>
          <w:sz w:val="44"/>
        </w:rPr>
        <w:t>ОБЪЕКТЫ НЕДВИЖИМОСТИ</w:t>
      </w:r>
    </w:p>
    <w:p>
      <w:pPr>
        <w:spacing w:before="0" w:after="280"/>
        <w:jc w:val="center"/>
      </w:pPr>
      <w:r>
        <w:rPr>
          <w:rFonts w:ascii="Calibri" w:hAnsi="Calibri" w:cs="Calibri" w:eastAsia="Calibri"/>
          <w:b w:val="0"/>
          <w:i/>
          <w:color w:val="5A6E80"/>
          <w:sz w:val="28"/>
        </w:rPr>
        <w:t>Нидерланды</w:t>
      </w:r>
    </w:p>
    <w:p>
      <w:pPr>
        <w:pBdr>
          <w:bottom w:val="single" w:sz="12" w:space="1" w:color="C9A961"/>
        </w:pBdr>
        <w:spacing w:before="0" w:after="44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 w:val="0"/>
          <w:i w:val="0"/>
          <w:color w:val="5A6E80"/>
          <w:sz w:val="22"/>
        </w:rPr>
        <w:t>В подборку входят: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1.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Steenovenweg 11-13,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Montfoort — € 975.000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2.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Decimalaan 3-9,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Utrecht — € 2.975.000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3.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Archimedesbaan 11,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Nieuwegein — € 1.750.000</w:t>
      </w:r>
    </w:p>
    <w:p>
      <w:pPr>
        <w:spacing w:before="0" w:after="0"/>
      </w:pPr>
    </w:p>
    <w:p>
      <w:pPr>
        <w:spacing w:before="3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8"/>
        </w:rPr>
        <w:t>Данные по объектам приведены по публикациям funda in business по состоянию на 27.07.2026</w:t>
      </w:r>
    </w:p>
    <w:p>
      <w:pPr>
        <w:spacing w:before="0" w:after="0"/>
      </w:pPr>
      <w:r>
        <w:br w:type="page"/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СРАВНЕНИЕ ОБЪЕКТОВ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200"/>
        <w:gridCol w:w="2445"/>
        <w:gridCol w:w="2445"/>
        <w:gridCol w:w="2445"/>
      </w:tblGrid>
      <w:tr>
        <w:trPr>
          <w:tblHeader w:val="1"/>
        </w:trPr>
        <w:tc>
          <w:tcPr>
            <w:tcW w:type="dxa" w:w="2200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Показатель</w:t>
            </w:r>
          </w:p>
        </w:tc>
        <w:tc>
          <w:tcPr>
            <w:tcW w:type="dxa" w:w="2445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Steenovenweg 11-13</w:t>
            </w:r>
          </w:p>
        </w:tc>
        <w:tc>
          <w:tcPr>
            <w:tcW w:type="dxa" w:w="2445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Decimalaan 3-9</w:t>
            </w:r>
          </w:p>
        </w:tc>
        <w:tc>
          <w:tcPr>
            <w:tcW w:type="dxa" w:w="2445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Archimedesbaan 11</w:t>
            </w:r>
          </w:p>
        </w:tc>
      </w:tr>
      <w:tr>
        <w:tc>
          <w:tcPr>
            <w:tcW w:type="dxa" w:w="2200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Цена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€ 975.000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€ 2.975.000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€ 1.750.000</w:t>
            </w:r>
          </w:p>
        </w:tc>
      </w:tr>
      <w:tr>
        <w:tc>
          <w:tcPr>
            <w:tcW w:type="dxa" w:w="2200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Цена входа (k.k.)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€ 1.088.100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€ 3.320.100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€ 1.953.000</w:t>
            </w:r>
          </w:p>
        </w:tc>
      </w:tr>
      <w:tr>
        <w:tc>
          <w:tcPr>
            <w:tcW w:type="dxa" w:w="2200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Площадь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616 м²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2.935 м²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1.876 м²</w:t>
            </w:r>
          </w:p>
        </w:tc>
      </w:tr>
      <w:tr>
        <w:tc>
          <w:tcPr>
            <w:tcW w:type="dxa" w:w="2200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Цена за м²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€ 1.583/м²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€ 1.014/м²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€ 933/м²</w:t>
            </w:r>
          </w:p>
        </w:tc>
      </w:tr>
      <w:tr>
        <w:tc>
          <w:tcPr>
            <w:tcW w:type="dxa" w:w="2200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Доход в год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€ 73.300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€ 139.164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€ 111.153</w:t>
            </w:r>
          </w:p>
        </w:tc>
      </w:tr>
      <w:tr>
        <w:tc>
          <w:tcPr>
            <w:tcW w:type="dxa" w:w="2200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Ставка €/м²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€ 119/м²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€ 47/м²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€ 59/м²</w:t>
            </w:r>
          </w:p>
        </w:tc>
      </w:tr>
      <w:tr>
        <w:tc>
          <w:tcPr>
            <w:tcW w:type="dxa" w:w="2200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BAR к цене входа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6,7 %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4,2 %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5,7 %</w:t>
            </w:r>
          </w:p>
        </w:tc>
      </w:tr>
      <w:tr>
        <w:tc>
          <w:tcPr>
            <w:tcW w:type="dxa" w:w="2200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NAR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5,9 %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2,9 %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4,4 %</w:t>
            </w:r>
          </w:p>
        </w:tc>
      </w:tr>
      <w:tr>
        <w:tc>
          <w:tcPr>
            <w:tcW w:type="dxa" w:w="2200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Арендаторы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7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2</w:t>
            </w:r>
          </w:p>
        </w:tc>
      </w:tr>
      <w:tr>
        <w:tc>
          <w:tcPr>
            <w:tcW w:type="dxa" w:w="2200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WALT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10,0 года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2,4 года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н/д</w:t>
            </w:r>
          </w:p>
        </w:tc>
      </w:tr>
      <w:tr>
        <w:tc>
          <w:tcPr>
            <w:tcW w:type="dxa" w:w="2200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Год постройки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офис — 1979, производственный цех — 2019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1965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1989</w:t>
            </w:r>
          </w:p>
        </w:tc>
      </w:tr>
      <w:tr>
        <w:tc>
          <w:tcPr>
            <w:tcW w:type="dxa" w:w="2200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Энергокласс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B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не предоставлен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D</w:t>
            </w:r>
          </w:p>
        </w:tc>
      </w:tr>
      <w:tr>
        <w:tc>
          <w:tcPr>
            <w:tcW w:type="dxa" w:w="2200"/>
            <w:shd w:val="clear" w:color="auto" w:fill="FAFA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8"/>
              </w:rPr>
              <w:t>Профиль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Компактный single-tenant объект в Montfoort с 10-летним договором и валовой доходностью ~7,5 % k.k. — для частного инвестора, которому нужен предсказуемый денежный поток без активного управления, при условии что рыночность ставки sale-and-lease-back подтверждена независимой оценкой.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Value-add объект для инвестора с локальной управляющей экспертизой: покупка на низкой текущей доходности ради реверсии аренды к рыночному уровню и опции редевелопмента участка у Woonboulevard.</w:t>
            </w:r>
          </w:p>
        </w:tc>
        <w:tc>
          <w:tcPr>
            <w:tcW w:type="dxa" w:w="244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8"/>
              </w:rPr>
              <w:t>Небольшой промышленно-офисный объект в устоявшемся парке Plettenburg под value-add: аренда примерно на 25-45 % ниже asking-уровня улицы, но 30 % дохода уже под расторжением — для инвестора, готового к переарендации и capex, а не к пассивному купонному доходу.</w:t>
            </w:r>
          </w:p>
        </w:tc>
      </w:tr>
    </w:tbl>
    <w:p>
      <w:pPr>
        <w:spacing w:before="160" w:after="0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Показатели рассчитаны по данным листингов и носят ориентировочный характер: цена входа включает overdrachtsbelasting 10,4 % и сопутствующие расходы по сделке 1,2 %, NAR посчитан при доле эксплуатационных расходов, указанной в карточке объекта. Перед сделкой цифры подлежат проверке по документам продавца.</w:t>
      </w:r>
    </w:p>
    <w:p>
      <w:pPr>
        <w:sectPr>
          <w:pgSz w:w="11906" w:h="16838"/>
          <w:pgMar w:top="1077" w:right="1174" w:bottom="1134" w:left="1174" w:header="720" w:footer="720" w:gutter="0"/>
          <w:cols w:space="720"/>
          <w:docGrid w:linePitch="360"/>
        </w:sectPr>
      </w:pP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pStyle w:val="Heading1"/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Steenovenweg 11-13, Montfoort</w:t>
      </w:r>
    </w:p>
    <w:tbl>
      <w:tblPr>
        <w:tblW w:type="auto" w:w="0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204"/>
        <w:gridCol w:w="120"/>
        <w:gridCol w:w="1204"/>
        <w:gridCol w:w="120"/>
        <w:gridCol w:w="1456"/>
        <w:gridCol w:w="5430"/>
      </w:tblGrid>
      <w:tr>
        <w:trPr>
          <w:cantSplit w:val="1"/>
        </w:trPr>
        <w:tc>
          <w:tcPr>
            <w:tcW w:type="dxa" w:w="1204"/>
            <w:shd w:val="clear" w:color="auto" w:fill="F7EFD9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6"/>
              </w:rPr>
              <w:t>100 % сдано</w:t>
            </w:r>
          </w:p>
        </w:tc>
        <w:tc>
          <w:tcPr>
            <w:tcW w:type="dxa" w:w="120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1204"/>
            <w:shd w:val="clear" w:color="auto" w:fill="F7EFD9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6"/>
              </w:rPr>
              <w:t>WALT 10 лет</w:t>
            </w:r>
          </w:p>
        </w:tc>
        <w:tc>
          <w:tcPr>
            <w:tcW w:type="dxa" w:w="120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1456"/>
            <w:shd w:val="clear" w:color="auto" w:fill="F7EFD9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6"/>
              </w:rPr>
              <w:t>BAR 7,5 % k.k.</w:t>
            </w:r>
          </w:p>
        </w:tc>
        <w:tc>
          <w:tcPr>
            <w:tcW w:type="dxa" w:w="5430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</w:p>
        </w:tc>
      </w:tr>
    </w:tbl>
    <w:p>
      <w:pPr>
        <w:spacing w:before="20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3417 XR • Промышленный парк IJsselveld • Провинция Утрехт</w:t>
      </w:r>
    </w:p>
    <w:p>
      <w:pPr>
        <w:spacing w:before="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33600" cy="25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f_asngf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single" w:sz="12" w:space="0" w:color="FFFFFF"/>
        </w:tblBorders>
        <w:tblLayout w:type="fixed"/>
        <w:tblLook w:firstColumn="1" w:firstRow="1" w:lastColumn="0" w:lastRow="0" w:noHBand="0" w:noVBand="1" w:val="04A0"/>
      </w:tblPr>
      <w:tblGrid>
        <w:gridCol w:w="2383"/>
        <w:gridCol w:w="2383"/>
        <w:gridCol w:w="2383"/>
        <w:gridCol w:w="2383"/>
      </w:tblGrid>
      <w:tr>
        <w:trPr>
          <w:cantSplit w:val="1"/>
        </w:trPr>
        <w:tc>
          <w:tcPr>
            <w:tcW w:type="dxa" w:w="2383"/>
            <w:shd w:val="clear" w:color="auto" w:fill="F4F6F8"/>
            <w:tcMar>
              <w:top w:w="160" w:type="dxa"/>
              <w:start w:w="200" w:type="dxa"/>
              <w:bottom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i w:val="0"/>
                <w:color w:val="5A6E80"/>
                <w:spacing w:val="20"/>
                <w:sz w:val="16"/>
              </w:rPr>
              <w:t>ЦЕНА</w:t>
            </w:r>
          </w:p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26"/>
              </w:rPr>
              <w:t>€ 975.000</w:t>
            </w:r>
          </w:p>
        </w:tc>
        <w:tc>
          <w:tcPr>
            <w:tcW w:type="dxa" w:w="2383"/>
            <w:shd w:val="clear" w:color="auto" w:fill="F4F6F8"/>
            <w:tcMar>
              <w:top w:w="160" w:type="dxa"/>
              <w:start w:w="200" w:type="dxa"/>
              <w:bottom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i w:val="0"/>
                <w:color w:val="5A6E80"/>
                <w:spacing w:val="20"/>
                <w:sz w:val="16"/>
              </w:rPr>
              <w:t>ДОХОД В ГОД</w:t>
            </w:r>
          </w:p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26"/>
              </w:rPr>
              <w:t>€ 73.300</w:t>
            </w:r>
          </w:p>
        </w:tc>
        <w:tc>
          <w:tcPr>
            <w:tcW w:type="dxa" w:w="2383"/>
            <w:shd w:val="clear" w:color="auto" w:fill="F4F6F8"/>
            <w:tcMar>
              <w:top w:w="160" w:type="dxa"/>
              <w:start w:w="200" w:type="dxa"/>
              <w:bottom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i w:val="0"/>
                <w:color w:val="5A6E80"/>
                <w:spacing w:val="20"/>
                <w:sz w:val="16"/>
              </w:rPr>
              <w:t>BAR К ЦЕНЕ ВХОДА</w:t>
            </w:r>
          </w:p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26"/>
              </w:rPr>
              <w:t>6,7 %</w:t>
            </w:r>
          </w:p>
        </w:tc>
        <w:tc>
          <w:tcPr>
            <w:tcW w:type="dxa" w:w="2383"/>
            <w:shd w:val="clear" w:color="auto" w:fill="F4F6F8"/>
            <w:tcMar>
              <w:top w:w="160" w:type="dxa"/>
              <w:start w:w="200" w:type="dxa"/>
              <w:bottom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i w:val="0"/>
                <w:color w:val="5A6E80"/>
                <w:spacing w:val="20"/>
                <w:sz w:val="16"/>
              </w:rPr>
              <w:t>ПЛОЩАДЬ</w:t>
            </w:r>
          </w:p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26"/>
              </w:rPr>
              <w:t>616 м²</w:t>
            </w:r>
          </w:p>
        </w:tc>
      </w:tr>
    </w:tbl>
    <w:p>
      <w:pPr>
        <w:spacing w:before="200" w:after="200"/>
      </w:pPr>
      <w:r>
        <w:rPr>
          <w:rFonts w:ascii="Calibri" w:hAnsi="Calibri" w:cs="Calibri" w:eastAsia="Calibri"/>
          <w:b w:val="0"/>
          <w:i/>
          <w:color w:val="1A3A5C"/>
          <w:sz w:val="20"/>
        </w:rPr>
        <w:t>Компактный single-tenant объект в Montfoort с 10-летним договором и валовой доходностью ~7,5 % k.k. — для частного инвестора, которому нужен предсказуемый денежный поток без активного управления, при условии что рыночность ставки sale-and-lease-back подтверждена независимой оценкой.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900"/>
        <w:gridCol w:w="6128"/>
      </w:tblGrid>
      <w:tr>
        <w:tc>
          <w:tcPr>
            <w:tcW w:type="dxa" w:w="9028"/>
            <w:gridSpan w:val="2"/>
            <w:shd w:val="clear" w:color="auto" w:fill="EFF2F5"/>
            <w:tcMar>
              <w:top w:w="12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pacing w:val="20"/>
                <w:sz w:val="17"/>
              </w:rPr>
              <w:t>ФИНАНСЫ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€ 975.000 k.k.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входа (с k.k.)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€ 1.088.100 — включая overdrachtsbelasting 10,4 % и расходы по сделке 1,2 %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€ 73.300 в год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Ставка аренды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€ 119/м² в год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€ 1.583/м²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BAR к цене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7,5 %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BAR к цене входа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6,7 %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NAR к цене входа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5,9 % (при эксплуатационных расходах 12,0 % от аренды)</w:t>
            </w:r>
          </w:p>
        </w:tc>
      </w:tr>
      <w:tr>
        <w:tc>
          <w:tcPr>
            <w:tcW w:type="dxa" w:w="9028"/>
            <w:gridSpan w:val="2"/>
            <w:shd w:val="clear" w:color="auto" w:fill="EFF2F5"/>
            <w:tcMar>
              <w:top w:w="12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pacing w:val="20"/>
                <w:sz w:val="17"/>
              </w:rPr>
              <w:t>ОБЪЕКТ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616 м² v.v.o. (368 м² офис + 248 м² производство)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964 м² (собственная земля)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офисное здание и отдельно стоящий производственный цех, сдан в аренду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офис — 1979, производственный цех — 2019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B (действителен до 24-06-2036)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100 % собственность (volle eigendom)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Свободная высота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цех ≈ 6,04 м (до антресоли ≈ 2,08 м, на антресоли ≈ 3,14 м)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15 мест на собственной территории (1 с зарядной станцией)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PixioDigital NL B.V. — заполняемость 100 %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сразу, в арендованном состоянии («as is, where is»)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hyperlink r:id="rId12">
              <w:r>
                <w:rPr>
                  <w:rFonts w:ascii="Calibri" w:hAnsi="Calibri" w:cs="Calibri" w:eastAsia="Calibri"/>
                  <w:b w:val="0"/>
                  <w:i w:val="0"/>
                  <w:color w:val="1A3A5C"/>
                  <w:sz w:val="19"/>
                  <w:u w:val="single"/>
                </w:rPr>
                <w:t>https://www.fundainbusiness.nl/en/belegging/montfoort/object-44425433-steenovenweg-11-13/</w:t>
              </w:r>
            </w:hyperlink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Montfoort — промышленный парк IJsselveld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Монтфорт (Montfoort) — город и муниципалитет в провинции Утрехт с населением около 13.800 человек (2026), расположенный в самом центре Нидерландов между Утрехтом и Роттердамом. Несмотря на небольшой размер, город обладает хорошей автомобильной доступностью: съезды на федеральную трассу A12 находятся в 5 и 8 км по провинциальным дорогам N204/N205 и N228, время в пути — примерно 7 и 12 минут соответственно.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расположен на промышленном парке IJsselveld общей площадью около 50 гектаров — крупнейшей бизнес-зоне муниципалитета. Территория имеет смешанный характер: автомобильные предприятия, компании из сфер строительства, металлообработки, услуг и оптовой торговли. Парк граничит с рекой Холландсе-Эйссел (Hollandsche IJssel). Центр Монтфорта с магазинами и заведениями общественного питания находится в нескольких минутах езды (≈ 5 минут на автомобиле).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Инвестиционный объект: участок земли с офисным зданием и отдельно стоящим производственным цехом, парковочной площадкой и прочими принадлежностями, известный как Steenovenweg 11-11A-11B-13 в Монтфорте. Объект полностью сдан в аренду по схеме sale-and-lease-back единственному арендатору — компании PixioDigital NL B.V., заполняемость 100 %.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Двухэтажное офисное здание 1979 года постройки возведено по традиционной технологии: бетонный свайный фундамент, кирпичная кладка с частичной облицовкой панелями Trespa, бетонные перекрытия, деревянные оконные рамы из твёрдых пород с двойным остеклением, плоская кровля с битумно-гравийным покрытием. Около двух лет назад кровля была полностью отремонтирована и частично заменена, на крыше офиса смонтирована солнечная электростанция.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Позади офиса в 2019 году построен отдельно стоящий производственный цех: стальной каркас с бетонным полом, ограждающие конструкции из металлических сэндвич-панелей, плоская кровля. Внутри устроена антресоль для (лёгкого) хранения, оборудованы рабочее место, мини-кухня с холодной водой и туалет; в цехе обеспечено хорошее охлаждение.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 — «as is, where is», в арендованном состоянии. Запрашиваемая цена € 975.000 k.k. указана при заключении 10-летнего договора аренды.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ПЛАНИРОВКА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Офисное здание (два этажа): ≈ 368 м² v.v.o.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Производственный цех (2019): ≈ 248 м² v.v.o.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Антресольный этаж в цехе — для лёгкого хранения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Все офисные помещения доступны через главный вход в передней части здания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этаж дополнительно доступен через отдельный вход с левой стороны здания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Одно помещение в задней части имеет собственную входную дверь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 — ОФИСНОЕ ЗДАНИЕ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Бетонный свайный фундамент (betonnen paalfundering)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Кирпичная кладка с частичной облицовкой панелями Trespa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Бетонные перекрытия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Деревянные оконные рамы из твёрдых пород с двойным остеклением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Плоская кровля с битумно-гравийным покрытием, отремонтирована ≈ 2 года назад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Солнечные панели на крыше офисного здания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класс B (действителен до 24-06-2036)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 — ПРОИЗВОДСТВЕННЫЙ ЦЕХ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2019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Стальная конструкция с бетонным полом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Металлические сэндвич-панели, плоская кровля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Два пластиковых оконных блока с двойным остеклением на фасаде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Электрические секционные ворота (overheaddeur) и отдельная входная дверь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Антресольный этаж для лёгкого хранения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Рабочее место, пантри с холодной водой, туалет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Хорошее охлаждение помещения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Свободная высота ≈ 6,04 м; до антресоли ≈ 2,08 м; на антресоли ≈ 3,14 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Несущая способность пола официально не установлена, оценочно ≈ 1.000 кг/м²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Арендная плата: € 73.300 в год плюс НДС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Схема: sale-and-lease-back, объект целиком сдан компании PixioDigital NL B.V.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Заполняемость: 100 %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Срок договора аренды: 10 лет (цена указана при 10-летнем договоре)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(BAR): ≈ 7,5 % годовых от запрашиваемой цены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в арендованном состоянии, «as is, where is»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 И ПАРКОВКА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964 м² собственной земли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Montfoort, секция A, номер 3741, площадь 964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Кадастровое описание: bedrijvigheid (kantoor) — предпринимательская деятельность (офис)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15 парковочных мест на собственной территории, одно из них оборудовано зарядной станцией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Форма собственности: 100 % (volle eigendom)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Промышленный парк IJsselveld (≈ 50 га), примыкающий к реке Холландсе-Эйссел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Федеральная трасса A12 — ≈ 5 км через N205, съезд 14 (Woerden), ≈ 7 минут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Федеральная трасса A12 через N228 — съезд 15 (De Meern, Утрехт), ≈ 8 км, ≈ 12 минут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Центр Монтфорта с магазинами и общественным питанием — ≈ 5 минут на автомобиле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Автобусная остановка «Kasteelplein Montfoort» — ≈ 11 минут пешком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Ж/д станция Woerden — ≈ 30 минут в пути с учётом пешей части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 часы пик автобусы ходят 2 раза в час, вне часов пик — 1 раз в час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Полная собственность земли (100 % eigendom)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 (bestemming): «Bedrijventerrein» — предприятия, офисы, услуги и служебное жильё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полностью сдан в аренду, заполняемость 100 %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Продажа по схеме sale-and-lease-back с действующим арендатором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сразу (per direct beschikbaar), в арендованном состоянии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Ans de Wijn Bedrijfshuisvesting B.V., тел. 030-23 22 303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КЛЮЧЕВЫЕ РИСКИ И ПРОВЕРКИ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Ставка выше рынка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Средневзвешенная ставка составляет ≈ € 119/м² в год (73.300 / 616 м²), тогда как местные ориентиры по Монтфорту для объектов сопоставимого размера заметно ниже (Mastwijkerdijk 108-A — € 60/м² в год, IJsselveld 5A — € 58/м² в год), а уровни € 90-130/м² в год встречаются лишь у мелких блоков площадью 24-85 м², где стоимость метра всегда выше. Это указывает на вероятное превышение рыночного уровня (overrent), характерное для обратной аренды (sale-and-lease-back): валовые 7,5 % k.k. после расходов покупателя (ставка налога на переход права для нежилой недвижимости в 2026 году остаётся 10,4 %, снижение до 8 % касается только жилья) дают ≈ 6,7-6,8 %, а на рыночной аренде — существенно меньше. Обязательно: независимое определение арендной стоимости (huurwaardebepaling) у оценщика с регистрацией NRVT, с раздельными ставками по офису и цеху и подборкой сделок по IJsselveld за 24 месяца.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Арендатор и обратная аренда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Заполняемость 100 % при единственном арендаторе — это не диверсификация, а риск по принципу «всё или ничего»: неплатёжеспособность PixioDigital NL B.V. обнуляет денежный поток, а при обратной аренде (sale-and-lease-back) продавец и арендатор аффилированы, то есть договор мог быть составлен под цену продажи, а не под рынок. Запросите выписку из торгового реестра (KvK) с датой основания, конечными бенефициарами и структурой группы, депонированную годовую отчётность за три года, кредитную оценку (Graydon, Creditsafe) и подтверждение обеспечения — банковскую гарантию (bankgarantie) или гарантийный депозит (waarborgsom) не менее чем на три месяца, при слабом балансе — гарантию группы. Отдельно сверьте дату подписания договора аренды с датой сделки и фактические платежи за 12 месяцев по банковским выпискам, чтобы исключить скрытые скидки и период освобождения от арендной платы (huurvrije periode).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Простой и выход из инвестиции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Средневзвешенный срок аренды (WALT) 10 лет выглядит комфортно, но основной риск сосредоточен в моменте повторной сдачи: офис 1979 года постройки во второстепенной локации сдаётся медленно, а при рыночной ставке ниже договорной сложатся падение дохода, льготы новому арендатору (incentives), брокерское вознаграждение и ремонт под нового пользователя. Заложите в модель 6-12 месяцев простоя и проверьте делимость объекта на самостоятельные блоки — отдельные входы, приборы учёта, возможность сдавать цех и офис порознь. В открытых объявлениях по адресу Steenovenweg 11 фигурируют отдельные единицы A и B — уточните по кадастровому объекту Montfoort, секция A, номер 3741, что именно входит в сделку и нет ли субаренды (onderhuur).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Договор и индексация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Установите, использована ли типовая модель ROZ для офисных помещений (kantoorruimte, ст. 7:230a Гражданского кодекса Нидерландов — BW) редакции 2015 года или обновлённая редакция 2025 года, и какой механизм индексации выбран: в новых моделях привязка к индексу потребительских цен (CPI) больше не обязательна — допустимы фиксированный процент, иной индекс или полный отказ от индексации, что прямо определяет реальную доходность на десять лет. Проверьте наличие у арендатора права досрочного расторжения (break-опция, часто на пятом году), структуру эксплуатационных платежей (servicekosten), распределение обслуживания по разграничительному перечню ROZ (demarcatielijst) и обязанность восстановить состояние помещений при выезде. Для помещений по ст. 7:230a BW законной процедуры пересмотра арендной платы (huurprijsherziening) нет, поэтому всё, что не закреплено в договоре, позже не отыграть.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Статус по НДС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Проверьте, оформлена ли аренда как облагаемая НДС (btw-belaste verhuur) — опцией в договоре либо совместным заявлением в налоговую службу (Belastingdienst) — и выполняет ли арендатор 90-процентный критерий облагаемого использования: при его нарушении опция отпадает задним числом и собственник теряет вычет по расходам. Цех 2019 года постройки и солнечные панели с высокой вероятностью ещё находятся в периоде корректировки вычета (herzieningstermijn — для недвижимости это год ввода в эксплуатацию плюс девять последующих лет), поэтому переход на освобождённую аренду грозит возвратом ранее вычтенного НДС (herziening). Запросите положения договора о НДС, год первого использования цеха, историю вычетов и заключение налогового консультанта о применимости ст. 37d Закона об НДС (art. 37d Wet OB).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Энергетический класс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Офис занимает 368 из 616 м², то есть ≈ 59,7 % площади здания, поэтому исключение из обязанности иметь класс C для зданий, где офисная функция занимает менее 50 % полезной площади (gebruiksoppervlakte), здесь не действует — требование применяется в полном объёме. Заявленный класс B со сроком действия до 24-06-2036 формально её закрывает и является плюсом объекта, но проверьте фактическую регистрацию сертификата в реестре EP-online именно на этот кадастровый объект и его охват — всё здание или только офисная часть. Учтите, что с 29-05-2026 в рамках директивы EPBD IV меняются форма и содержание энергетического сертификата, а требования к офисам в ближайшие годы ужесточатся, — заложите капитальные затраты на возможное повышение класса на горизонте владения.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Передача «as is»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 в состоянии «как есть» («as is, where is») перекладывает на покупателя все скрытые дефекты, поэтому обследования нужно заказать до подписания, а не после. По экологии: разведочное обследование грунта (verkennend bodemonderzoek) по стандарту NEN 5740 с учётом ПФАС (PFAS), проверка реестра bodemloket и архива муниципалитета и надзорной службы (omgevingsdienst) на исторические решения о загрязнении (WBB-beschikking ernst en spoedeisendheid, ныне в режиме Omgevingswet / Aanvullingswet bodem) и инвентаризация асбеста типа A (asbestinventarisatie type A) — офисная часть 1979 года попадает в период до 1994 года. По технике: несущая способность пола не установлена (1.000 кг/м² — оценка, а не факт), поэтому нужны конструктивное обследование (constructieve keuring) с расчётом нагрузки на пол (vloerbelasting), инспекция по NEN 2767 и план обслуживания на десять лет (MJOP), а также правовой статус солнечных панелей — собственность, лизинг, право застройки (opstalrecht), субсидия SDE, кому принадлежит выработка.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Назначение участка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 «Bedrijventerrein» обычно допускает офис только как подчинённую функцию с ограничением доли площади, а здесь офис занимает почти 60 % здания при арендаторе с цифровым профилем; если текущее использование держится лишь на переходном праве (overgangsrecht), круг будущих арендаторов резко сужается. Проверьте действующий план застройки (bestemmingsplan / omgevingsplan) через omgevingswet.overheid.nl: категорию воздействия на среду (milieucategorie), допустимую долю офисных площадей, пятно застройки (bouwvlak), норматив парковки в сопоставлении с 15 имеющимися местами на участке 964 м². Запросите разрешение (omgevingsvergunning) и документы приёмки цеха 2019 года, а также кадастровую проверку (kadastrale recherche) по объекту Montfoort, секция A, номер 3741 на предмет сервитутов (erfdienstbaarheden), квалитативных обязательств и прав третьих лиц.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enovenweg-11-13-montfoort-goog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Расположение объекта: Montfoort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986579a8a46ab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Внутренний двор с парковкой и подъездом к производственному цеху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ce42b4ee22556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Производственный цех: секционные ворота и погрузочная зона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aaa923b6d34b59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Главный вход, зона ресепшен арендатора PixioDigital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90a1d2f3a2bdc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Зона ресепшен, реечный деревянный потолок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45bbf9a8637bf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Коридор офисной части со стеклянными перегородками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4cc6d8681e11f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Внутренний коридор офисной части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44f7e9e9b30823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Рабочая зона офиса с кондиционированием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17b9a31d6e9dd6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Офисное помещение, второй этаж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b19f8951f519c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Открытая рабочая зона офиса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99022bf6d152b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Кабинет с рабочими местами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9068d5385e7b32a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Зона ожидания и переговоров у окна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9f67d4e85488bb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Производственный цех: стеллажи и рабочая зона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bc88930853c2c4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Цех: складская зона и погрузочная техника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5fb29c5b21c04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Антресольный этаж в производственном цехе</w:t>
      </w:r>
    </w:p>
    <w:p>
      <w:pPr>
        <w:sectPr>
          <w:headerReference w:type="default" r:id="rId9"/>
          <w:footerReference w:type="default" r:id="rId10"/>
          <w:pgSz w:w="11906" w:h="16838"/>
          <w:pgMar w:top="1077" w:right="1174" w:bottom="1134" w:left="1174" w:header="680" w:footer="680" w:gutter="0"/>
          <w:cols w:space="720"/>
          <w:docGrid w:linePitch="360"/>
        </w:sectPr>
      </w:pP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pStyle w:val="Heading1"/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Decimalaan 3-5-7-9 и Nieuw-Amsterdamlaan 4-6, Utrecht</w:t>
      </w:r>
    </w:p>
    <w:tbl>
      <w:tblPr>
        <w:tblW w:type="auto" w:w="0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204"/>
        <w:gridCol w:w="120"/>
        <w:gridCol w:w="1372"/>
        <w:gridCol w:w="120"/>
        <w:gridCol w:w="2548"/>
        <w:gridCol w:w="4170"/>
      </w:tblGrid>
      <w:tr>
        <w:trPr>
          <w:cantSplit w:val="1"/>
        </w:trPr>
        <w:tc>
          <w:tcPr>
            <w:tcW w:type="dxa" w:w="1204"/>
            <w:shd w:val="clear" w:color="auto" w:fill="F7EFD9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6"/>
              </w:rPr>
              <w:t>100 % сдано</w:t>
            </w:r>
          </w:p>
        </w:tc>
        <w:tc>
          <w:tcPr>
            <w:tcW w:type="dxa" w:w="120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1372"/>
            <w:shd w:val="clear" w:color="auto" w:fill="F7EFD9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6"/>
              </w:rPr>
              <w:t>WALT 2,4 года</w:t>
            </w:r>
          </w:p>
        </w:tc>
        <w:tc>
          <w:tcPr>
            <w:tcW w:type="dxa" w:w="120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2548"/>
            <w:shd w:val="clear" w:color="auto" w:fill="F7EFD9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6"/>
              </w:rPr>
              <w:t>BAR 4,7 % на текущей аренде</w:t>
            </w:r>
          </w:p>
        </w:tc>
        <w:tc>
          <w:tcPr>
            <w:tcW w:type="dxa" w:w="4170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</w:p>
        </w:tc>
      </w:tr>
    </w:tbl>
    <w:p>
      <w:pPr>
        <w:spacing w:before="20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3526 AH • Бизнес-зона Kanaleneiland • Провинция Утрехт</w:t>
      </w:r>
    </w:p>
    <w:p>
      <w:pPr>
        <w:spacing w:before="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33600" cy="259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d9sx4kq6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single" w:sz="12" w:space="0" w:color="FFFFFF"/>
        </w:tblBorders>
        <w:tblLayout w:type="fixed"/>
        <w:tblLook w:firstColumn="1" w:firstRow="1" w:lastColumn="0" w:lastRow="0" w:noHBand="0" w:noVBand="1" w:val="04A0"/>
      </w:tblPr>
      <w:tblGrid>
        <w:gridCol w:w="2383"/>
        <w:gridCol w:w="2383"/>
        <w:gridCol w:w="2383"/>
        <w:gridCol w:w="2383"/>
      </w:tblGrid>
      <w:tr>
        <w:trPr>
          <w:cantSplit w:val="1"/>
        </w:trPr>
        <w:tc>
          <w:tcPr>
            <w:tcW w:type="dxa" w:w="2383"/>
            <w:shd w:val="clear" w:color="auto" w:fill="F4F6F8"/>
            <w:tcMar>
              <w:top w:w="160" w:type="dxa"/>
              <w:start w:w="200" w:type="dxa"/>
              <w:bottom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i w:val="0"/>
                <w:color w:val="5A6E80"/>
                <w:spacing w:val="20"/>
                <w:sz w:val="16"/>
              </w:rPr>
              <w:t>ЦЕНА</w:t>
            </w:r>
          </w:p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26"/>
              </w:rPr>
              <w:t>€ 2.975.000</w:t>
            </w:r>
          </w:p>
        </w:tc>
        <w:tc>
          <w:tcPr>
            <w:tcW w:type="dxa" w:w="2383"/>
            <w:shd w:val="clear" w:color="auto" w:fill="F4F6F8"/>
            <w:tcMar>
              <w:top w:w="160" w:type="dxa"/>
              <w:start w:w="200" w:type="dxa"/>
              <w:bottom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i w:val="0"/>
                <w:color w:val="5A6E80"/>
                <w:spacing w:val="20"/>
                <w:sz w:val="16"/>
              </w:rPr>
              <w:t>ДОХОД В ГОД</w:t>
            </w:r>
          </w:p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26"/>
              </w:rPr>
              <w:t>€ 139.164</w:t>
            </w:r>
          </w:p>
        </w:tc>
        <w:tc>
          <w:tcPr>
            <w:tcW w:type="dxa" w:w="2383"/>
            <w:shd w:val="clear" w:color="auto" w:fill="F4F6F8"/>
            <w:tcMar>
              <w:top w:w="160" w:type="dxa"/>
              <w:start w:w="200" w:type="dxa"/>
              <w:bottom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i w:val="0"/>
                <w:color w:val="5A6E80"/>
                <w:spacing w:val="20"/>
                <w:sz w:val="16"/>
              </w:rPr>
              <w:t>BAR К ЦЕНЕ ВХОДА</w:t>
            </w:r>
          </w:p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26"/>
              </w:rPr>
              <w:t>4,2 %</w:t>
            </w:r>
          </w:p>
        </w:tc>
        <w:tc>
          <w:tcPr>
            <w:tcW w:type="dxa" w:w="2383"/>
            <w:shd w:val="clear" w:color="auto" w:fill="F4F6F8"/>
            <w:tcMar>
              <w:top w:w="160" w:type="dxa"/>
              <w:start w:w="200" w:type="dxa"/>
              <w:bottom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i w:val="0"/>
                <w:color w:val="5A6E80"/>
                <w:spacing w:val="20"/>
                <w:sz w:val="16"/>
              </w:rPr>
              <w:t>ПЛОЩАДЬ</w:t>
            </w:r>
          </w:p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26"/>
              </w:rPr>
              <w:t>2.935 м²</w:t>
            </w:r>
          </w:p>
        </w:tc>
      </w:tr>
    </w:tbl>
    <w:p>
      <w:pPr>
        <w:spacing w:before="200" w:after="200"/>
      </w:pPr>
      <w:r>
        <w:rPr>
          <w:rFonts w:ascii="Calibri" w:hAnsi="Calibri" w:cs="Calibri" w:eastAsia="Calibri"/>
          <w:b w:val="0"/>
          <w:i/>
          <w:color w:val="1A3A5C"/>
          <w:sz w:val="20"/>
        </w:rPr>
        <w:t>Value-add объект для инвестора с локальной управляющей экспертизой: покупка на низкой текущей доходности ради реверсии аренды к рыночному уровню и опции редевелопмента участка у Woonboulevard.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900"/>
        <w:gridCol w:w="6128"/>
      </w:tblGrid>
      <w:tr>
        <w:tc>
          <w:tcPr>
            <w:tcW w:type="dxa" w:w="9028"/>
            <w:gridSpan w:val="2"/>
            <w:shd w:val="clear" w:color="auto" w:fill="EFF2F5"/>
            <w:tcMar>
              <w:top w:w="12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pacing w:val="20"/>
                <w:sz w:val="17"/>
              </w:rPr>
              <w:t>ФИНАНСЫ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€ 2.975.000 k.k.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входа (с k.k.)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€ 3.320.100 — включая overdrachtsbelasting 10,4 % и расходы по сделке 1,2 %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€ 139.164 в год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Рыночная арендная стоимость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€ 225.000 в год (BAR к цене входа ≈ 6,8 %)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Ставка аренды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€ 47/м² в год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€ 1.014/м²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BAR к цене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4,7 %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BAR к цене входа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4,2 %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NAR к цене входа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2,9 % (при эксплуатационных расходах 30,0 % от аренды)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Сценарий: Выход на рыночную арендную стоимость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доход € 225.000 в год, BAR ≈ 6,8 %</w:t>
            </w:r>
          </w:p>
        </w:tc>
      </w:tr>
      <w:tr>
        <w:tc>
          <w:tcPr>
            <w:tcW w:type="dxa" w:w="9028"/>
            <w:gridSpan w:val="2"/>
            <w:shd w:val="clear" w:color="auto" w:fill="EFF2F5"/>
            <w:tcMar>
              <w:top w:w="12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pacing w:val="20"/>
                <w:sz w:val="17"/>
              </w:rPr>
              <w:t>ОБЪЕКТ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2.935 м² (сдано 100 %)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2.597 м² (собственная земля)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несколько производственно-складских блоков и служебное жильё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1965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не предоставлен (niet beschikbaar)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полная собственность (volledig eigendom)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Арендаторы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7 арендаторов, WALT ≈ 2,4 года, заполняемость 100 %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Bedrijventerrein-2, экологические категории 1–3.1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 (in overleg)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hyperlink r:id="rId31">
              <w:r>
                <w:rPr>
                  <w:rFonts w:ascii="Calibri" w:hAnsi="Calibri" w:cs="Calibri" w:eastAsia="Calibri"/>
                  <w:b w:val="0"/>
                  <w:i w:val="0"/>
                  <w:color w:val="1A3A5C"/>
                  <w:sz w:val="19"/>
                  <w:u w:val="single"/>
                </w:rPr>
                <w:t>https://www.fundainbusiness.nl/en/belegging/utrecht/object-43068622-decimalaan-3/</w:t>
              </w:r>
            </w:hyperlink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Utrecht — бизнес-зона Kanaleneiland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Утрехт (Utrecht) — четвёртый по величине город Нидерландов и административный центр одноимённой провинции; население муниципалитета на 1 января 2026 года составляет около 378.100 человек. Город расположен в географическом центре страны и является ключевым транспортным узлом: здесь сходятся федеральные трассы A2, A12, A27 и A28, а центральный вокзал Utrecht Centraal — крупнейший железнодорожный хаб Нидерландов.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находится в бизнес-зоне Kanaleneiland (Bedrijvengebied Kanaleneiland) на юго-западе города — территории смешанного использования с производственными предприятиями и объектами периферийной розничной торговли (PDV). Комплекс расположен непосредственно у Woonboulevard Utrecht — крупнейшего мебельного бульвара страны, где на расстоянии пешей доступности работают около 69 магазинов, включая IKEA, Trendhopper, CarpetRight, KVIK и Auping Plaza. Локация обладает высокой видимостью, находится рядом со съездами с A2 и A12 и имеет отличную связь с центром Утрехта; поблизости — остановки общественного транспорта и супермаркеты.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Инвестиционный комплекс из сданных в аренду коммерческих объектов с потенциалом редевелопмента, расположенный на видовой, хорошо доступной локации непосредственно у Woonboulevard Utrecht. В состав входят адреса Decimalaan 3, 5, 7 и 9, а также Nieuw-Amsterdamlaan 4 и 6.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Комплекс состоит из нескольких производственно-складских блоков и одного служебного жилого помещения (bedrijfswoning) общей площадью около 2.935 м² на участке 2.597 м². Здание построено в 1965 году; объект полностью сдан в аренду семи арендаторам, договоры аренды заключены преимущественно в письменной форме.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Текущий арендный доход существенно ниже рыночного уровня: € 139.164 в год против рыночной арендной стоимости € 225.000 в год. Именно на рыночной арендной стоимости основана заявленная валовая начальная доходность (BAR) 7,5 %; доходность по фактическому арендному потоку составляет около 4,7 %. Небольшой средневзвешенный срок аренды (WALT ≈ 2,4 года) даёт инвестору возможность в короткой перспективе привести ставки к рыночному уровню либо приступить к редевелопменту участка.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Decimalaan 3, 5, 7, 9 — производственно-складские и коммерческие блоки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Nieuw-Amsterdamlaan 4, 6 — дополнительные помещения комплекса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Служебное жилое помещение (bedrijfswoning) в составе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арендуемая площадь: ≈ 2.935 м², сдано 2.935 м² (100 %)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2.597 м² (кадастровая)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Разбивка площадей по отдельным адресам в листинге не приводится — предоставляется по запросу (NEN2580, поэтажные планы)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Количество арендаторов: 7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Текущий арендный доход: € 139.164 в год без НДС и эксплуатационных расходов (применяется НДС 21 %)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Рыночная арендная стоимость: € 225.000 в год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(BAR): 7,5 % — рассчитана от рыночной арендной стоимости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Доходность по фактическому арендному потоку: ≈ 4,7 % от запрашиваемой цены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Средневзвешенный оставшийся срок аренды (WALT): ≈ 2,4 года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Договоры аренды заключены преимущественно в письменной форме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Потенциал: приведение арендных ставок к рыночному уровню либо редевелопмент участка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2.597 м² собственной земли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Utrecht, секция R, номера 221, 370, 371 и 548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Вещное право: полная собственность (volledig eigendom)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Действующий план землепользования: «Actualisering diverse gebieden» от 31-10-2013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Назначение: Bedrijventerrein-2 — предприятия экологических категорий 1–3.1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Расположение: бизнес-зона и зона периферийной розничной торговли (PDV)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Бизнес-зона Kanaleneiland на юго-западе Утрехта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Непосредственное соседство с Woonboulevard Utrecht (≈ 69 магазинов, крупнейший мебельный бульвар Нидерландов)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Близость к федеральным трассам A2 и A12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Отличная связь с центром Утрехта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Ж/д станция, автобусные остановки и супермаркеты — в непосредственной близости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Высокая видимость объекта для проезжающего транспорта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полностью в арендованном состоянии (volledig verhuurde staat)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Заявленный потенциал редевелопмента территории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 (in overleg)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класс не предоставлен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При серьёзном интересе предоставляются: справки о назначении и использовании, информация о состоянии почв, решение WBB, строительное досье, арендные ведомости, кадастровые выписки и карта, документы о праве собственности, обмер NEN2580, начисление налога на недвижимость (OZB), поэтажные планы и форма данных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Brecheisen Bedrijfsmakelaars, тел. 030-2331116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КЛЮЧЕВЫЕ РИСКИ И ПРОВЕРКИ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Заявленная доходность (BAR)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Заявленные 7,5 % рассчитаны от рыночной арендной стоимости € 225.000, а не от фактического дохода: € 139.164 / € 2.975.000 = 4,68 % на условиях k.k., а с учётом налога на переход права (overdrachtsbelasting) 10,4 % для нежилой недвижимости и прочих расходов покупателя — порядка 4,2 % на условиях v.o.n. Запросить арендную ведомость (huurlijst) по каждому помещению — площадь, срок, ставка, эксплуатационные платежи (servicekosten), обеспечение — и письменное обоснование оценки € 225.000 от продавца либо независимого оценщика (taxateur). Разрыв между 4,7 % сегодня и 7,5 % «на бумаге» — это сценарий повышения дохода, а не текущая доходность.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Рыночность арендной ставки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Текущая аренда составляет ≈ € 47/м² в год при заявленном рыночном уровне ≈ € 77/м² в год; по данным Utrecht Monitor верхний уровень ставок (tophuur) для производственно-складских помещений (bedrijfsruimte) в Утрехте в 2025 году — € 95/м² в год, но он относится к современным объектам в лучших локациях, тогда как здесь постройка 1965 года. Запросить разбивку рыночной оценки по помещениям — производственный зал (hal), витринная часть, офис, антресоль, служебное жильё (bedrijfswoning): при 2.935 м² на участке 2.597 м² часть площадей приходится на верхние уровни и антресоли, которые сдаются кратно дешевле зала. Подтвердить оценку тремя-пятью сопоставимыми сделками по Kanaleneiland и Woonboulevard, а не только предложениями о сдаче.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Срок аренды (WALT) и вакансия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WALT 2,4 года при семи арендаторах означает, что основная часть договоров подходит к пересмотру в горизонте 2–3 лет: это одновременно окно для приведения ставок к рынку (+ € 85.836 в год, или + 62 %) и главный риск дохода. В Утрехте на конец 2025 года предложение производственно-складских помещений составляло 59.700 м² при поглощении 24.400 м² (− 22 % год к году), поэтому в модель следует заложить простой, арендные каникулы (huurvrije periode), брокерскую комиссию за сдачу (verhuurcourtage) и капитальные вложения в доведение помещений до рыночного уровня. Проверить график истечения договоров по годам и концентрацию дохода: долю крупнейшего арендатора в общей аренде.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Арендаторы и договоры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 каждому арендатору запросить выписку из торгового реестра (uittreksel KvK), депонированную годовую отчётность и платёжную историю, а также гарантийный депозит (waarborgsom) или банковские гарантии — автосервисы часто представлены небольшими компаниями с ограниченной ответственностью (BV) и тонким капиталом. Проверить редакцию типового договора ROZ, механизм индексации (индекс потребительских цен, дата пересмотра, наличие пропущенных индексаций), условия досрочного расторжения, а также правовой режим: автосервис с приёмом клиентов может квалифицироваться как ремесленное предприятие по ст. 7:290 Гражданского кодекса Нидерландов (ambachtsbedrijf, защита 5 + 5 лет), а служебное жильё (bedrijfswoning) при отдельной сдаче попадает под режим жилой аренды с защитой нанимателя (huurbescherming). Отдельно подтвердить, по всем ли договорам применена опция аренды с НДС (btw-belaste verhuur), требующая не менее 90 % облагаемого использования у арендатора: освобождённое использование служебного жилья даёт пропорциональный вычет (pro rata) и риск корректировки ранее вычтенного НДС (herziening) по прошлым вложениям.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Состояние почв и решение WBB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Наличие решения по Закону об охране почв (Wet bodembescherming, WBB) в перечне документов указывает на квалифицированный случай загрязнения. Сам закон отменён с 01-01-2024 вместе с введением Закона о среде обитания (Omgevingswet), но по решениям о серьёзности и срочности (ernst/spoed), принятым до этой даты, действует переходное право, включая обязанность санации (saneringsplicht) для промышленных территорий, — то есть обязанность может перейти к покупателю. Запросить само решение, историческое исследование (NEN 5725) и предварительное либо углублённое обследование почв (NEN 5740), статус санации и последующего контроля (nazorg), регистрацию ограничения в публичном реестре (WKPB), а по автосервисам — историю подземных резервуаров (ondergrondse tanks) с сертификатом ликвидации (KIWA/BOOT), мойки (wasplaats) и маслоотделителя (olieafscheider).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Асбест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 1965 — до запрета 1994 года, поэтому вероятность асбеста в кровле, облицовке, вентиляции и технических помещениях высокая. Запросить инвентаризацию асбеста (asbestinventarisatie) типа A и план управления (beheersplan); перед реконструкцией или сносом обязательна инвентаризация типа B, а при асбестовой кровле страховщики часто ограничивают покрытие. Параллельно запросить многолетний план обслуживания (MJOP) и заключения по несущим конструкциям, кровле, электрике и вентиляции: при цене ≈ € 1.014/м² скрытые капитальные вложения быстро съедают выигрыш от приведения ставок к рынку.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Энергетический класс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 (energielabel) не предоставлен, хотя действующий сертификат обязателен при продаже и сдаче нежилого объекта. Запрет эксплуатировать офис без сертификата не ниже класса C (с 01-01-2023) не применяется, если офисная функция занимает менее 50 % общей полезной площади здания (gebruiksoppervlakte) или менее 100 м²; при преобладании производственно-складских площадей и автосервисов исключение здесь вероятно, но должно подтверждаться расчётом полезной площади по функциям от консультанта по энергоэффективности (EP-adviseur), а не допущением. Учесть, что офисные вставки в отдельных блоках могут переводить конкретное здание в сферу действия запрета, и заложить бюджет на дальнейшее ужесточение требований к нежилому фонду.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План землепользования и кадастр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 — Bedrijventerrein-2, категории 1–3.1 по плану «Actualisering diverse gebieden» от 31-10-2013, который с 01-01-2024 вошёл во временную часть плана среды обитания (omgevingsplan); муниципалитет обязан привести его к постоянному варианту к 2032 году, поэтому потенциал редевелопмента — это ожидание, а не право. Проверить в цифровой системе среды обитания (DSO, «Regels op de kaart») процент застройки, высоту, нормы парковки и статус служебного жилья (bedrijfswoning) — действующее право или переходное право (overgangsrecht), а также позицию Утрехта по зоне у Woonboulevard: смена функции потребует изменения omgevingsplan, зонирования по экологическим категориям (milieuzonering), шумовых расчётов и санации почв. По четырём участкам (Utrecht, секция R, номера 221, 370, 371 и 548) заказать кадастровые выписки и проверку обременений (hypothecaire recherche): сервитуты, право застройки (opstalrecht), качественные обязательства (kwalitatieve verplichtingen), публично-правовые ограничения и соответствие фактической застройки и парковки границам участков.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malaan-3-utrecht-googl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Расположение объекта: Utrecht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b943fc4657b649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Фасад производственного блока с секционными воротами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049c4648178a5a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Проезд вдоль комплекса, въезды в отдельные блоки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94d98cb45008ba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Блок с витринной частью и отдельным входом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f1601791fb6674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Блок автосервиса, секционные ворота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55d5dc4bb36fc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Производственный зал большой площади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dc3dbcb09772df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Автосервисный блок с подъёмниками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c2d55de4b54a18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Свободное помещение под отделку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8fd5877ed1eaa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Помещение с кухонной зоной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ddbd869be6fc0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Офисно-бытовое помещение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725cda3d35d071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Внутренний проезд и подсобная зона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7e961632bebfaf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Мастерская арендатора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55147b7d1392c3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Зал с автомобильным подъёмником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a5f22bc889b161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Складской блок с материалами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f5f3ef7c23f8f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Сервисный бокс</w:t>
      </w:r>
    </w:p>
    <w:p>
      <w:pPr>
        <w:sectPr>
          <w:headerReference w:type="default" r:id="rId28"/>
          <w:footerReference w:type="default" r:id="rId29"/>
          <w:pgSz w:w="11906" w:h="16838"/>
          <w:pgMar w:top="1077" w:right="1174" w:bottom="1134" w:left="1174" w:header="680" w:footer="680" w:gutter="0"/>
          <w:cols w:space="720"/>
          <w:docGrid w:linePitch="360"/>
        </w:sectPr>
      </w:pP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pStyle w:val="Heading1"/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Archimedesbaan 11 и 7-9, Nieuwegein</w:t>
      </w:r>
    </w:p>
    <w:tbl>
      <w:tblPr>
        <w:tblW w:type="auto" w:w="0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540"/>
        <w:gridCol w:w="120"/>
        <w:gridCol w:w="1456"/>
        <w:gridCol w:w="120"/>
        <w:gridCol w:w="2212"/>
        <w:gridCol w:w="4086"/>
      </w:tblGrid>
      <w:tr>
        <w:trPr>
          <w:cantSplit w:val="1"/>
        </w:trPr>
        <w:tc>
          <w:tcPr>
            <w:tcW w:type="dxa" w:w="1540"/>
            <w:shd w:val="clear" w:color="auto" w:fill="F7EFD9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6"/>
              </w:rPr>
              <w:t>BAR к.к. 6,35 %</w:t>
            </w:r>
          </w:p>
        </w:tc>
        <w:tc>
          <w:tcPr>
            <w:tcW w:type="dxa" w:w="120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1456"/>
            <w:shd w:val="clear" w:color="auto" w:fill="F7EFD9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6"/>
              </w:rPr>
              <w:t>WALT ~2,0 года</w:t>
            </w:r>
          </w:p>
        </w:tc>
        <w:tc>
          <w:tcPr>
            <w:tcW w:type="dxa" w:w="120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</w:p>
        </w:tc>
        <w:tc>
          <w:tcPr>
            <w:tcW w:type="dxa" w:w="2212"/>
            <w:shd w:val="clear" w:color="auto" w:fill="F7EFD9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6"/>
              </w:rPr>
              <w:t>30 % дохода расторгнуто</w:t>
            </w:r>
          </w:p>
        </w:tc>
        <w:tc>
          <w:tcPr>
            <w:tcW w:type="dxa" w:w="40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</w:p>
        </w:tc>
      </w:tr>
    </w:tbl>
    <w:p>
      <w:pPr>
        <w:spacing w:before="20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3439 ME • Промышленный парк Plettenburg • Провинция Утрехт</w:t>
      </w:r>
    </w:p>
    <w:p>
      <w:pPr>
        <w:spacing w:before="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33600" cy="259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_i9xrmrn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single" w:sz="12" w:space="0" w:color="FFFFFF"/>
        </w:tblBorders>
        <w:tblLayout w:type="fixed"/>
        <w:tblLook w:firstColumn="1" w:firstRow="1" w:lastColumn="0" w:lastRow="0" w:noHBand="0" w:noVBand="1" w:val="04A0"/>
      </w:tblPr>
      <w:tblGrid>
        <w:gridCol w:w="2383"/>
        <w:gridCol w:w="2383"/>
        <w:gridCol w:w="2383"/>
        <w:gridCol w:w="2383"/>
      </w:tblGrid>
      <w:tr>
        <w:trPr>
          <w:cantSplit w:val="1"/>
        </w:trPr>
        <w:tc>
          <w:tcPr>
            <w:tcW w:type="dxa" w:w="2383"/>
            <w:shd w:val="clear" w:color="auto" w:fill="F4F6F8"/>
            <w:tcMar>
              <w:top w:w="160" w:type="dxa"/>
              <w:start w:w="200" w:type="dxa"/>
              <w:bottom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i w:val="0"/>
                <w:color w:val="5A6E80"/>
                <w:spacing w:val="20"/>
                <w:sz w:val="16"/>
              </w:rPr>
              <w:t>ЦЕНА</w:t>
            </w:r>
          </w:p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26"/>
              </w:rPr>
              <w:t>€ 1.750.000</w:t>
            </w:r>
          </w:p>
        </w:tc>
        <w:tc>
          <w:tcPr>
            <w:tcW w:type="dxa" w:w="2383"/>
            <w:shd w:val="clear" w:color="auto" w:fill="F4F6F8"/>
            <w:tcMar>
              <w:top w:w="160" w:type="dxa"/>
              <w:start w:w="200" w:type="dxa"/>
              <w:bottom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i w:val="0"/>
                <w:color w:val="5A6E80"/>
                <w:spacing w:val="20"/>
                <w:sz w:val="16"/>
              </w:rPr>
              <w:t>ДОХОД В ГОД</w:t>
            </w:r>
          </w:p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26"/>
              </w:rPr>
              <w:t>€ 111.153</w:t>
            </w:r>
          </w:p>
        </w:tc>
        <w:tc>
          <w:tcPr>
            <w:tcW w:type="dxa" w:w="2383"/>
            <w:shd w:val="clear" w:color="auto" w:fill="F4F6F8"/>
            <w:tcMar>
              <w:top w:w="160" w:type="dxa"/>
              <w:start w:w="200" w:type="dxa"/>
              <w:bottom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i w:val="0"/>
                <w:color w:val="5A6E80"/>
                <w:spacing w:val="20"/>
                <w:sz w:val="16"/>
              </w:rPr>
              <w:t>BAR К ЦЕНЕ ВХОДА</w:t>
            </w:r>
          </w:p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26"/>
              </w:rPr>
              <w:t>5,7 %</w:t>
            </w:r>
          </w:p>
        </w:tc>
        <w:tc>
          <w:tcPr>
            <w:tcW w:type="dxa" w:w="2383"/>
            <w:shd w:val="clear" w:color="auto" w:fill="F4F6F8"/>
            <w:tcMar>
              <w:top w:w="160" w:type="dxa"/>
              <w:start w:w="200" w:type="dxa"/>
              <w:bottom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i w:val="0"/>
                <w:color w:val="5A6E80"/>
                <w:spacing w:val="20"/>
                <w:sz w:val="16"/>
              </w:rPr>
              <w:t>ПЛОЩАДЬ</w:t>
            </w:r>
          </w:p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26"/>
              </w:rPr>
              <w:t>1.876 м²</w:t>
            </w:r>
          </w:p>
        </w:tc>
      </w:tr>
    </w:tbl>
    <w:p>
      <w:pPr>
        <w:spacing w:before="200" w:after="200"/>
      </w:pPr>
      <w:r>
        <w:rPr>
          <w:rFonts w:ascii="Calibri" w:hAnsi="Calibri" w:cs="Calibri" w:eastAsia="Calibri"/>
          <w:b w:val="0"/>
          <w:i/>
          <w:color w:val="1A3A5C"/>
          <w:sz w:val="20"/>
        </w:rPr>
        <w:t>Небольшой промышленно-офисный объект в устоявшемся парке Plettenburg под value-add: аренда примерно на 25-45 % ниже asking-уровня улицы, но 30 % дохода уже под расторжением — для инвестора, готового к переарендации и capex, а не к пассивному купонному доходу.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900"/>
        <w:gridCol w:w="6128"/>
      </w:tblGrid>
      <w:tr>
        <w:tc>
          <w:tcPr>
            <w:tcW w:type="dxa" w:w="9028"/>
            <w:gridSpan w:val="2"/>
            <w:shd w:val="clear" w:color="auto" w:fill="EFF2F5"/>
            <w:tcMar>
              <w:top w:w="12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pacing w:val="20"/>
                <w:sz w:val="17"/>
              </w:rPr>
              <w:t>ФИНАНСЫ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€ 1.750.000 k.k.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входа (с k.k.)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€ 1.953.000 — включая overdrachtsbelasting 10,4 % и расходы по сделке 1,2 %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€ 111.153 в год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Ставка аренды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€ 59/м² в год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€ 933/м²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BAR к цене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6,4 %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BAR к цене входа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5,7 %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NAR к цене входа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4,4 % (при эксплуатационных расходах 22,0 % от аренды)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Сценарий: После освобождения офисной части (Archimedesbaan 7-9)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доход € 77.498 в год, BAR ≈ 4,0 %</w:t>
            </w:r>
          </w:p>
        </w:tc>
      </w:tr>
      <w:tr>
        <w:tc>
          <w:tcPr>
            <w:tcW w:type="dxa" w:w="9028"/>
            <w:gridSpan w:val="2"/>
            <w:shd w:val="clear" w:color="auto" w:fill="EFF2F5"/>
            <w:tcMar>
              <w:top w:w="12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pacing w:val="20"/>
                <w:sz w:val="17"/>
              </w:rPr>
              <w:t>ОБЪЕКТ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1.876 м² (1.375 м² производство + 490 м² офис + 11 м² вход)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2.276 м² (собственная земля)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производственно-офисное здание, полностью сдано в аренду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1989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D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собственная земля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Арендаторы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2: Euromaster Bandenservice B.V. и KNBB / Nederlandse Darts Bond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Заполняемость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100 % (договор по Archimedesbaan 7-9 расторгнут арендатором)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 с продавцом</w:t>
            </w:r>
          </w:p>
        </w:tc>
      </w:tr>
      <w:tr>
        <w:tc>
          <w:tcPr>
            <w:tcW w:type="dxa" w:w="29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1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hyperlink r:id="rId50">
              <w:r>
                <w:rPr>
                  <w:rFonts w:ascii="Calibri" w:hAnsi="Calibri" w:cs="Calibri" w:eastAsia="Calibri"/>
                  <w:b w:val="0"/>
                  <w:i w:val="0"/>
                  <w:color w:val="1A3A5C"/>
                  <w:sz w:val="19"/>
                  <w:u w:val="single"/>
                </w:rPr>
                <w:t>https://www.fundainbusiness.nl/en/belegging/nieuwegein/object-80846890-archimedesbaan-11/</w:t>
              </w:r>
            </w:hyperlink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Nieuwegein — промышленный парк Plettenburg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Ньивегейн (Nieuwegein) — город в провинции Утрехт с населением около 68.300 человек (2026), примыкающий к Утрехту с юга и входящий в его агломерацию. Город связан с Утрехтом линией скоростного трамвая и расположен между каналом Амстердам — Рейн и рекой Лек, что обеспечивает ему выгодное положение на пересечении основных транспортных коридоров страны.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расположен на промышленном парке Plettenburg — крупнейшей бизнес-зоне Ньивегейна (Plettenburg — De Wiers Zuid, около 1.140 предприятий и организаций). Территория отличается разнообразным составом: производственные, торговые, логистические компании и предприятия сферы услуг. Отсюда за несколько минут достижимы транспортные развязки Oudenrijn и Lunetten и федеральные трассы A2, A12, A27 и A28.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Заметный инвестиционный объект на промышленном парке Plettenburg: производственно-офисное здание 1989 года постройки, полностью сданное в аренду двум арендаторам. Первый этаж (Archimedesbaan 11) занимает производственно-сервисное помещение площадью около 1.375 м², второй этаж (Archimedesbaan 7-9) — офисные помещения около 490 м² с отдельным входом с уровня земли площадью около 11 м².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приносит валовый арендный доход около € 111.152,76 в год без НДС при запрашиваемой цене € 1.750.000 k.k., что соответствует валовой начальной доходности около 6,35 %. Оба договора аренды действуют до 2028 года; при этом договор по офисной части (Archimedesbaan 7-9) арендатором расторгнут, что даёт покупателю возможность перезаключить аренду на новых условиях либо использовать помещения самостоятельно.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 происходит в состоянии «as is, where is» — со всеми связанными правами и обязанностями, а также со всеми видимыми и невидимыми недостатками, без каких-либо гарантий, в том числе в отношении технического, конструктивного, юридического, налогового, экологического, арендного и коммерческого аспектов.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ПЛАНИРОВКА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Archimedesbaan 11, первый этаж: ≈ 1.375 м² производственно-сервисного помещения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Archimedesbaan 7-9, первый этаж: ≈ 11 м² — отдельный вход и лестничная группа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Archimedesbaan 7-9, второй этаж: ≈ 490 м² офисных помещений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арендуемая площадь: ≈ 1.876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Обе части объекта имеют собственные входы и эксплуатируются независимо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АРЕНДАТОРЫ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Первый этаж — Euromaster Bandenservice B.V. (шинный сервис): арендная плата € 77.498,16 в год без НДС; эксплуатационные расходы € 1.025,00 в квартал без НДС; договор действует до 01-07-2028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этаж — Koninklijke Nederlandse Biljartbond и Nederlandse Darts Bond: арендная плата € 33.654,60 в год (без компенсации НДС); авансовые эксплуатационные расходы € 732,94 в квартал без НДС; текущий период действует до 01-09-2028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 аренды по Archimedesbaan 7-9 арендатором расторгнут (huurovereenkomst opgezegd)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Совокупный валовый арендный доход: ≈ € 111.152,76 в год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(BAR): ≈ 6,35 % от запрашиваемой цены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Условия индексации, депозитов и сроков уведомления в листинге не раскрыты — предоставляются по запросу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 И КАДАСТР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2.276 м² собственной земли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Jutphaas, секция D, номер 2158, площадь 2.276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Парковка на собственной территории перед зданием (количество мест в листинге не указано)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Технические характеристики (свободная высота, несущая способность пола, инженерные системы) в листинге не приводятся — уточняются при осмотре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Промышленный парк Plettenburg — крупнейшая бизнес-зона Ньивегейна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Смешанный состав: производство, торговля, логистика и сфера услуг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Отличная связь с транспортными развязками Oudenrijn и Lunetten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Федеральные трассы A2, A12, A27 и A28 достижимы за несколько минут на автомобиле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Автобусные остановки «Fahrenheitbaan» и «Martinbaan» — в нескольких минутах пешком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Утрехт и его центральный вокзал — в непосредственной близости от парка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полностью сдан в аренду, два арендатора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Расторжение договора по офисной части открывает возможность перезаключения аренды по актуальным ставкам либо собственного использования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 с продавцом, в состоянии «as is, where is», без гарантий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класс D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ActiVast Bedrijfshuisvesting, тел. 0318-751188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КЛЮЧЕВЫЕ РИСКИ И ПРОВЕРКИ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Расторжение договора по 7-9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Аренда Королевского нидерландского бильярдного союза и Нидерландской федерации дартса (KNBB, Nederlandse Darts Bond) составляет € 33.654,60 в год — это 30,3 % совокупного дохода, и договор по Archimedesbaan 7-9 уже расторгнут арендатором. Запросить письмо о расторжении с точной датой окончания, протокол приёмки помещений, объём обязательств по возврату в исходное состояние (opleveringsverplichting — восстановление casco) и размер обеспечительного платежа либо банковской гарантии (waarborgsom, bankgarantie). В модель заложить 6–12 месяцев простоя, брокерскую комиссию за сдачу (courtage makelaar) порядка 15 % годовой аренды, арендные каникулы (huurvrije periode) 1–3 месяца на год срока договора и капитальные вложения в восстановление и разделение блока.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Арендная ставка ниже рынка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Совокупная аренда даёт € 59,25/м² в год по всему зданию, тогда как запрашиваемые ставки на самой Archimedesbaan — € 72–115/м² в год для производственно-складских помещений (bedrijfsruimte; крупные блоки ближе к € 72–86) и € 95–120/м² в год для офисов. Это указывает на потенциал приведения ставок к рынку порядка 25–45 %, но сравнение идёт с запрашиваемыми, а не фактическими ставками: проверить у местного брокера по коммерческой недвижимости (bedrijfsmakelaar) реальные сделки по Plettenburg за 12–18 месяцев, уровень стимулов для арендаторов (incentives) и состояние отделки. Обязательно запросить разбивку площадей по договорам — без привязки квадратных метров к каждому арендатору потенциал приведения ставок к рынку не поддаётся расчёту.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Кредитное качество арендаторов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 Euromaster Bandenservice B.V. проверить в торговом реестре (KvK) статус, уставный капитал, депонированную годовую отчётность и наличие заявления о солидарной ответственности материнской компании (403-verklaring) либо поручительства; принадлежность к международной группе следует подтвердить по регистру, а не принимать как данность. KNBB и Nederlandse Darts Bond — общественные объединения (verenigingen), а не компании с ограниченной ответственностью (B.V.): запросить годовую отчётность (jaarrekening), структуру доходов (членские взносы, субсидии), динамику членства, устав и полномочия подписантов. По обоим арендаторам проверить наличие и размер обеспечительного платежа либо банковской гарантии (waarborgsom, bankgarantie) и историю платежей за последние 2–3 года.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НДС без компенсации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Аренда KNBB и Nederlandse Darts Bond указана без компенсации НДС — это признак освобождённой от НДС аренды (btw-vrijgestelde verhuur), при которой входящий НДС по этой части объекта (эксплуатация, ремонт, капитальные вложения) не принимается к вычету и удорожает владение. Проверить, реализован ли выбор облагаемой НДС аренды (opteren voor btw-belaste verhuur) по договору с Euromaster, выполняется ли по этому арендатору критерий 90 %, и как квалифицируется сама поставка (с НДС или освобождённая). Отдельно выяснить остаток срока корректировки вычета (herzieningstermijn, 10 лет) по прошлым вложениям продавца — обязанность по корректировке (herzieningsverplichting) может перейти на покупателя.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Договоры и индексация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Запросить оригиналы договоров и определить применённую типовую форму ROZ и юридическую квалификацию: шиномонтаж с публично доступной приёмкой клиентов может подпадать под статью 7:290 Гражданского кодекса Нидерландов (BW) — усиленная защита арендатора, сроки 5+5 лет, право на пересмотр ставки по статье 7:303 BW, — тогда как офис федераций относится к статье 7:230a BW; от этого зависит и сценарий выхода. Проверить формулу индексации (индекс потребительских цен CPI alle huishoudens, базовый год, оговорка «не ниже нуля»), дату последней применённой индексации и фактические письма о повышении: при инфляции 2022–2023 годов непроиндексированная ставка означает устойчивый недобор дохода. Авансовые эксплуатационные платежи € 7.031,76 в год (€ 3,75/м² в год) выглядят низкими для здания 1989 года — запросить итоговые расчёты по эксплуатационным расходам (afrekening servicekosten) за 2–3 года и перечень невозмещаемых расходов собственника (налог на недвижимость OZB eigenaarsdeel, страхование, сбор водного управления (waterschap), обслуживание, управление) для расчёта чистой начальной доходности (NAR).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Загрязнение грунта и асбест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Шиномонтаж — потенциальный источник загрязнения (масла, тормозные жидкости, растворители, возможные подземные резервуары и мойка): заказать историческое исследование по NEN 5725 и предварительное обследование грунта (verkennend bodemonderzoek) по NEN 5740, проверить реестр Bodemloket и архив грунтовых данных муниципалитета и природоохранной службы (omgevingsdienst). Отдельно выяснить, выдавалось ли решение о серьёзности и срочности загрязнения (beschikking ernst en spoedeisendheid) по Закону об охране почв (Wet bodembescherming, Wbb): с 01-01-2024 Wbb отменён, но переходное право сохраняет действие такого решения вместе с обязанностями по санации и последующему контролю (nazorg), а подобные ограничения ищутся в публично-правовом реестре WKPB по кадастровому номеру Jutphaas D 2158. Год постройки 1989 — до запрета асбеста, поэтому необходима инвентаризация асбеста типа A (asbestinventarisatie type A: кровля, гофрированный лист, изоляция труб, битумные и виниловые покрытия), тип B — при вскрытии конструкций.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Энергетический класс C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Обязанность иметь энергетический класс не ниже C (label C-plicht) действует для офисов площадью свыше 100 м², но не применяется, если офисная функция занимает менее 50 % полезной площади здания (gebruiksoppervlakte); при 490 м² офиса на 1.876 м² общей площади (около 26 %) объект в целом с высокой вероятностью выведен из-под этого требования. Ключевая проверка — регистрация в реестре зданий и адресов (BAG): если Archimedesbaan 7-9 и 11 являются отдельными зданиями и объектами (panden, verblijfsobjecten), критерий 50 % применяется к каждому зданию отдельно и офисный блок может оказаться обязанным. Запросить действующие энергетические сертификаты с датами истечения, обмеры полезной площади по NEN 2580 и оценку капитальных вложений на приведение к классу C или A — текущий класс D сужает круг арендаторов и условия банковского финансирования.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/>
          <w:i w:val="0"/>
          <w:color w:val="1A3A5C"/>
          <w:sz w:val="20"/>
        </w:rPr>
        <w:t>План застройки и титул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 xml:space="preserve"> — 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Проверить в плане окружающей среды (omgevingsplan — бывший bestemmingsplan Plettenburg, действующий как временная часть плана с 01-01-2024) допустимую категорию воздействия (milieucategorie), разрешён ли самостоятельный офис — часто допускается лишь подчинённая офисная функция (ondergeschikt kantoor) до 30–50 % площади, от чего зависит легальность текущего использования помещений федерациями и сценарии повторной сдачи, — а также нормативы парковки. По кадастровому объекту Jutphaas D 2158 запросить выписку и ипотечную справку (hypothecair uittreksel): единый ли участок обслуживает 7-9 и 11, есть ли сервитуты (erfdienstbaarheden), права застройки (opstalrechten), качественные обязательства (kwalitatieve verplichtingen) и публично-правовые ограничения (WKPB). Передача «as is, where is» без гарантий продавца переносит риск скрытых дефектов на покупателя — обязательно техническое обследование (bouwkundige keuring) с планом обслуживания на 10–15 лет (MJOP; кровля и инженерия 1989 года), а в договоре купли-продажи (koopakte) фиксируются оговорки о возрасте здания, асбесте и экологии (ouderdoms-, asbest- en milieuclausules).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medesbaan-11-nieuwegein-googl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Расположение объекта: Nieuwegein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4d46b8211bb68c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Здание со стороны Archimedesbaan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2138acd787c73d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Входная группа сервисного центра Euromaster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bf0c2172896e94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Шиномонтажный цех: подъёмники и склад шин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8682d914b548fb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Сервисная зона с постами обслуживания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f04b85112feb75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Ремонтная зона с подъёмниками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2681689d837a24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Ресепшен офисной части, второй этаж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2717585848d9e9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Открытое офисное пространство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be80cd41c05f67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Зал с бильярдными столами (KNBB)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66723f05807492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Зона дартса и настольного тенниса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1682208dab418a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Барная и пантри-зона клубного пространства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4f27919f6094da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Помещение с призовой витриной федерации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66121a8cb24446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Входная зона второго этажа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f9c3379d005967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Переговорная комната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124590987071a0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Кабинет с рабочими местами</w:t>
      </w:r>
    </w:p>
    <w:p>
      <w:pPr>
        <w:spacing w:before="280" w:after="0"/>
      </w:pP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fe2a9abd71814f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Офисное помещение</w:t>
      </w:r>
    </w:p>
    <w:p>
      <w:pPr>
        <w:spacing w:before="0" w:after="0"/>
      </w:pPr>
      <w:r>
        <w:br w:type="page"/>
      </w:r>
    </w:p>
    <w:p>
      <w:pPr>
        <w:keepNext w:val="1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8ff442bd627833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7"/>
        </w:rPr>
        <w:t>Коридор с эвакуационным выходом</w:t>
      </w:r>
    </w:p>
    <w:sectPr w:rsidR="00FC693F" w:rsidRPr="0006063C" w:rsidSect="00034616">
      <w:headerReference w:type="default" r:id="rId47"/>
      <w:footerReference w:type="default" r:id="rId48"/>
      <w:pgSz w:w="11906" w:h="16838"/>
      <w:pgMar w:top="1077" w:right="1174" w:bottom="1134" w:left="1174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fldSimple w:instr=" PAGE ">
      <w:r>
        <w:rPr>
          <w:rFonts w:ascii="Calibri" w:hAnsi="Calibri" w:cs="Calibri" w:eastAsia="Calibri"/>
          <w:b w:val="0"/>
          <w:i w:val="0"/>
          <w:color w:val="5A6E80"/>
          <w:sz w:val="17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fldSimple w:instr=" PAGE ">
      <w:r>
        <w:rPr>
          <w:rFonts w:ascii="Calibri" w:hAnsi="Calibri" w:cs="Calibri" w:eastAsia="Calibri"/>
          <w:b w:val="0"/>
          <w:i w:val="0"/>
          <w:color w:val="5A6E80"/>
          <w:sz w:val="17"/>
        </w:rPr>
        <w:t>1</w:t>
      </w:r>
    </w:fldSimple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fldSimple w:instr=" PAGE ">
      <w:r>
        <w:rPr>
          <w:rFonts w:ascii="Calibri" w:hAnsi="Calibri" w:cs="Calibri" w:eastAsia="Calibri"/>
          <w:b w:val="0"/>
          <w:i w:val="0"/>
          <w:color w:val="5A6E80"/>
          <w:sz w:val="17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2" w:space="3" w:color="D8D8D8"/>
      </w:pBdr>
      <w:tabs>
        <w:tab w:pos="9534" w:val="right"/>
      </w:tabs>
      <w:spacing w:before="0" w:after="0"/>
    </w:pPr>
    <w:r>
      <w:rPr>
        <w:rFonts w:ascii="Calibri" w:hAnsi="Calibri" w:cs="Calibri" w:eastAsia="Calibri"/>
        <w:b w:val="0"/>
        <w:i w:val="0"/>
        <w:color w:val="5A6E80"/>
        <w:sz w:val="17"/>
      </w:rPr>
      <w:t>Steenovenweg 11-13, Montfoort</w:t>
    </w:r>
    <w:r>
      <w:rPr>
        <w:rFonts w:ascii="Calibri" w:hAnsi="Calibri" w:cs="Calibri" w:eastAsia="Calibri"/>
        <w:b w:val="0"/>
        <w:i w:val="0"/>
        <w:color w:val="5A6E80"/>
        <w:sz w:val="17"/>
      </w:rPr>
      <w:tab/>
    </w:r>
    <w:r>
      <w:rPr>
        <w:rFonts w:ascii="Calibri" w:hAnsi="Calibri" w:cs="Calibri" w:eastAsia="Calibri"/>
        <w:b w:val="0"/>
        <w:i w:val="0"/>
        <w:color w:val="5A6E80"/>
        <w:sz w:val="17"/>
      </w:rPr>
      <w:t>€ 975.000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2" w:space="3" w:color="D8D8D8"/>
      </w:pBdr>
      <w:tabs>
        <w:tab w:pos="9534" w:val="right"/>
      </w:tabs>
      <w:spacing w:before="0" w:after="0"/>
    </w:pPr>
    <w:r>
      <w:rPr>
        <w:rFonts w:ascii="Calibri" w:hAnsi="Calibri" w:cs="Calibri" w:eastAsia="Calibri"/>
        <w:b w:val="0"/>
        <w:i w:val="0"/>
        <w:color w:val="5A6E80"/>
        <w:sz w:val="17"/>
      </w:rPr>
      <w:t>Decimalaan 3-5-7-9 и Nieuw-Amsterdamlaan 4-6, Utrecht</w:t>
    </w:r>
    <w:r>
      <w:rPr>
        <w:rFonts w:ascii="Calibri" w:hAnsi="Calibri" w:cs="Calibri" w:eastAsia="Calibri"/>
        <w:b w:val="0"/>
        <w:i w:val="0"/>
        <w:color w:val="5A6E80"/>
        <w:sz w:val="17"/>
      </w:rPr>
      <w:tab/>
    </w:r>
    <w:r>
      <w:rPr>
        <w:rFonts w:ascii="Calibri" w:hAnsi="Calibri" w:cs="Calibri" w:eastAsia="Calibri"/>
        <w:b w:val="0"/>
        <w:i w:val="0"/>
        <w:color w:val="5A6E80"/>
        <w:sz w:val="17"/>
      </w:rPr>
      <w:t>€ 2.975.000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2" w:space="3" w:color="D8D8D8"/>
      </w:pBdr>
      <w:tabs>
        <w:tab w:pos="9534" w:val="right"/>
      </w:tabs>
      <w:spacing w:before="0" w:after="0"/>
    </w:pPr>
    <w:r>
      <w:rPr>
        <w:rFonts w:ascii="Calibri" w:hAnsi="Calibri" w:cs="Calibri" w:eastAsia="Calibri"/>
        <w:b w:val="0"/>
        <w:i w:val="0"/>
        <w:color w:val="5A6E80"/>
        <w:sz w:val="17"/>
      </w:rPr>
      <w:t>Archimedesbaan 11 и 7-9, Nieuwegein</w:t>
    </w:r>
    <w:r>
      <w:rPr>
        <w:rFonts w:ascii="Calibri" w:hAnsi="Calibri" w:cs="Calibri" w:eastAsia="Calibri"/>
        <w:b w:val="0"/>
        <w:i w:val="0"/>
        <w:color w:val="5A6E80"/>
        <w:sz w:val="17"/>
      </w:rPr>
      <w:tab/>
    </w:r>
    <w:r>
      <w:rPr>
        <w:rFonts w:ascii="Calibri" w:hAnsi="Calibri" w:cs="Calibri" w:eastAsia="Calibri"/>
        <w:b w:val="0"/>
        <w:i w:val="0"/>
        <w:color w:val="5A6E80"/>
        <w:sz w:val="17"/>
      </w:rPr>
      <w:t>€ 1.750.000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Calibri" w:hAnsi="Calibri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276" w:lineRule="auto"/>
      <w:outlineLvl w:val="0"/>
    </w:pPr>
    <w:rPr>
      <w:rFonts w:ascii="Calibri" w:hAnsi="Calibri" w:cs="Calibri" w:eastAsia="Calibri"/>
      <w:b/>
      <w:bCs/>
      <w:color w:val="1A3A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hyperlink" Target="https://www.fundainbusiness.nl/en/belegging/montfoort/object-44425433-steenovenweg-11-13/" TargetMode="External"/><Relationship Id="rId13" Type="http://schemas.openxmlformats.org/officeDocument/2006/relationships/image" Target="media/image2.pn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header" Target="header2.xml"/><Relationship Id="rId29" Type="http://schemas.openxmlformats.org/officeDocument/2006/relationships/footer" Target="footer2.xml"/><Relationship Id="rId30" Type="http://schemas.openxmlformats.org/officeDocument/2006/relationships/image" Target="media/image17.jpg"/><Relationship Id="rId31" Type="http://schemas.openxmlformats.org/officeDocument/2006/relationships/hyperlink" Target="https://www.fundainbusiness.nl/en/belegging/utrecht/object-43068622-decimalaan-3/" TargetMode="External"/><Relationship Id="rId32" Type="http://schemas.openxmlformats.org/officeDocument/2006/relationships/image" Target="media/image18.png"/><Relationship Id="rId33" Type="http://schemas.openxmlformats.org/officeDocument/2006/relationships/image" Target="media/image19.jpg"/><Relationship Id="rId34" Type="http://schemas.openxmlformats.org/officeDocument/2006/relationships/image" Target="media/image20.jpg"/><Relationship Id="rId35" Type="http://schemas.openxmlformats.org/officeDocument/2006/relationships/image" Target="media/image21.jpg"/><Relationship Id="rId36" Type="http://schemas.openxmlformats.org/officeDocument/2006/relationships/image" Target="media/image22.jpg"/><Relationship Id="rId37" Type="http://schemas.openxmlformats.org/officeDocument/2006/relationships/image" Target="media/image23.jpg"/><Relationship Id="rId38" Type="http://schemas.openxmlformats.org/officeDocument/2006/relationships/image" Target="media/image24.jpg"/><Relationship Id="rId39" Type="http://schemas.openxmlformats.org/officeDocument/2006/relationships/image" Target="media/image25.jpg"/><Relationship Id="rId40" Type="http://schemas.openxmlformats.org/officeDocument/2006/relationships/image" Target="media/image26.jpg"/><Relationship Id="rId41" Type="http://schemas.openxmlformats.org/officeDocument/2006/relationships/image" Target="media/image27.jpg"/><Relationship Id="rId42" Type="http://schemas.openxmlformats.org/officeDocument/2006/relationships/image" Target="media/image28.jpg"/><Relationship Id="rId43" Type="http://schemas.openxmlformats.org/officeDocument/2006/relationships/image" Target="media/image29.jpg"/><Relationship Id="rId44" Type="http://schemas.openxmlformats.org/officeDocument/2006/relationships/image" Target="media/image30.jpg"/><Relationship Id="rId45" Type="http://schemas.openxmlformats.org/officeDocument/2006/relationships/image" Target="media/image31.jpg"/><Relationship Id="rId46" Type="http://schemas.openxmlformats.org/officeDocument/2006/relationships/image" Target="media/image32.jpg"/><Relationship Id="rId47" Type="http://schemas.openxmlformats.org/officeDocument/2006/relationships/header" Target="header3.xml"/><Relationship Id="rId48" Type="http://schemas.openxmlformats.org/officeDocument/2006/relationships/footer" Target="footer3.xml"/><Relationship Id="rId49" Type="http://schemas.openxmlformats.org/officeDocument/2006/relationships/image" Target="media/image33.jpg"/><Relationship Id="rId50" Type="http://schemas.openxmlformats.org/officeDocument/2006/relationships/hyperlink" Target="https://www.fundainbusiness.nl/en/belegging/nieuwegein/object-80846890-archimedesbaan-11/" TargetMode="External"/><Relationship Id="rId51" Type="http://schemas.openxmlformats.org/officeDocument/2006/relationships/image" Target="media/image34.png"/><Relationship Id="rId52" Type="http://schemas.openxmlformats.org/officeDocument/2006/relationships/image" Target="media/image35.jpg"/><Relationship Id="rId53" Type="http://schemas.openxmlformats.org/officeDocument/2006/relationships/image" Target="media/image36.jpg"/><Relationship Id="rId54" Type="http://schemas.openxmlformats.org/officeDocument/2006/relationships/image" Target="media/image37.jpg"/><Relationship Id="rId55" Type="http://schemas.openxmlformats.org/officeDocument/2006/relationships/image" Target="media/image38.jpg"/><Relationship Id="rId56" Type="http://schemas.openxmlformats.org/officeDocument/2006/relationships/image" Target="media/image39.jpg"/><Relationship Id="rId57" Type="http://schemas.openxmlformats.org/officeDocument/2006/relationships/image" Target="media/image40.jpg"/><Relationship Id="rId58" Type="http://schemas.openxmlformats.org/officeDocument/2006/relationships/image" Target="media/image41.jpg"/><Relationship Id="rId59" Type="http://schemas.openxmlformats.org/officeDocument/2006/relationships/image" Target="media/image42.jpg"/><Relationship Id="rId60" Type="http://schemas.openxmlformats.org/officeDocument/2006/relationships/image" Target="media/image43.jpg"/><Relationship Id="rId61" Type="http://schemas.openxmlformats.org/officeDocument/2006/relationships/image" Target="media/image44.jpg"/><Relationship Id="rId62" Type="http://schemas.openxmlformats.org/officeDocument/2006/relationships/image" Target="media/image45.jpg"/><Relationship Id="rId63" Type="http://schemas.openxmlformats.org/officeDocument/2006/relationships/image" Target="media/image46.jpg"/><Relationship Id="rId64" Type="http://schemas.openxmlformats.org/officeDocument/2006/relationships/image" Target="media/image47.jpg"/><Relationship Id="rId65" Type="http://schemas.openxmlformats.org/officeDocument/2006/relationships/image" Target="media/image48.jpg"/><Relationship Id="rId66" Type="http://schemas.openxmlformats.org/officeDocument/2006/relationships/image" Target="media/image49.jpg"/><Relationship Id="rId67" Type="http://schemas.openxmlformats.org/officeDocument/2006/relationships/image" Target="media/image5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ОБЪЕКТЫ НЕДВИЖИМОСТИ</dc:title>
  <dc:subject>Нидерланды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