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9" w:lineRule="auto"/>
        <w:jc w:val="left"/>
      </w:pPr>
    </w:p>
    <w:p>
      <w:pPr>
        <w:spacing w:before="0" w:after="0" w:line="269" w:lineRule="auto"/>
        <w:jc w:val="left"/>
      </w:pP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  <w:spacing w:val="60"/>
        </w:rPr>
        <w:t>ЕЖЕНЕДЕЛЬНАЯ АНАЛИТИКА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Рынок недвижимости</w:t>
      </w:r>
    </w:p>
    <w:p>
      <w:pPr>
        <w:spacing w:before="0" w:after="200" w:line="269" w:lineRule="auto"/>
        <w:jc w:val="left"/>
      </w:pPr>
      <w:r>
        <w:rPr>
          <w:rFonts w:ascii="Calibri" w:hAnsi="Calibri" w:cs="Calibri"/>
          <w:b/>
          <w:i w:val="0"/>
          <w:color w:val="1F3A5F"/>
          <w:sz w:val="60"/>
        </w:rPr>
        <w:t>Нидерландов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3324"/>
        <w:gridCol w:w="3324"/>
        <w:gridCol w:w="3324"/>
      </w:tblGrid>
      <w:tr>
        <w:tc>
          <w:tcPr>
            <w:tcW w:type="dxa" w:w="3175"/>
            <w:shd w:val="clear" w:color="auto" w:fill="16846F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C0791C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  <w:tc>
          <w:tcPr>
            <w:tcW w:type="dxa" w:w="3175"/>
            <w:shd w:val="clear" w:color="auto" w:fill="2C5F8A"/>
          </w:tcPr>
          <w:p>
            <w:pPr>
              <w:spacing w:after="0"/>
            </w:pPr>
            <w:r>
              <w:rPr>
                <w:sz w:val="6"/>
              </w:rPr>
              <w:t xml:space="preserve"> 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40" w:after="200" w:line="269" w:lineRule="auto"/>
        <w:jc w:val="left"/>
      </w:pPr>
      <w:r>
        <w:rPr>
          <w:rFonts w:ascii="Calibri" w:hAnsi="Calibri" w:cs="Calibri"/>
          <w:b/>
          <w:i/>
          <w:color w:val="105A4C"/>
          <w:sz w:val="28"/>
        </w:rPr>
        <w:t>«Ток кончился раньше денег: сеть встала, стройка выдохнула, склады дорожают на бумаге»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222B36"/>
          <w:sz w:val="26"/>
        </w:rPr>
        <w:t xml:space="preserve">Период: </w:t>
      </w:r>
      <w:r>
        <w:rPr>
          <w:rFonts w:ascii="Calibri" w:hAnsi="Calibri" w:cs="Calibri"/>
          <w:b w:val="0"/>
          <w:i w:val="0"/>
          <w:color w:val="222B36"/>
          <w:sz w:val="26"/>
        </w:rPr>
        <w:t>23–30 июня 2026 г.</w:t>
      </w:r>
    </w:p>
    <w:p>
      <w:pPr>
        <w:spacing w:before="0" w:after="40" w:line="269" w:lineRule="auto"/>
        <w:jc w:val="left"/>
      </w:pPr>
      <w:r>
        <w:rPr>
          <w:rFonts w:ascii="Calibri" w:hAnsi="Calibri" w:cs="Calibri"/>
          <w:b/>
          <w:i w:val="0"/>
          <w:color w:val="6B7785"/>
          <w:sz w:val="22"/>
        </w:rPr>
        <w:t xml:space="preserve">Сегменты: </w:t>
      </w:r>
      <w:r>
        <w:rPr>
          <w:rFonts w:ascii="Calibri" w:hAnsi="Calibri" w:cs="Calibri"/>
          <w:b w:val="0"/>
          <w:i w:val="0"/>
          <w:color w:val="6B7785"/>
          <w:sz w:val="22"/>
        </w:rPr>
        <w:t>жилая недвижимость · коммерция (стрит-ритейл) · индустриальная (склады, промзоны)</w:t>
      </w:r>
    </w:p>
    <w:p>
      <w:pPr>
        <w:spacing w:before="40" w:after="280" w:line="269" w:lineRule="auto"/>
        <w:jc w:val="left"/>
      </w:pPr>
      <w:r>
        <w:rPr>
          <w:rFonts w:ascii="Calibri" w:hAnsi="Calibri" w:cs="Calibri"/>
          <w:b w:val="0"/>
          <w:i/>
          <w:color w:val="6B7785"/>
          <w:sz w:val="19"/>
        </w:rPr>
        <w:t>Отчёт сформирован: 30 июня 2026 г.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50" w:type="dxa"/>
              <w:bottom w:w="15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80"/>
            </w:pPr>
            <w:r>
              <w:rPr>
                <w:rFonts w:ascii="Calibri" w:hAnsi="Calibri" w:cs="Calibri"/>
                <w:b/>
                <w:i w:val="0"/>
                <w:color w:val="FFFFFF"/>
                <w:sz w:val="22"/>
              </w:rPr>
              <w:t>ГЛАВНЫЕ ВЫВОДЫ НЕДЕЛИ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1.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Ток стал дефицитнее денег: с 1 июля сеть Брабанта закрыта даже для нового жилья, у Enexis &gt;9 000 бизнес-клиентов в очереди. Владелец склада/промзоны в Moerdijk-Venlo — проверьте статус подключения СЕЙЧАС: объект с готовой мощностью дорожает, без неё теряет ценность.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2.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Логистика: спрос жив, капитал заморожен. Take-up Q1 +10,5% г/г (833 тыс. м²), а инвестиции −60% г/г (~265 млн €). Prime-доходность держится ~4,75% почти два года; консенсус по CTP — 'Strong Buy', апсайд ~+32%. Держателям prime-складов: не сбрасывайте в заморозку, публичный ценник смотрит вверх.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3.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Азотный замок приоткрыли: пакет на ~20 млрд € и математический порог депозиции обещают вернуть пермиты под ~244 000 домов 'опасной зоны' — но это к концу 2027 (законопроект в Палату лишь в октябре), а не сегодня. Девелопер: планируйте под сценарий, а не под обещание.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4.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Ритейл-физика слабеет медленно: вакантность магазинов 7,0% на конец 2025 (было 6,7%), десятый год подряд число объектов сокращается. Владелец ритейл-парка: пул арендаторов на окраинах держится лучше центров — но пересматривайте ставки под уходящий стрит-ритейл.</w:t>
            </w:r>
          </w:p>
          <w:p>
            <w:pPr>
              <w:spacing w:before="40" w:after="40" w:line="276" w:lineRule="auto"/>
              <w:ind w:left="312" w:hanging="312"/>
            </w:pPr>
            <w:r>
              <w:rPr>
                <w:rFonts w:ascii="Calibri" w:hAnsi="Calibri" w:cs="Calibri"/>
                <w:b/>
                <w:i w:val="0"/>
                <w:color w:val="F0C46A"/>
                <w:sz w:val="21"/>
              </w:rPr>
              <w:t xml:space="preserve">5.  </w:t>
            </w:r>
            <w:r>
              <w:rPr>
                <w:rFonts w:ascii="Calibri" w:hAnsi="Calibri" w:cs="Calibri"/>
                <w:b w:val="0"/>
                <w:i w:val="0"/>
                <w:color w:val="ECF1F6"/>
                <w:sz w:val="21"/>
              </w:rPr>
              <w:t>Ставки развернулись вверх: ЕЦБ +25 б.п. (депозит 2,25%), но 10Y-бонд NL просел до 2,98% при спреде к Bund ~12 б.п. Фондирование дешёвое, дисконтирование жёстче. Аренда через BV: earningsstripping и box 3 с 2028 — пересчитайте кэш-флоу по обоим сценариям заранее.</w:t>
            </w:r>
          </w:p>
        </w:tc>
      </w:tr>
    </w:tbl>
    <w:p>
      <w:pPr>
        <w:spacing w:before="0" w:after="16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BF1DF"/>
            <w:tcMar>
              <w:top w:w="130" w:type="dxa"/>
              <w:bottom w:w="13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60"/>
            </w:pPr>
            <w:r>
              <w:rPr>
                <w:rFonts w:ascii="Calibri" w:hAnsi="Calibri" w:cs="Calibri"/>
                <w:b/>
                <w:i w:val="0"/>
                <w:color w:val="8A5510"/>
                <w:sz w:val="20"/>
              </w:rPr>
              <w:t>★  ВАЖНО ДЛЯ ВАШЕГО ПОРТФЕЛЯ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Ваш ключевой риск недели материализовался: с 1 июля сеть Брабанта закрыта для новых подключений — а Moerdijk и Venlo в вашем периметре. Объект с оформленной мощностью теперь стоит дороже соседнего без неё. Запросите у Enexis актуальный статус подключения и резерв мощности по каждому складу до конца квартала.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Логистика ровно про ваш склад: спрос на аренду вырос (+10,5% take-up), но сделки заморожены (−60%), а prime-доходность плоская ~4,75% почти два года. Держатель prime-объекта в Randstad — держать; переоценка вниз маловероятна, а H1-отчёт CTP 30 июля задаст переговорную планку сектора.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В Emmen (ваш регион) приходит 150 000 м² конкурентного мультиформата от Panattoni к 2028. Заложите новое предложение в модель арендных ставок уже сейчас и при перезаключении фиксируйте арендатора длиннее — премию теперь платят за WALT, а не за метры.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Ваши ритейл-парки в выигрышной позиции структурной сортировки: вакантность стрит-ритейла в центрах растёт (7,0%), арендаторы мигрируют в удобные припаркованные форматы. Используйте отток из центров, чтобы усилить арендный микс (ритейл+услуги+хорека), и фиксируйте длинных арендаторов.</w:t>
            </w:r>
          </w:p>
          <w:p>
            <w:pPr>
              <w:spacing w:before="40" w:after="40" w:line="276" w:lineRule="auto"/>
              <w:ind w:left="283" w:hanging="198"/>
            </w:pPr>
            <w:r>
              <w:rPr>
                <w:rFonts w:ascii="Calibri" w:hAnsi="Calibri" w:cs="Calibri"/>
                <w:b/>
                <w:i w:val="0"/>
                <w:color w:val="8A5510"/>
                <w:sz w:val="21"/>
              </w:rPr>
              <w:t xml:space="preserve">▪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Ваша структура BV под двойным фискальным прицелом: earningsstripping (вычет процентов) и box 3. Ужесточение для vastgoedlichamen пока приостановлено, но не отменено. Пересчитайте налоговую нагрузку по обоим сценариям до сентябрьского Prinsjesdag, прежде чем брать новый заём под объекты.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🧵  Сюжеты в развитии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Переоценка логистики: биржа против оценщиков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Спрос жив (take-up +10,5% г/г), но капитал заморожен (−60%); CTP торгуется с дисконтом ~21,7% к NTA при консенсусе Strong Buy — сверка на H1-отчёте 30 июля.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2026-07-30 — H1-результаты CTP: сверка EPRA EPS/NTA с консенсусом переустановит ценник сектора</w:t>
      </w:r>
      <w:hyperlink r:id="rId11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Сеть на замке: netcongestie бьёт по девелопменту юга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 1 июля сеть Брабанта закрыта даже для нового жилья и бытовых подключений; у Enexis &gt;9 000 бизнес-клиентов в очереди — мощность становится дефицитнее денег.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2026-07-01 — вступают в силу новые правила приоритизации подключений; сеть Брабанта закрывается для kleinverbruikers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Налог box 3 с реального дохода: развилка для частных арендодателей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Сенат 30 июня отложил голосование до анонсированной новеллы; голосование по 4 поправкам — 7 июля. Параллельно NVM требует ускорить смягчение earningsstripping.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2026-07-07 — голосование Сената по четырём поправкам к box 3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8A5510"/>
          <w:sz w:val="16"/>
          <w:shd w:val="clear" w:color="auto" w:fill="FBF1DF"/>
        </w:rPr>
        <w:t xml:space="preserve"> В РАЗВИТИИ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Выкуп паёв Vesteda: тест на бегство институционалов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Итоговый выкуп 765 млн € вместо индикативных 4,1 млрд (−81%), введён лимит ликвидности 7,5%/год — деньги придерживают, а не бегут.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2026-10-31 — IR-релизы фондов — проверка, нет ли новых крупных заявок на выкуп &gt;1 млрд €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keepNext/>
        <w:spacing w:before="100" w:after="20" w:line="269" w:lineRule="auto"/>
        <w:jc w:val="left"/>
      </w:pPr>
      <w:r>
        <w:rPr>
          <w:rFonts w:ascii="Calibri" w:hAnsi="Calibri" w:cs="Calibri"/>
          <w:b/>
          <w:i w:val="0"/>
          <w:color w:val="2C5F8A"/>
          <w:sz w:val="16"/>
          <w:shd w:val="clear" w:color="auto" w:fill="E8F0F7"/>
        </w:rPr>
        <w:t xml:space="preserve"> НОВЫЙ </w:t>
      </w:r>
      <w:r>
        <w:rPr>
          <w:rFonts w:ascii="Calibri" w:hAnsi="Calibri" w:cs="Calibri"/>
          <w:b/>
          <w:i w:val="0"/>
          <w:color w:val="1F3A5F"/>
          <w:sz w:val="22"/>
        </w:rPr>
        <w:t xml:space="preserve">  Азотный замок стройки: пакет кабинета и порог депозиции</w:t>
      </w:r>
    </w:p>
    <w:p>
      <w:pPr>
        <w:spacing w:before="0" w:after="20" w:line="264" w:lineRule="auto"/>
        <w:ind w:left="113"/>
        <w:jc w:val="left"/>
      </w:pPr>
      <w:r>
        <w:rPr>
          <w:rFonts w:ascii="Calibri" w:hAnsi="Calibri" w:cs="Calibri"/>
          <w:b/>
          <w:i w:val="0"/>
          <w:color w:val="6B7785"/>
          <w:sz w:val="19"/>
        </w:rPr>
        <w:t xml:space="preserve">Что нового: </w:t>
      </w:r>
      <w:r>
        <w:rPr>
          <w:rFonts w:ascii="Calibri" w:hAnsi="Calibri" w:cs="Calibri"/>
          <w:b w:val="0"/>
          <w:i w:val="0"/>
          <w:color w:val="222B36"/>
          <w:sz w:val="19"/>
        </w:rPr>
        <w:t>Кабинет 26 июня выкатил пакет ~20 млрд € с математическим порогом депозиции; ~244 000 домов в 'опасной зоне', проекты с малой эмиссией снова возможны к концу 2027.</w:t>
      </w:r>
    </w:p>
    <w:p>
      <w:pPr>
        <w:spacing w:before="0" w:after="80" w:line="252" w:lineRule="auto"/>
        <w:ind w:left="113"/>
        <w:jc w:val="left"/>
      </w:pPr>
      <w:r>
        <w:rPr>
          <w:rFonts w:ascii="Calibri" w:hAnsi="Calibri" w:cs="Calibri"/>
          <w:b/>
          <w:i w:val="0"/>
          <w:color w:val="8A5510"/>
          <w:sz w:val="18"/>
        </w:rPr>
        <w:t xml:space="preserve">Следующий триггер: </w:t>
      </w:r>
      <w:r>
        <w:rPr>
          <w:rFonts w:ascii="Calibri" w:hAnsi="Calibri" w:cs="Calibri"/>
          <w:b w:val="0"/>
          <w:i/>
          <w:color w:val="6B7785"/>
          <w:sz w:val="18"/>
        </w:rPr>
        <w:t>2026-10-01 — азотный законопроект уходит в Tweede Kamer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  ↗</w:t>
        </w:r>
      </w:hyperlink>
    </w:p>
    <w:p>
      <w:pPr>
        <w:spacing w:before="0" w:after="8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📊  Статистика в графиках</w:t>
            </w:r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15899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l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58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Логистика тянет спрос, но сделки и мощность заморожены.</w:t>
      </w:r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F3A5F"/>
          <w:sz w:val="23"/>
        </w:rPr>
        <w:t>Коротко о неделе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76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Неделя 23–30 июня связала три, казалось бы, разных сюжета в один механизм — «где взять мощность». Первый — физическую: с 1 июля электросеть Брабанта закрывается даже для нового жилья и усиления бытовых подключений (Enexis), а по стране в очереди у Enexis уже &gt;9 000 бизнес-клиентов. Для владельца склада или промзоны в Moerdijk/Venlo это прямее любой макростатистики: объект с готовой мощностью подключения теперь стоит дороже соседнего без неё, и разрыв будет расти. Второй — регуляторную: кабинет 26 июня выкатил азотный пакет на ~20 млрд €, вводящий математический порог депозиции (rekenkundige ondergrens), который снова открывает пермиты под жильё, инфраструктуру и энергопереход, — но это перспектива (проекты с малой эмиссией снова возможны к концу 2027, законопроект в Палату лишь в октябре 2026), а не сегодняшняя определённость. Третий — финансовую: ЕЦБ 11 июня впервые с 2023 поднял ставку на 25 б.п. (депозит 2,25%), кривая Euribor держит положительный наклон, а 10-летний госбонд NL просел до ~2,98% при узком спреде к Bund ~12 б.п. — фондирование пока дешёвое, но развернувшийся тренд ставок жёстче дисконтирует будущие доходы. Что сдвинулось за неделю по вашим сегментам: в логистике спрос жив (take-up Q1 +10,5% г/г), но капитал заморожен (инвестиции −60% г/г), а публичный ценник пошёл вверх — консенсус по CTP держит «Strong Buy» с апсайдом ~+32%; в ритейле физическая вакантность подросла до 7,0% на конец 2025, но ритейл-парки остаются тише центров. Сквозная нить недели («дорогая мощность»): дорогой капитал (первый порядок все знают) заставляет девелоперов уходить в мультифункциональный спекулятивный формат вне логхотспотов (Panattoni в Emmen, 150 000 м²) — и второй порядок в том, что настоящим дефицитным ресурсом становится не земля и не деньги, а киловатт: объект с оформленным подключением превращается в отдельный класс актива, а netcongestie из технической сноски — в первый вопрос due-diligence.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2C5F8A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🏭  Индустриал (склады, промзоны, бизнес-парки)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Электросеть Брабанта с 1 июля фактически 'на замке' — и впервые в лист ожидания попадают не только бизнес, но и мелкие потребители (kleinverbruikers): новое жильё и усиление бытовых подключений. Enexis прекращает резервировать мощность для kleinverbruikers, приоритет — крупным батареям-'разгрузчикам' и жизненно важным функциям. Пресс-секретарь Enexis Maartje Vermeer: 'наступает период ожидания для всех'. По стране в очереди у Enexis уже больше 9 000 бизнес-клиентов.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high, надёжность высокая (административное решение сетевого оператора, не рыночный шум). Цепочка: сеть не резервирует мощность (факт) → новое или расширенное подключение для склада/промзоны на юге уходит в общую очередь на годы (вывод) → объект с УЖЕ оформленной мощностью становится отдельным, более дорогим классом актива, а земля без подключения теряет часть ценности (вывод). Простыми словами: netcongestie — это шоссе в час пик, провода есть, а свободной полосы для вас нет. Кто проигрывает: девелоперы новых промзон без резерва мощности на юге. Кто выигрывает: владельцы объектов с готовой мощностью. Что делать: держатель склада/промзоны в Moerdijk-Venlo — запросите у Enexis актуальный статус подключения и зарезервированную мощность каждого объекта до конца квартала; при продаже/сдаче выносите готовую мощность в первую строку оффера как ценовую премию.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Financieel Management / Omroep Brabant (цитата Enexis, M. Vermeer)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2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Крупнейший в Европе по площади логистический девелопер CTP (регистрация в NL) объявил дату полугодовых результатов — 30 июля, вебкаст 11:00 CET. За фасадом IR-уведомления — свежий репер оценки: на 31 марта портфель CTP уже 14,7 млн м² в 11 странах, 2,0 млн м² в стройке, 1700+ клиентов, и на этой же неделе компания запустила новый парк на 66 000 м² в венгерском Пече (первая фаза 14 200 м² — built-to-suit, уже сдана клиенту).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medium, надёжность высокая (IR-раскрытие эмитента, ур. 2). Цепочка: крупнейший игрок продолжает наращивать GLA и держит pre-let на первой фазе (факт) → операционные фундаменталы логистики остаются крепкими, несмотря на заморозку сделок (вывод) → 30 июля рынок сверит EPRA EPS/NTA с консенсусом, и это переустановит ориентир 'справедливой' цены для сопоставимых NL-складов (вывод). Кто выигрывает: держатели prime-логистики в NL. Что делать: держатель логистики — не принимайте решений о продаже до публикации 30 июля, отчёт CTP задаёт переговорную планку сектора; следите за реакцией котировок CTP/WDP как за первым сигналом.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2026-06-24   •   Источник: CTP N.V. / Business Wire (IR); Pécs — via finanznachrichten.de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Девелопер Panattoni анонсировал крупнейшее коммерческое здание Северных Нидерландов — Panattoni Park Emmen на ~150 000 м² (22 футбольных поля) у трассы A37 в Дренте. Инвестиции &gt;100 млн €, сдача — март 2028. Ключевая деталь: цель — не чистый склад, а мультифункция для производства, e-commerce, медтеха, оборонки и high-tech логистики.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medium, надёжность средняя (анонс одного проекта). Цепочка: спекулятивная стройка ушла за пределы традиционных логхотспотов Randstad в Emmen (факт) → девелоперы страхуются от узкого спроса на 'коробки', закладывая гибкий мультиформат под defence/high-tech (вывод) → в вашем регионе (Emmen прямо в профиле) это и новая конкуренция за арендаторов, и сигнал, что периферия становится инвестиционно значимой (вывод). Похоже, это ставка на реиндустриализацию, но окупаемость зависит от того, найдётся ли мощность подключения к 2028 — а это на севере пока гипотеза. Что делать: владелец складов рядом с Emmen — заложите приход 150 000 м² конкурентного предложения к 2028 в свою модель арендных ставок уже сейчас, при перезаключении договоров фиксируйте арендатора длиннее.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Vastgoeddata (первоисточник Panattoni)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Спрос на дата-центры в NL усиливается (драйвер — ИИ): цифровая экономика в Q1 2026 выросла на 2,8% до 10,7 млрд €, опередив экономику страны в целом. Но реализация проектов всё чаще упирается в ту же стену — сетевую конгестию и вергунинг-процедуры.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low, надёжность средняя. Цепочка: спрос на ДЦ растёт быстрее экономики (факт) → но подключить новую мощность негде, особенно вокруг Амстердама (вывод) → капитал перетекает в объекты с готовым питанием и в периферийные площадки, конкурируя с логистикой за тот же дефицитный киловатт (вывод). Что делать: владелец промзоны с запасом мощности — рассмотрите ДЦ-арендатора как премиальную альтернативу логистике; при отсутствии резерва — не рассчитывайте на ДЦ-девелопмент до расшивки сети.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Vastgoedjournaal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Обзор рынка логистики от Vastgoedmarkt рисует смену приоритета: вакантность ~4-5% ('пока не проблема') низка в хотспотах, но растёт на периферии, а инвесторы переключились с погони за ростом аренды на стабильных арендаторов. Показательно: у WDP доля предарендованных проектов выросла до ~75% (было ~60% в конце 2024), заполняемость портфеля ~97,4%. На 2026 запланирована сдача пяти крупных DC (50 000+ м²).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medium, надёжность средняя (обзор + метрики эмитента). Цепочка: девелоперы наращивают долю pre-let до сдачи (факт) → значит, спекулятивный риск сознательно снижают, а спрос концентрируется на качестве и надёжном арендаторе (вывод) → для вашего склада это означает: премию платят за длинного платёжеспособного арендатора и локацию, а не за метры сами по себе (вывод). Что делать: держатель логистики — при перезаключении договоров приоритезируйте WALT (длину аренды) над максимальной ставкой; периферийные объекты с короткой арендой закладывайте под растущую вакантность.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Vastgoedmarkt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0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E4466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Разрыв недели, который важно понять: логистический take-up NL в Q1 2026 вырос на +10,5% г/г до ~833 000 м², а инвестобъём в сегмент рухнул на −60% г/г до ~265 млн € (из них ~77% — логистика). Спрос арендаторов силён, а капитал заморожен под давлением netcongestie, роста стройзатрат и стоимости финансирования.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Важность high, надёжность высокая (замер брокера, ур. 5, но цитируемая цифра). Цепочка: арендный спрос растёт, а сделки купли-продажи схлопнулись (факт) → это классический разрыв 'операционка здорова, но покупатели и продавцы не сходятся в цене' (вывод) → значит, дно по цене логистики, вероятно, близко, но настоящие скидки придут не от слабого спроса, а от вынужденных продавцов при рефинансировании — а это ещё гипотеза (гипотеза). Что делать: покупатель складов — держите капитал наготове и мониторьте refinancing-стресс держателей с высоким LTV, точка входа вероятнее в 2-4 кв.; продавец без долгового давления — не сбрасывайте в заморозку, спрос на аренду вас поддержит.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take-up Q1 ~833 000 м² (+10,5% г/г); инвестиции ~265 млн € (−60% г/г)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Cushman &amp; Wakefield Netherlands</w:t>
            </w:r>
            <w:hyperlink r:id="rId2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Prime-доходность логистики NL держится стабильно на ~4,75% почти два года (CBRE; Savills подтверждает нормализацию с 3,15% в 2021-м). Cushman &amp; Wakefield даёт 5,0% брутто и prime-аренду €125/м²/год. Растут региональные различия: топ-локации стабильны, периферия расширяет спред. Институциональный контекст (as_of Q1 2025, INREV): NL восьмой квартал подряд обгоняет широкий европейский рынок по совокупной доходности.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Важность medium, надёжность высокая (три брокера сходятся). Цепочка: prime-доходность плоская почти два года (факт) → prime-склады оценщики уже не дописывают вниз, ценовое дно в качественном сегменте, похоже, найдено (вывод) → но спред между Randstad и Brabant/Gelderland расширяется, и именно там прячется риск/возможность (вывод). Простыми словами: 4,75% над безрисковой ставкой ~2,98% даёт спред ~1,75 п.п. — премия за риск умеренная, но не тонкая. Что делать: держатель prime-объекта в Randstad — держите, переоценка вниз маловероятна; охотник за доходностью — смотрите вторичные локации, где спред шире, но проверяйте арендатора и мощность.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prime NIY ~4,75% (стабильна ~2 года); prime-аренда €125/м²/год; GIY 5,0%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CBRE Netherlands / Savills / Cushman &amp; Wakefield</w:t>
            </w:r>
            <w:hyperlink r:id="rId22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Публичный рынок оценивает NL-логистику дешевле баланса: CTP торгуется с дисконтом ~21,7% к EPRA NTA, при этом sell-side держит 'Strong Buy' (17 аналитиков: 15 Buy / 2 Hold), средний таргет ~21,1-21,3 € при цене ~15,96 € — апсайд ~+32%. У WDP — 'Buy' с апсайдом ~+21%. Кредитно логистика крепка: Moody's в мае подняла CTP с Baa3 до Baa2 (Stable), у WDP Fitch BBB+/Stable.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Важность medium, надёжность высокая (консенсус + рейтинг). Цепочка: биржа торгует акции логистических имён на ~22% ниже балансовой стоимости зданий, но аналитики видят апсайд +32% (факт) → публичный рынок либо ещё не поверил в восстановление оценок, либо закладывает будущий рост NTA (вывод) → для держателя частных складов это два свидетеля: биржа осторожнее оценщиков, значит appraisal-оценки соседних портфелей могут быть чуть оптимистичны (вывод). Простыми словами: дисконт REIT к NTA — это когда биржа торгует здания дешевле, чем их оценили на бумаге. Что делать: держатель логистики — при переоценке своего портфеля закладывайте, что публичный рынок пока осторожнее; апгрейд Moody's снижает стоимость долга сектора — хороший момент присмотреться к рефинансированию.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CTP дисконт к EPRA NTA ~21,7%; консенсус Strong Buy, апсайд ~+32%; Moody's апгрейд Baa2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Investing.com / MarketScreener; CTP IR / BusinessWire (Moody's)</w:t>
            </w:r>
            <w:hyperlink r:id="rId1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341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demand_capital_ga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34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Аренда здорова, сделки схлопнулись — дно по цене близко, но скидок ждать от рефинансирования.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6925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stics_yield_vs_riskfre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92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Prime-доходность плоская два года; держателям prime-складов — держать.</w:t>
      </w: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676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p_nta_discoun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676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Публичный рынок осторожнее оценщиков: appraisal-оценки соседних портфелей могут быть оптимистичны.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Тезис (уверенность высокая): дефицитный ресурс логистики сместился с земли и денег на киловатт — и это переустанавливает иерархию ценности ваших объектов. Спрос на аренду жив (take-up +10,5% г/г), prime-доходность плоская ~4,75% почти два года (дно качественного сегмента, похоже, найдено), а капитал заморожен (инвестиции −60% г/г) не из-за слабого спроса, а из-за стоимости фондирования и netcongestie. Консенсус брокеров трубит 'логистика дёшева, апсайд +32%' — здесь я осторожнее: дно по ЦЕНЕ не равно дну по ВЫНУЖДЕННЫМ продавцам, настоящие скидки придут с рефинансированием 2026-27, а не от энтузиазма аналитиков. Опровергнет тезис: prime-доходность NL сдвинется выше 5,25% ИЛИ take-up за два квартала подряд уйдёт в минус г/г (смотрим MarketBeat C&amp;W и CBRE к H1-релизу CTP 30 июля). Риск: замок сети Брабанта распространится на другие провинции и заморозит девелопмент шире. Что делать: держатель prime-склада в Randstad — держать, не продавать в заморозку; охотник за доходностью — готовьте капитал под refinancing-стресс, точка входа вероятнее в 2-4 кв. и в объектах с готовой мощностью.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30 июля — H1-результаты CTP: сверка EPRA EPS/NTA с консенсусом переустановит ценник сектора. Держатель логистики: до этой даты не фиксируйте продажу prime-объекта — отчёт крупнейшего игрока задаёт вашу переговорную планку. И до 1 июля проверьте статус подключения каждого объекта в Брабанте: с этого дня новая мощность уходит в очередь на годы.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🏪  Коммерция (стрит-ритейл, торговые центры)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Крупнейшая ассоциация маклеров NVM Business (29 июня) потребовала от кабинета ускорить смягчение ограничения на вычет процентов (renteaftrekbeperking / earningsstripping из ATAD1, действует с 2019) — оно повышает налоговую нагрузку и тормозит инвестиции в недвижимость. Повод: анонсированное дополнительное ужесточение earningsstripping для vastgoedlichamen пока приостановлено (ждут omnibus-предложение ЕС), и NVM требует, чтобы Гаага не отставала от Брюсселя.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medium, надёжность высокая (позиция ассоциации, ур. 4). Цепочка: лимит на вычет процентов удорожает заёмное финансирование для структур, владеющих недвижимостью (факт) → инвестиции в ритейл и стройку тормозятся, а ваша структура BV, где недвижимость держится на долге, платит больше налога на те же проценты (вывод) → приостановка ужесточения — временная передышка, но не отмена, политика остаётся непредсказуемой (вывод). Простыми словами: earningsstripping — это когда государство ограничивает, сколько процентов по кредиту можно вычесть из налога. Что делать: владелец через BV — пересчитайте налоговую нагрузку по обоим сценариям (текущий лимит и возможное ужесточение) до осеннего Prinsjesdag; при новых займах закладывайте, что вычет процентов может стать жёстче.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2026-06-29   •   Источник: NVM Business — Nieuws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6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Инвестор в prime-ТЦ Eurocommercial Properties (HQ в NL, 24 центра в BE/FR/IT/SE) отчитался о 18,5% take-up по опции дивиденда акциями: акционеры на 18,5% капитала выбрали новые акции вместо денег. Финальный брутто-дивиденд €1,11/акция, выплата 2 июля.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low, надёжность высокая (IR-раскрытие). Цепочка: почти пятая часть акционеров предпочла бумагу деньгам (факт) → значит, часть держателей верит в апсайд акции сильнее, чем ценит наличные сегодня (вывод) → это осторожно-позитивный сигнал доверия к prime-ритейлу, хотя 81,5% всё же взяли кэш (вывод). Что делать: владелец ритейла — воспринимайте как фоновый индикатор настроений институционалов к сегменту, самостоятельного действия не требует.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2026-06-25   •   Источник: Eurocommercial Properties N.V. / GlobeNewswire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7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Амстердам держится в топ-5 европейских городов по инвест- и девелопмент-перспективам (ULI/PwC Emerging Trends 2026), но общий настрой сектора сместился с прошлогоднего 'осторожного оптимизма' к 'прагматизму' — доля обеспокоенных деглобализацией удвоилась до 70%. Институциональный контекст (as_of январь 2026, INREV Intentions): европейские инвесторы впервые слегка переаллоцированы в недвижимость (14,1% против таргета 13,9%), а самый фаворитный инструмент — фонды долга по недвижимости.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low, надёжность высокая (два институциональных опроса). Цепочка: капитал не ушёл из недвижимости, но осторожничает и выбирает долг вместо equity (факт) → значит, инвесторы хотят доходность с меньшим риском переоценки, а не рост капитальной стоимости (вывод) → для владельца коммерции это среда, где качество локации и арендатора ценится выше, чем ставка на рост рынка (вывод). Что делать: владелец ритейл-парка — при позиционировании объекта на продажу/рефинанс делайте упор на стабильность денежного потока и WALT, а не на потенциал апсайда цены.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2025-11-01   •   Источник: ULI/PwC Emerging Trends in Real Estate Europe 2026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8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Единственное агентство, публично покрывающее ритейл-инвестора Wereldhave (полносервисные ТЦ в NL/BE/FR, индекс AEX), — Fitch — подтвердило рейтинг на уровне 'BBB' со стабильным прогнозом (действие от 1 мая, репорт 5 июня). Спокойный, но важный сигнал: кредитный профиль NL-ритейла держится.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low, надёжность высокая (рейтинг-действие, ур. 3). Цепочка: рейтинг ритейл-инвестора подтверждён со стабильным прогнозом (факт) → стоимость долга для сектора не растёт сверх рынка, риск вынужденных распродаж ТЦ снижается (вывод) → для владельца ритейл-парка это косвенный якорь: институциональный ритейл не в кризисе, дисконтных пакетов от паникующих держателей ждать пока не стоит (вывод). Что делать: владелец ритейла — не рассчитывайте на скорые распродажи качественных ТЦ; при рефинансировании собственного объекта используйте стабильность сектора как аргумент в переговорах с банком.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2026-05-01   •   Источник: Wereldhave IR — Credit Rating (Fitch)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29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8A5510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Вакантность физического ритейла NL подросла с 6,7% в начале 2025 до 7,0% к концу года (Locatus) — прирост меньше, чем в 2024, но десятый год подряд число ритейл-объектов сокращается: с ~207 000 до ~205 000 (−1 600), из них ~14 000 пустуют. Магазинных помещений впервые меньше 80 000 (−26% за 20 лет). Сокращение — целиком за счёт закрытия магазинов; хорека и услуги стабильны.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Важность medium, надёжность высокая (первоисточник Locatus, ур. 3). Цепочка: физических магазинов год за годом становится меньше, а вакантность растёт (факт) → структурный отток офлайн-ритейла продолжается, и тренд конверсии витрин в жильё, ранее давивший вакантность вниз, развернулся (вывод) → для владельца ритейл-парка это значит: слабый стрит-ритейл в центрах освобождает арендаторов, часть которых мигрирует в удобные припаркованные форматы на окраинах (вывод). Что делать: владелец ритейл-парка — используйте отток из центров, чтобы усилить арендный микс (гибрид ритейл+услуги+хорека); слабые одиночные магазинные помещения в портфеле — рассматривайте под смену назначения.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B03A3A"/>
                <w:sz w:val="19"/>
              </w:rPr>
              <w:t xml:space="preserve">▼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вакантность 7,0% на конец 2025 (было 6,7%); ~205 000 объектов (−1 600 г/г)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Locatus</w:t>
            </w:r>
            <w:hyperlink r:id="rId30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Официальный индекс цен коммерческой недвижимости (CBS/Kadaster — офисы, индустриал, ритейл, аренда жилья) обновлён до Q1 2026 (публикация 16 июня). Конкретные значения доступны только в Excel-выгрузке, ряд с 2023 помечен как в разработке — но сам факт квартального обновления единственного официального NL-индекса цен CRE фиксирует, что регуляторный мониторинг сектора идёт.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Важность low, надёжность высокая (первоисточник CBS, ур. 1). Цепочка: официальный индекс цен CRE обновляется (факт) → появляется независимый от брокеров якорь динамики цен по сегментам (вывод) → для сверки 'дорого/дёшево' это ценный нейтральный источник против sell-side нарратива, но пока без открытых чисел его роль ограничена (вывод). Что делать: владелец коммерции — держите этот ряд в закладках как нейтральную проверку брокерских оценок вашего сегмента, когда числа откроются.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индекс цен CRE (CBS/Kadaster) обновлён до Q1 2026 (16.06.2026)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(Prijsindices commercieel vastgoed, maatwerk 2026/25)</w:t>
            </w:r>
            <w:hyperlink r:id="rId31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2046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ail_vacancy_trend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20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Отток из центров — шанс усилить арендный микс ритейл-парка.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Тезис (уверенность средняя): NL-ритейл не в кризисе, но в тихой структурной сортировке — деньги уходят от 'коробки квадратных метров' к денежному потоку и локации. Физическая вакантность ползёт вверх медленно (7,0% против 6,7%), десятый год подряд магазинов меньше, кредит сектора стабилен (Wereldhave BBB/Stable), а институционалы осторожны и выбирают долг вместо equity. Консенсус видит NL-ритейл нейтрально-осторожно (по Wereldhave 2 Buy / 3 Hold) — здесь я с рынком согласен: без катализатора переоценки нет. Опровергнет тезис: вакантность физического ритейла прыгнет выше 8% за год ИЛИ второй институциональный ритейл-инвестор получит негативный рейтинг-экшн (смотрим годовой Monitor Locatus и IR-релизы к концу года). Риск: earningsstripping/box 3 ударят по левериджованным держателям ритейла через BV. Что делать: владелец ритейл-парка — усиливайте арендный микс за счёт арендаторов, уходящих из слабеющих центров, и фиксируйте длинных арендаторов сейчас; distressed-покупок качественного ритейла в ближайший квартал не ждите.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Годовой Prinsjesdag (сентябрь) и omnibus ЕС по earningsstripping — определят, ужесточат ли вычет процентов для vastgoedlichamen. Владелец ритейла через BV: пересчитайте налоговую нагрузку по обоим сценариям до осени, чтобы решение по рефинансированию не застало врасплох.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6846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🏠  Жилая недвижимость</w:t>
            </w:r>
          </w:p>
        </w:tc>
      </w:tr>
    </w:tbl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Изменения в законах и регулировании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(Eerste Kamer) 23 июня одобрил поимённым голосованием 'Закон об усилении госрегулирования жилстроя' (Wet versterking regie volkshuisvesting): государство, провинции и муниципалитеты вновь получают инструменты решать, сколько, где и для каких групп строить. Ключевое правило: 2/3 нового жилья должно быть доступным (аренда+покупка), из них 30% — соцаренда. Большинство норм вступает в силу с 1 июля.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high, надёжность высокая (принятый закон, ур. 1). Цепочка: государство возвращает директивное планирование стройки с квотой на доступное жильё (факт) → девелоперская экономика новых проектов смещается к более низкомаржинальным сегментам, а свобода выбора продукта сужается (вывод) → для частного арендодателя это давление на предложение свободного сектора, для девелопера — обязательная доля соцаренды в расчётах (вывод). Что делать: девелопер — пересчитайте IRR новых проектов под квоту 2/3 доступного жилья до подачи планов; частный арендодатель свободного сектора — структурный дефицит поддержит вашу арендную ставку, но политический тренд против высокой доходности сохраняется.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2026-06-23   •   Источник: Eerste Kamer /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Сенат 30 июня отложил голосование по 'Закону о реальном доходе box 3' (переход от налога с фиктивной доходности к налогу на фактический доход, старт планово 2028) — по предложению GroenLinks-PvdA ждут анонсированную кабинетом новеллу. Голосование по четырём поправкам назначено на 7 июля. Палата критиковала обложение нереализованного прироста; кабинет опасается бюджетного разрыва ~2,4 млрд €/год с 2028 при провале закона.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high, надёжность высокая (парламентский факт, ур. 1). Цепочка: налог для частных арендодателей меняется с фиктивной доходности на реальный арендный доход плюс прирост при продаже (факт) → чистая доходность (net yield) сдачи жилья через BV снижается, особенно у объектов со слабым денежным потоком (вывод) → часть частников получит стимул выходить к 2027-28, создавая волну предложения (вывод). Простыми словами: платить будут с реального дохода от аренды ежегодно, а с подорожания — при продаже. Что делать: арендодатель через BV — пересчитайте кэш-флоу по обоим сценариям (с обложением 'бумажного' прироста и без) до 7 июля; покупатель арендных пакетов — готовьте due-diligence, точка входа со скидкой у выходящих частников вероятна в 2027-28.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der Staten-Generaal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3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Новости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Кабинет 26 июня выкатил азотный пакет на ~20 млрд €, чтобы снять Нидерланды со 'стикстоф-замка' и вернуть пространство под стройку. Ключевое для девелопмента: вводится математический порог депозиции (rekenkundige ondergrens) — проекты с очень малой азотной эмиссией освобождаются от природоохранного пермита. По оценке Bouwend Nederland, в 'опасной зоне' из-за азота сейчас ~244 000 домов; проекты с малой эмиссией снова должны стать возможны к концу 2027, законопроект уходит в Палату в октябре.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high, надёжность высокая (официальный релиз кабинета, ур. 1). Цепочка: азотный замок годами блокировал выдачу пермитов на стройку (факт) → пакет обещает разблокировать значительную часть жилищного пайплайна (вывод) → но это перспектива с юридическими рисками и лагом (законопроект лишь в октябре, эффект к концу 2027), а не сегодняшняя определённость (вывод). Простыми словами: азот-замок — это когда стройку нельзя начать, пока не докажешь, что не превысишь норму выбросов. Что делать: девелопер — включите разблокировку в план как сценарий, а не как факт; проекты в 'опасной зоне' готовьте к перезапуску, но не рассчитывайте на пермиты раньше 2027; частный арендодатель — рост предложения жилья к 2028 может охладить арендные ставки, закладывайте это в долгосрочную модель.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Rijksoverheid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1E7A4D"/>
          <w:sz w:val="21"/>
        </w:rPr>
        <w:t xml:space="preserve">▲  </w:t>
      </w:r>
      <w:r>
        <w:rPr>
          <w:rFonts w:ascii="Calibri" w:hAnsi="Calibri" w:cs="Calibri"/>
          <w:b w:val="0"/>
          <w:i w:val="0"/>
          <w:color w:val="222B36"/>
          <w:sz w:val="21"/>
        </w:rPr>
        <w:t>Крупнейший фонд арендного жилья NL Vesteda (~28 000 квартир, ~10,8 млрд €) 26 июня остановил итоговый объём заявок на выкуп паёв на 765 млн € — впятеро меньше индикативных 4,1 млрд €, поданных в марте. Условия фонда изменены: выход теперь ежегодно (было раз в 7 лет), ликвидность — best-effort до 7,5% капитала в год. Контекст: с марта у Vesteda рейтинг S&amp;P понижен до BBB с CreditWatch Negative.</w:t>
      </w:r>
    </w:p>
    <w:p>
      <w:pPr>
        <w:spacing w:before="20" w:after="20" w:line="264" w:lineRule="auto"/>
        <w:ind w:left="283"/>
        <w:jc w:val="left"/>
        <w:shd w:val="clear" w:color="auto" w:fill="E7F4EE"/>
      </w:pPr>
      <w:r>
        <w:rPr>
          <w:rFonts w:ascii="Calibri" w:hAnsi="Calibri" w:cs="Calibri"/>
          <w:b/>
          <w:i w:val="0"/>
          <w:color w:val="1E7A4D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high, надёжность высокая (IR-раскрытие эмитента, ур. 2). Цепочка: главный страх рынка — бегство институционалов из арендного жилья — не подтвердился, выкуп схлопнулся впятеро (факт) → значит, институциональные деньги придерживают, а не бегут, обвала цен на арендные портфели не будет (вывод) → для частного арендодателя это снимает риск каскадной распродажи, давящей цены вниз (вывод). Что делать: держатель арендного жилья — панические сценарии обвала можно отложить; покупатель арендных пакетов — дисконтных распродаж от институционалов не ждите, точечные скидки придут скорее от частников под налоговым прессом.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2026-06-26   •   Источник: Vesteda Newsroom / IR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1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2C5F8A"/>
          <w:sz w:val="21"/>
        </w:rPr>
        <w:t xml:space="preserve">◆  </w:t>
      </w:r>
      <w:r>
        <w:rPr>
          <w:rFonts w:ascii="Calibri" w:hAnsi="Calibri" w:cs="Calibri"/>
          <w:b w:val="0"/>
          <w:i w:val="0"/>
          <w:color w:val="222B36"/>
          <w:sz w:val="21"/>
        </w:rPr>
        <w:t>Инициативный закон депутата Beckerman (SP) о поддержке жилищных кооперативов Tweede Kamer приняла 30 июня практически единогласно (против — 1 голос). Вводятся два типа кооперативов: коллективная аренда и коллективная собственность. Далее — Сенат.</w:t>
      </w:r>
    </w:p>
    <w:p>
      <w:pPr>
        <w:spacing w:before="20" w:after="20" w:line="264" w:lineRule="auto"/>
        <w:ind w:left="283"/>
        <w:jc w:val="left"/>
        <w:shd w:val="clear" w:color="auto" w:fill="E8F0F7"/>
      </w:pPr>
      <w:r>
        <w:rPr>
          <w:rFonts w:ascii="Calibri" w:hAnsi="Calibri" w:cs="Calibri"/>
          <w:b/>
          <w:i w:val="0"/>
          <w:color w:val="2C5F8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low, надёжность высокая (парламентский факт). Цепочка: закон облегчает коллективное/кооперативное жильё (факт) → появляется новая ниша между соцарендой и частным рынком (вывод) → для частного арендодателя это ещё один альтернативный канал предложения, конкурирующий за арендатора в доступном сегменте (вывод). Что делать: частный арендодатель доступного сегмента — держите нишу кооперативов в поле зрения как долгосрочного конкурента; прямого действия сейчас не требует.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2026-06-30   •   Источник: Eerste Kamer / Tweede Kamer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4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Тренды</w:t>
      </w:r>
    </w:p>
    <w:p>
      <w:pPr>
        <w:spacing w:before="60" w:after="20" w:line="269" w:lineRule="auto"/>
        <w:ind w:left="283" w:hanging="198"/>
        <w:jc w:val="left"/>
      </w:pPr>
      <w:r>
        <w:rPr>
          <w:rFonts w:ascii="Calibri" w:hAnsi="Calibri" w:cs="Calibri"/>
          <w:b/>
          <w:i w:val="0"/>
          <w:color w:val="B03A3A"/>
          <w:sz w:val="21"/>
        </w:rPr>
        <w:t xml:space="preserve">▼  </w:t>
      </w:r>
      <w:r>
        <w:rPr>
          <w:rFonts w:ascii="Calibri" w:hAnsi="Calibri" w:cs="Calibri"/>
          <w:b w:val="0"/>
          <w:i w:val="0"/>
          <w:color w:val="222B36"/>
          <w:sz w:val="21"/>
        </w:rPr>
        <w:t>Ценовое ралли жилья NL заканчивается — сходятся три независимых прогноза. Rabobank (9 июня): цены +2,8% (2026) и +2,0% (2027), сделки падают с 239 тыс. до 227 и 200 тыс. ABN AMRO (апрель): +3% и +4% по ценам, −3%/−4% по сделкам. DNB (12 июня): +3-4%/год в 2026-2028. TU Delft присвоил рынку статус 'code geel' — первые признаки охлаждения, overbieden упало с 5,7% до 3,7% сверх запросной.</w:t>
      </w:r>
    </w:p>
    <w:p>
      <w:pPr>
        <w:spacing w:before="20" w:after="20" w:line="264" w:lineRule="auto"/>
        <w:ind w:left="283"/>
        <w:jc w:val="left"/>
        <w:shd w:val="clear" w:color="auto" w:fill="FBEAEA"/>
      </w:pPr>
      <w:r>
        <w:rPr>
          <w:rFonts w:ascii="Calibri" w:hAnsi="Calibri" w:cs="Calibri"/>
          <w:b/>
          <w:i w:val="0"/>
          <w:color w:val="B03A3A"/>
          <w:sz w:val="18"/>
        </w:rPr>
        <w:t xml:space="preserve">  Почему важно:  </w:t>
      </w:r>
      <w:r>
        <w:rPr>
          <w:rFonts w:ascii="Calibri" w:hAnsi="Calibri" w:cs="Calibri"/>
          <w:b w:val="0"/>
          <w:i w:val="0"/>
          <w:color w:val="222B36"/>
          <w:sz w:val="18"/>
        </w:rPr>
        <w:t xml:space="preserve">Важность medium, надёжность высокая (три банка + TU Delft независимо, ур. 4-5). Цепочка: три банка и TU Delft независимо фиксируют охлаждение цен и сделок (факт) → надёжность сигнала высокая: это не одиночный дёрг, а согласованный разворот темпа роста (вывод) → для частного арендодателя мягкая посадка цен означает, что окно продажи 'на пике' сужается, а рост капитальной стоимости замедлится (вывод). Что делать: арендодатель, планировавший выход через продажу — не тяните в расчёте на дальнейший разгон цен, ралли выдыхается; долгосрочный держатель — арендный денежный поток теперь важнее ставки на подорожание.  </w:t>
      </w:r>
    </w:p>
    <w:p>
      <w:pPr>
        <w:spacing w:before="0" w:after="100" w:line="240" w:lineRule="auto"/>
        <w:ind w:left="283"/>
        <w:jc w:val="left"/>
      </w:pPr>
      <w:r>
        <w:rPr>
          <w:rFonts w:ascii="Calibri" w:hAnsi="Calibri" w:cs="Calibri"/>
          <w:b w:val="0"/>
          <w:i/>
          <w:color w:val="6B7785"/>
          <w:sz w:val="17"/>
        </w:rPr>
        <w:t xml:space="preserve">   📅 2026-06-09   •   Источник: RaboResearch / ABN AMRO / DNB / TU Delft</w:t>
      </w:r>
      <w:r>
        <w:rPr>
          <w:rFonts w:ascii="Calibri" w:hAnsi="Calibri" w:cs="Calibri"/>
          <w:b w:val="0"/>
          <w:i w:val="0"/>
          <w:color w:val="6B7785"/>
          <w:sz w:val="17"/>
        </w:rPr>
        <w:t xml:space="preserve">   </w:t>
      </w:r>
      <w:hyperlink r:id="rId35">
        <w:r>
          <w:rPr>
            <w:color w:val="1155CC"/>
            <w:sz w:val="17.0"/>
            <w:rFonts w:ascii="Calibri" w:hAnsi="Calibri"/>
            <w:u w:val="single"/>
          </w:rPr>
          <w:t xml:space="preserve">ссылка ↗</w:t>
        </w:r>
      </w:hyperlink>
    </w:p>
    <w:p>
      <w:pPr>
        <w:keepNext/>
        <w:spacing w:before="200" w:after="60" w:line="269" w:lineRule="auto"/>
        <w:jc w:val="left"/>
        <w:pBdr>
          <w:bottom w:val="single" w:sz="6" w:space="2" w:color="D7DEE6"/>
        </w:pBdr>
      </w:pPr>
      <w:r>
        <w:rPr>
          <w:rFonts w:ascii="Calibri" w:hAnsi="Calibri" w:cs="Calibri"/>
          <w:b/>
          <w:i w:val="0"/>
          <w:color w:val="105A4C"/>
          <w:sz w:val="23"/>
        </w:rPr>
        <w:t>Статистика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5669"/>
        <w:gridCol w:w="3855"/>
      </w:tblGrid>
      <w:tr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Показатель</w:t>
            </w:r>
          </w:p>
        </w:tc>
        <w:tc>
          <w:tcPr>
            <w:tcW w:type="dxa" w:w="4762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Значение / динамика</w:t>
            </w:r>
          </w:p>
        </w:tc>
      </w:tr>
      <w:tr>
        <w:tc>
          <w:tcPr>
            <w:tcW w:type="dxa" w:w="5669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Рынок жилья охлаждается, но не падает: цены на существующие дома в мае на +4,4% выше г/г (апрель +4,3%), +0,6% м/м, средняя цена сделки €487 383 (CBS/Kadaster, публикация 22 июня — за день до окна, контекст). Число сделок в мае снижается: 19 120 (−2,5% г/г) при росте цен — сигнал ограниченного предложения.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Важность medium, надёжность высокая (первоисточник CBS, ур. 1). Цепочка: цены растут, а число сделок падает (факт) → рынок сжимается по объёму при сохранении дефицита предложения (вывод) → для арендодателя это подтверждает, что структурный дефицит держит стоимость, но ликвидность выхода снижается (вывод). Что делать: держатель жилья — при планировании продажи закладывайте более долгий срок экспозиции; долгосрочная ставка на дефицит остаётся в силе.</w:t>
            </w:r>
          </w:p>
        </w:tc>
        <w:tc>
          <w:tcPr>
            <w:tcW w:type="dxa" w:w="3855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E7A4D"/>
                <w:sz w:val="19"/>
              </w:rPr>
              <w:t xml:space="preserve">▲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цены +4,4% г/г, +0,6% м/м (май); средняя цена €487 383; сделки 19 120 (−2,5% г/г)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CBS StatLine / Kadaster</w:t>
            </w:r>
            <w:hyperlink r:id="rId36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  <w:tr>
        <w:tc>
          <w:tcPr>
            <w:tcW w:type="dxa" w:w="5669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Структурный фон, объясняющий, почему цены не падают: дефицит жилья ~396 000 единиц (4,8% фонда, ABF Primos); доступность рухнула — под ипотеку среднему домохозяйству доступен лишь 21% домов против 61% в 2015 (CPB), в четырёх крупных городах ~18%. Доля инвесторов в жилфонде снизилась до 9,0% (Kadaster Q1 2026) — частники распродают мелкое дешёвое жильё.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Важность medium, надёжность высокая (ABF/CPB/Kadaster, ур. 1-4). Цепочка: острый дефицит плюс обвал доступности плюс отток частных инвесторов (факт) → предложение структурно ограничено, но частный арендный фонд уже перетекает к покупателям-стартерам (вывод) → для частного арендодателя это двойственно: дефицит держит цену, но налоговое и регуляторное давление выталкивает мелких игроков (вывод). Что делать: частный арендодатель с мелкими дешёвыми объектами — вы в той группе, что распродаёт; оцените, выгоднее ли выйти сейчас или держать под будущий налог на реальный доход.</w:t>
            </w:r>
          </w:p>
        </w:tc>
        <w:tc>
          <w:tcPr>
            <w:tcW w:type="dxa" w:w="3855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C5F8A"/>
                <w:sz w:val="19"/>
              </w:rPr>
              <w:t xml:space="preserve">◆ </w:t>
            </w: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дефицит ~396 000 (4,8%); доступно 21% домов (было 61% в 2015); доля инвесторов 9,0%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5"/>
              </w:rPr>
              <w:t>ABF Research / CPB / Kadaster</w:t>
            </w:r>
            <w:hyperlink r:id="rId37">
              <w:r>
                <w:rPr>
                  <w:color w:val="1155CC"/>
                  <w:sz w:val="15.0"/>
                  <w:rFonts w:ascii="Calibri" w:hAnsi="Calibri"/>
                  <w:u w:val="single"/>
                </w:rPr>
                <w:t xml:space="preserve">  ↗</w:t>
              </w:r>
            </w:hyperlink>
          </w:p>
        </w:tc>
      </w:tr>
    </w:tbl>
    <w:p>
      <w:pPr>
        <w:spacing w:before="0" w:after="40" w:line="269" w:lineRule="auto"/>
        <w:jc w:val="left"/>
      </w:pPr>
    </w:p>
    <w:p>
      <w:pPr>
        <w:keepNext/>
        <w:spacing w:before="120" w:after="20"/>
        <w:jc w:val="center"/>
      </w:pPr>
      <w:r>
        <w:drawing>
          <wp:inline xmlns:a="http://schemas.openxmlformats.org/drawingml/2006/main" xmlns:pic="http://schemas.openxmlformats.org/drawingml/2006/picture">
            <wp:extent cx="5903999" cy="25843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steda_redemption_b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84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9" w:lineRule="auto"/>
        <w:jc w:val="center"/>
      </w:pPr>
      <w:r>
        <w:rPr>
          <w:rFonts w:ascii="Calibri" w:hAnsi="Calibri" w:cs="Calibri"/>
          <w:b w:val="0"/>
          <w:i/>
          <w:color w:val="6B7785"/>
          <w:sz w:val="18"/>
        </w:rPr>
        <w:t>Обвала цен на арендные портфели не будет; институционалам — держать.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AF3EE"/>
            <w:tcMar>
              <w:top w:w="140" w:type="dxa"/>
              <w:bottom w:w="14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6" w:space="0" w:color="16846F"/>
            </w:tcBorders>
          </w:tcPr>
          <w:p>
            <w:pPr>
              <w:spacing w:after="40"/>
            </w:pPr>
            <w:r>
              <w:rPr>
                <w:rFonts w:ascii="Calibri" w:hAnsi="Calibri" w:cs="Calibri"/>
                <w:b/>
                <w:i w:val="0"/>
                <w:color w:val="105A4C"/>
                <w:sz w:val="18"/>
              </w:rPr>
              <w:t>ВЫВОД</w:t>
            </w:r>
          </w:p>
          <w:p>
            <w:pPr>
              <w:spacing w:after="0" w:line="269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Тезис (уверенность высокая): дно по оттоку институционального капитала из арендного жилья пройдено, а ценовое ралли одновременно выдыхается — рынок входит в фазу 'дорого, но без разгона'. Vesteda схлопнула выкуп впятеро (765 млн € вместо 4,1 млрд): деньги придерживают, а не бегут. При этом три банка и TU Delft согласованно фиксируют охлаждение цен до +2,8-4%/год. Консенсус уже говорит 'отток выдыхается, рост замедляется' — здесь я с рынком согласен. Опровергнет тезис: новые заявки на выкуп паёв &gt;1 млрд € за квартал ИЛИ второй институциональный фонд объявит распродажу портфеля &gt;500 млн € (смотрим IR-релизы к концу октября). Риск: box 3 с 2028 обложит нереализованный прирост → частники возобновят выход, добавив предложения. Что делать: покупатель арендных пакетов — готовьте due-diligence, точка входа со скидкой у выходящих частников вероятна в 2027-28; частный арендодатель через BV — пересчитайте кэш-флоу под налог на реальный доход до 7 июля.</w:t>
            </w:r>
          </w:p>
        </w:tc>
      </w:tr>
    </w:tbl>
    <w:p>
      <w:pPr>
        <w:spacing w:before="0" w:after="12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FFF6E5"/>
            <w:tcMar>
              <w:top w:w="100" w:type="dxa"/>
              <w:bottom w:w="100" w:type="dxa"/>
              <w:start w:w="220" w:type="dxa"/>
              <w:end w:w="220" w:type="dxa"/>
              <w:left w:w="220" w:type="dxa"/>
              <w:right w:w="220" w:type="dxa"/>
            </w:tcMar>
            <w:tcBorders>
              <w:left w:val="single" w:sz="30" w:space="0" w:color="C0791C"/>
            </w:tcBorders>
          </w:tcPr>
          <w:p>
            <w:pPr>
              <w:spacing w:after="0" w:line="264" w:lineRule="auto"/>
            </w:pPr>
            <w:r>
              <w:rPr>
                <w:rFonts w:ascii="Calibri" w:hAnsi="Calibri" w:cs="Calibri"/>
                <w:b/>
                <w:i w:val="0"/>
                <w:color w:val="8A5510"/>
                <w:sz w:val="18"/>
              </w:rPr>
              <w:t xml:space="preserve">👁  ЗА ЧЕМ СЛЕДИТЬ.  </w:t>
            </w:r>
            <w:r>
              <w:rPr>
                <w:rFonts w:ascii="Calibri" w:hAnsi="Calibri" w:cs="Calibri"/>
                <w:b w:val="0"/>
                <w:i w:val="0"/>
                <w:color w:val="222B36"/>
                <w:sz w:val="20"/>
              </w:rPr>
              <w:t>7 июля — голосование Сената по четырём поправкам к box 3. Аренда через BV: до этой даты пересчитайте кэш-флоу по обоим сценариям (с обложением 'бумажного' прироста и без), чтобы решение о выходе или удержании не застало врасплох. Далее — сентябрьский Prinsjesdag по фискальным деталям.</w:t>
            </w:r>
          </w:p>
        </w:tc>
      </w:tr>
    </w:tbl>
    <w:p>
      <w:pPr>
        <w:spacing w:before="0" w:after="16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1F3A5F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🧭  Картина недели и прогноз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EEF2F6"/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 w:line="283" w:lineRule="auto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21"/>
              </w:rPr>
              <w:t>Картина недели: три сюжета сошлись в одну ось — «дорогая мощность». Физическая (сеть Брабанта закрывается 1 июля, &gt;9 000 в очереди), регуляторная (азотный порог обещает пермиты, но к концу 2027) и финансовая (ЕЦБ развернул ставки вверх на +25 б.п., но 10Y-бонд NL просел до 2,98% при узком спреде к Bund ~12 б.п.). Спрос в логистике жив, капитал заморожен, публичный ценник смотрит вверх; жильё успокоилось без обвала; ритейл тихо сортируется от «коробки» к денежному потоку.</w:t>
              <w:br/>
              <w:br/>
              <w:t>Сценарии. Логистика: если H1-отчёт CTP 30 июля подтвердит крепкий NTA и rental growth → переоценка prime-складов NL вверх, держателям плюс; если разочарует → подтверждение дешевизны без катализатора, окно входа для покупателя остаётся. Жильё: если Сенат 7 июля продвинет box 3 с обложением реального дохода и прироста → частники со слабой доходностью получат стимул выходить к 2027-28, покупателю готовить due-diligence; если отложат дальше → передышка, но не отмена давления. Netcongestie: если замок Брабанта расползётся на другие провинции → объекты с готовой мощностью станут отдельным премиальным классом по всей стране.</w:t>
              <w:br/>
              <w:br/>
              <w:t>КАЛЕНДАРЬ: • 1 июля — вступают в силу новые правила netcongestie (приоритет подключений жилью/школам/ОТ/батареям) и большинство норм Wet versterking regie volkshuisvesting. • 7 июля — голосование Сената по четырём поправкам к box 3. • 30 июля — H1-результаты CTP (сверка EPRA EPS/NTA с консенсусом). • Сентябрь — Prinsjesdag: фискальные детали earningsstripping и box 3. • Октябрь 2026 — азотный законопроект в Палату.</w:t>
              <w:br/>
              <w:br/>
              <w:t>За чем следить сквозным темам: (1) статус подключения ваших объектов в Брабанте — с 1 июля новая мощность уходит в очередь на годы; (2) реакция котировок CTP/WDP как первый сигнал переоценки логистики; (3) IR-релизы фондов на предмет новых крупных заявок на выкуп — тест, пройдено ли дно оттока.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C0791C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📅  Календарь: за чем следить</w:t>
            </w:r>
          </w:p>
        </w:tc>
      </w:tr>
    </w:tbl>
    <w:p>
      <w:pPr>
        <w:spacing w:before="0" w:after="4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1531"/>
        <w:gridCol w:w="6406"/>
        <w:gridCol w:w="1587"/>
      </w:tblGrid>
      <w:tr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Дата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Событие</w:t>
            </w:r>
          </w:p>
        </w:tc>
        <w:tc>
          <w:tcPr>
            <w:tcW w:type="dxa" w:w="3175"/>
            <w:shd w:val="clear" w:color="auto" w:fill="1F3A5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r>
              <w:rPr>
                <w:rFonts w:ascii="Calibri" w:hAnsi="Calibri" w:cs="Calibri"/>
                <w:b/>
                <w:i w:val="0"/>
                <w:color w:val="FFFFFF"/>
                <w:sz w:val="19"/>
              </w:rPr>
              <w:t>Сегмент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Вступают в силу новые правила netcongestie (приоритет подключений жилью/школам/ОТ/батареям) и большинство норм Wet versterking regie volkshuisvesting; сеть Брабанта закрывается для kleinverbruikers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ваш склад/промзона в Moerdijk-Venlo не имеет резерва мощности → новые/расширенные подключения уходят в очередь на годы; объекты с готовой мощностью дорожают. Проверьте статус подключения сейчас.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2026-07-07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🗳  Голосование Сената по четырём поправкам к закону box 3 (реальный доход)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одобрят обложение реального дохода и прироста при продаже → частники со слабой доходностью получат стимул выходить к 2027-28; аренда через BV — пересчитайте кэш-флоу по обоим сценариям до голосования.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2026-07-30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H1-2026 результаты CTP (вебкаст 11:00 CET): сверка EPRA EPS/NTA с консенсусом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крепкий NTA и rental growth → переоценка prime-складов NL вверх, держателям плюс; если разочарует → подтверждение дешевизны без катализатора. Держатель prime-склада: не продавайте до развязки. Следите за CTP/WDP.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индустриал</w:t>
            </w:r>
          </w:p>
        </w:tc>
      </w:tr>
      <w:tr>
        <w:tc>
          <w:tcPr>
            <w:tcW w:type="dxa" w:w="1531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2026-09-15</w:t>
            </w:r>
          </w:p>
        </w:tc>
        <w:tc>
          <w:tcPr>
            <w:tcW w:type="dxa" w:w="6406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Prinsjesdag: фискальные детали earningsstripping для vastgoedlichamen и box 3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ужесточат вычет процентов → леверидж через BV подорожает; владелец недвижимости через BV — пересчитайте налоговую нагрузку по обоим сценариям до сентября.</w:t>
            </w:r>
          </w:p>
        </w:tc>
        <w:tc>
          <w:tcPr>
            <w:tcW w:type="dxa" w:w="1587"/>
            <w:shd w:val="clear" w:color="auto" w:fill="FFFFFF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ритейл</w:t>
            </w:r>
          </w:p>
        </w:tc>
      </w:tr>
      <w:tr>
        <w:tc>
          <w:tcPr>
            <w:tcW w:type="dxa" w:w="1531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222B36"/>
                <w:sz w:val="19"/>
              </w:rPr>
              <w:t>2026-10-01</w:t>
            </w:r>
          </w:p>
        </w:tc>
        <w:tc>
          <w:tcPr>
            <w:tcW w:type="dxa" w:w="6406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•  Азотный законопроект кабинета уходит в Tweede Kamer</w:t>
            </w:r>
          </w:p>
          <w:p>
            <w:pPr>
              <w:spacing w:before="20" w:after="0"/>
            </w:pPr>
            <w:r>
              <w:rPr>
                <w:rFonts w:ascii="Calibri" w:hAnsi="Calibri" w:cs="Calibri"/>
                <w:b w:val="0"/>
                <w:i/>
                <w:color w:val="6B7785"/>
                <w:sz w:val="16"/>
              </w:rPr>
              <w:t>→ если пройдёт устойчиво → пермиты под ~244 000 домов начнут разблокироваться к концу 2027; девелопер — держите проекты 'опасной зоны' готовыми к перезапуску, но не рассчитывайте на стройку раньше 2027.</w:t>
            </w:r>
          </w:p>
        </w:tc>
        <w:tc>
          <w:tcPr>
            <w:tcW w:type="dxa" w:w="1587"/>
            <w:shd w:val="clear" w:color="auto" w:fill="F4F6F8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жильё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📖  Словарь терминов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2835"/>
        <w:gridCol w:w="6690"/>
      </w:tblGrid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netcongestie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перегрузка электросети: мощностей на подключение не хватает всем, новые подключения уходят в очередь на годы. Образ — шоссе в час пик: провода есть, свободной полосы нет.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prime yield (prime NIY)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чистая начальная доходность лучших объектов сегмента: годовая аренда, делённая на цену. Ниже доходность = дороже актив.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спред к Bund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наценка за риск: насколько доходность недвижимости выше доходности 'надёжного' немецкого гособлигационного бенчмарка. Узкий спред = дорого относительно облигаций.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дисконт к EPRA NTA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когда акции REIT торгуются на бирже дешевле стоимости его зданий на балансе. Рынок как бы говорит, что оценщики ещё не списали то, что биржа уже списала.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box 3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нидерландский налог на капитал физлиц (в т.ч. недвижимость не для собственного проживания). Обсуждается переход с фиктивной доходности на налог с реального дохода и прироста при продаже, старт планово 2028.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earningsstripping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ограничение на вычет процентов по кредиту из налога (из директивы ЕС ATAD1, действует с 2019). Удорожает заёмное финансирование недвижимости, особенно в структурах BV.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rekenkundige ondergrens (азотный порог)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математический минимум депозиции азота: проекты с очень малой эмиссией освобождаются от природоохранного пермита, что разблокирует стройку.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take-up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объём площадей, снятых арендаторами за период. Показывает силу арендного спроса, отдельно от инвестиционных сделок купли-продажи.</w:t>
            </w:r>
          </w:p>
        </w:tc>
      </w:tr>
      <w:tr>
        <w:tc>
          <w:tcPr>
            <w:tcW w:type="dxa" w:w="2835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WALT</w:t>
            </w:r>
          </w:p>
        </w:tc>
        <w:tc>
          <w:tcPr>
            <w:tcW w:type="dxa" w:w="6690"/>
            <w:shd w:val="clear" w:color="auto" w:fill="F4F6F8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средневзвешенный оставшийся срок аренды по портфелю. Чем длиннее — тем надёжнее денежный поток и выше премия при оценке.</w:t>
            </w:r>
          </w:p>
        </w:tc>
      </w:tr>
      <w:tr>
        <w:tc>
          <w:tcPr>
            <w:tcW w:type="dxa" w:w="2835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/>
                <w:i w:val="0"/>
                <w:color w:val="1F3A5F"/>
                <w:sz w:val="19"/>
              </w:rPr>
              <w:t>put up or shut up</w:t>
            </w:r>
          </w:p>
        </w:tc>
        <w:tc>
          <w:tcPr>
            <w:tcW w:type="dxa" w:w="6690"/>
            <w:shd w:val="clear" w:color="auto" w:fill="FFFFFF"/>
            <w:tcMar>
              <w:top w:w="60" w:type="dxa"/>
              <w:bottom w:w="60" w:type="dxa"/>
              <w:start w:w="140" w:type="dxa"/>
              <w:end w:w="14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 w:cs="Calibri"/>
                <w:b w:val="0"/>
                <w:i w:val="0"/>
                <w:color w:val="222B36"/>
                <w:sz w:val="19"/>
              </w:rPr>
              <w:t>правило поглощений: претендент обязан к дедлайну либо подтвердить твёрдую оферту, либо отступить.</w:t>
            </w:r>
          </w:p>
        </w:tc>
      </w:tr>
    </w:tbl>
    <w:p>
      <w:pPr>
        <w:spacing w:before="0" w:after="120" w:line="269" w:lineRule="auto"/>
        <w:jc w:val="left"/>
      </w:pPr>
    </w:p>
    <w:p>
      <w:pPr>
        <w:spacing w:before="200" w:after="0" w:line="269" w:lineRule="auto"/>
        <w:jc w:val="left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  <w:tblW w:type="dxa" w:w="9525"/>
      </w:tblPr>
      <w:tblGrid>
        <w:gridCol w:w="9972"/>
      </w:tblGrid>
      <w:tr>
        <w:trPr>
          <w:cantSplit/>
        </w:trPr>
        <w:tc>
          <w:tcPr>
            <w:tcW w:type="dxa" w:w="9524"/>
            <w:shd w:val="clear" w:color="auto" w:fill="5D6D7E"/>
            <w:tcMar>
              <w:top w:w="120" w:type="dxa"/>
              <w:bottom w:w="12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keepNext/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28"/>
              </w:rPr>
              <w:t>🔗  Источники</w:t>
            </w:r>
          </w:p>
        </w:tc>
      </w:tr>
    </w:tbl>
    <w:p>
      <w:pPr>
        <w:spacing w:before="0" w:after="40" w:line="269" w:lineRule="auto"/>
        <w:jc w:val="left"/>
      </w:pPr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CBS StatLine / Kadaster (цены жилья, WOZ, сделки, CRE-индекс)  </w:t>
      </w:r>
      <w:hyperlink r:id="rId36">
        <w:r>
          <w:rPr>
            <w:color w:val="1155CC"/>
            <w:sz w:val="18"/>
            <w:rFonts w:ascii="Calibri" w:hAnsi="Calibri"/>
            <w:u w:val="single"/>
          </w:rPr>
          <w:t xml:space="preserve">https://www.cbs.nl/nl-nl/nieuws/2026/26/koopwoningen-in-mei-ruim-4-procent-duurder-dan-jaar-eerder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Kadaster (Woningmarkt Q1 2026)  </w:t>
      </w:r>
      <w:hyperlink r:id="rId39">
        <w:r>
          <w:rPr>
            <w:color w:val="1155CC"/>
            <w:sz w:val="18"/>
            <w:rFonts w:ascii="Calibri" w:hAnsi="Calibri"/>
            <w:u w:val="single"/>
          </w:rPr>
          <w:t xml:space="preserve">https://www.kadaster.nl/-/woningmarkt-1e-kwartaal-2026-weer-meer-verkopen-vooral-goedkopere-woningen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DNB — Voorjaarsraming 2026  </w:t>
      </w:r>
      <w:hyperlink r:id="rId40">
        <w:r>
          <w:rPr>
            <w:color w:val="1155CC"/>
            <w:sz w:val="18"/>
            <w:rFonts w:ascii="Calibri" w:hAnsi="Calibri"/>
            <w:u w:val="single"/>
          </w:rPr>
          <w:t xml:space="preserve">https://www.dnb.nl/algemeen-nieuws/persbericht-2026/oorlog-midden-oosten-remt-economische-groei-verhoogt-inflatie/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Monetary policy decisions (11 June 2026)  </w:t>
      </w:r>
      <w:hyperlink r:id="rId41">
        <w:r>
          <w:rPr>
            <w:color w:val="1155CC"/>
            <w:sz w:val="18"/>
            <w:rFonts w:ascii="Calibri" w:hAnsi="Calibri"/>
            <w:u w:val="single"/>
          </w:rPr>
          <w:t xml:space="preserve">https://www.ecb.europa.eu/press/pr/date/2026/html/ecb.mp260611~4d41bd5e83.en.html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ECB — Bank Lending Survey Q1 2026  </w:t>
      </w:r>
      <w:hyperlink r:id="rId42">
        <w:r>
          <w:rPr>
            <w:color w:val="1155CC"/>
            <w:sz w:val="18"/>
            <w:rFonts w:ascii="Calibri" w:hAnsi="Calibri"/>
            <w:u w:val="single"/>
          </w:rPr>
          <w:t xml:space="preserve">https://www.ecb.europa.eu/stats/ecb_surveys/bank_lending_survey/html/ecb.blssurvey2026q1~ff74e51f1b.en.html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Eurostat — House prices Q4 2025  </w:t>
      </w:r>
      <w:hyperlink r:id="rId43">
        <w:r>
          <w:rPr>
            <w:color w:val="1155CC"/>
            <w:sz w:val="18"/>
            <w:rFonts w:ascii="Calibri" w:hAnsi="Calibri"/>
            <w:u w:val="single"/>
          </w:rPr>
          <w:t xml:space="preserve">https://ec.europa.eu/eurostat/web/products-eurostat-news/w/ddn-20260407-1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Trading Economics — NL &amp; Germany 10Y bond yields  </w:t>
      </w:r>
      <w:hyperlink r:id="rId44">
        <w:r>
          <w:rPr>
            <w:color w:val="1155CC"/>
            <w:sz w:val="18"/>
            <w:rFonts w:ascii="Calibri" w:hAnsi="Calibri"/>
            <w:u w:val="single"/>
          </w:rPr>
          <w:t xml:space="preserve">https://tradingeconomics.com/netherlands/government-bond-yield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Euribor-rates.eu (данные EMMI)  </w:t>
      </w:r>
      <w:hyperlink r:id="rId45">
        <w:r>
          <w:rPr>
            <w:color w:val="1155CC"/>
            <w:sz w:val="18"/>
            <w:rFonts w:ascii="Calibri" w:hAnsi="Calibri"/>
            <w:u w:val="single"/>
          </w:rPr>
          <w:t xml:space="preserve">https://www.euribor-rates.eu/en/current-euribor-rates/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INREV — Fund/ODCE indices &amp; Investment Intentions 2026  </w:t>
      </w:r>
      <w:hyperlink r:id="rId46">
        <w:r>
          <w:rPr>
            <w:color w:val="1155CC"/>
            <w:sz w:val="18"/>
            <w:rFonts w:ascii="Calibri" w:hAnsi="Calibri"/>
            <w:u w:val="single"/>
          </w:rPr>
          <w:t xml:space="preserve">https://www.inrev.org/news/inrev-news/investment-intentions-survey-2026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EPRA — Monthly NAV/LTV reports  </w:t>
      </w:r>
      <w:hyperlink r:id="rId47">
        <w:r>
          <w:rPr>
            <w:color w:val="1155CC"/>
            <w:sz w:val="18"/>
            <w:rFonts w:ascii="Calibri" w:hAnsi="Calibri"/>
            <w:u w:val="single"/>
          </w:rPr>
          <w:t xml:space="preserve">https://www.epra.com/indexes/monthly-reports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Green Street EU — Pan-European CPPI  </w:t>
      </w:r>
      <w:hyperlink r:id="rId48">
        <w:r>
          <w:rPr>
            <w:color w:val="1155CC"/>
            <w:sz w:val="18"/>
            <w:rFonts w:ascii="Calibri" w:hAnsi="Calibri"/>
            <w:u w:val="single"/>
          </w:rPr>
          <w:t xml:space="preserve">https://eu.greenstreet.com/resources/pricing-index/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GRESB — 2025 Real Estate Benchmark  </w:t>
      </w:r>
      <w:hyperlink r:id="rId49">
        <w:r>
          <w:rPr>
            <w:color w:val="1155CC"/>
            <w:sz w:val="18"/>
            <w:rFonts w:ascii="Calibri" w:hAnsi="Calibri"/>
            <w:u w:val="single"/>
          </w:rPr>
          <w:t xml:space="preserve">https://www.gresb.com/nl-en/insights/gresb-2025-benchmarks-reflect-industry-maturity-and-continued-progress-toward-responsible-investing/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CTP N.V. IR / Business Wire (H1-notice, Moody's, Pécs)  </w:t>
      </w:r>
      <w:hyperlink r:id="rId17">
        <w:r>
          <w:rPr>
            <w:color w:val="1155CC"/>
            <w:sz w:val="18"/>
            <w:rFonts w:ascii="Calibri" w:hAnsi="Calibri"/>
            <w:u w:val="single"/>
          </w:rPr>
          <w:t xml:space="preserve">https://www.businesswire.com/news/home/20260623616061/en/CTP-N.V.-notice-of-H1-2026-results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Vesteda Newsroom / IR  </w:t>
      </w:r>
      <w:hyperlink r:id="rId14">
        <w:r>
          <w:rPr>
            <w:color w:val="1155CC"/>
            <w:sz w:val="18"/>
            <w:rFonts w:ascii="Calibri" w:hAnsi="Calibri"/>
            <w:u w:val="single"/>
          </w:rPr>
          <w:t xml:space="preserve">https://news.vesteda.com/vesteda-redemption-volume-set-at--765-million-and-fund-terms-amended/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Wereldhave IR — Credit Rating (Fitch)  </w:t>
      </w:r>
      <w:hyperlink r:id="rId29">
        <w:r>
          <w:rPr>
            <w:color w:val="1155CC"/>
            <w:sz w:val="18"/>
            <w:rFonts w:ascii="Calibri" w:hAnsi="Calibri"/>
            <w:u w:val="single"/>
          </w:rPr>
          <w:t xml:space="preserve">https://www.wereldhave.com/investor-relations/credit-rating/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Investing.com / MarketScreener — Consensus (CTP/WDP/Wereldhave)  </w:t>
      </w:r>
      <w:hyperlink r:id="rId11">
        <w:r>
          <w:rPr>
            <w:color w:val="1155CC"/>
            <w:sz w:val="18"/>
            <w:rFonts w:ascii="Calibri" w:hAnsi="Calibri"/>
            <w:u w:val="single"/>
          </w:rPr>
          <w:t xml:space="preserve">https://www.investing.com/equities/ctp-nv-consensus-estimates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Cushman &amp; Wakefield — Industrial &amp; Logistics NL Q1 2026  </w:t>
      </w:r>
      <w:hyperlink r:id="rId21">
        <w:r>
          <w:rPr>
            <w:color w:val="1155CC"/>
            <w:sz w:val="18"/>
            <w:rFonts w:ascii="Calibri" w:hAnsi="Calibri"/>
            <w:u w:val="single"/>
          </w:rPr>
          <w:t xml:space="preserve">https://www.cushmanwakefield.com/en/netherlands/news/2026/05/dutch-logistics-real-estate-market-remains-resilient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CBRE Netherlands — Market Outlook 2026 &amp; logistics yields  </w:t>
      </w:r>
      <w:hyperlink r:id="rId22">
        <w:r>
          <w:rPr>
            <w:color w:val="1155CC"/>
            <w:sz w:val="18"/>
            <w:rFonts w:ascii="Calibri" w:hAnsi="Calibri"/>
            <w:u w:val="single"/>
          </w:rPr>
          <w:t xml:space="preserve">https://www.cbre.nl/insights/reports/grotere-regionale-verschillen-sturen-rendementen-in-logistiek-vastgoed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Savills Netherlands — Logistics Trend Report &amp; Market in Minutes  </w:t>
      </w:r>
      <w:hyperlink r:id="rId50">
        <w:r>
          <w:rPr>
            <w:color w:val="1155CC"/>
            <w:sz w:val="18"/>
            <w:rFonts w:ascii="Calibri" w:hAnsi="Calibri"/>
            <w:u w:val="single"/>
          </w:rPr>
          <w:t xml:space="preserve">https://www.savills.nl/research_articles/251853/390330-0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Locatus — Winkelleegstand 2025  </w:t>
      </w:r>
      <w:hyperlink r:id="rId30">
        <w:r>
          <w:rPr>
            <w:color w:val="1155CC"/>
            <w:sz w:val="18"/>
            <w:rFonts w:ascii="Calibri" w:hAnsi="Calibri"/>
            <w:u w:val="single"/>
          </w:rPr>
          <w:t xml:space="preserve">https://locatus.com/blog/nederlandse-winkelleegstand-2025/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Rijksoverheid — азотный пакет 26.06.2026  </w:t>
      </w:r>
      <w:hyperlink r:id="rId15">
        <w:r>
          <w:rPr>
            <w:color w:val="1155CC"/>
            <w:sz w:val="18"/>
            <w:rFonts w:ascii="Calibri" w:hAnsi="Calibri"/>
            <w:u w:val="single"/>
          </w:rPr>
          <w:t xml:space="preserve">https://www.rijksoverheid.nl/actueel/nieuws/2026/06/26/kabinet-haalt-nederland-van-het-stikstofslot-met-stevig-pakket-weer-ruimte-voor-boer-natuur-en-bouw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Eerste Kamer — Wet versterking regie &amp; box 3  </w:t>
      </w:r>
      <w:hyperlink r:id="rId33">
        <w:r>
          <w:rPr>
            <w:color w:val="1155CC"/>
            <w:sz w:val="18"/>
            <w:rFonts w:ascii="Calibri" w:hAnsi="Calibri"/>
            <w:u w:val="single"/>
          </w:rPr>
          <w:t xml:space="preserve">https://www.eerstekamer.nl/wetsvoorstel/36512_wet_versterking_regie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Financieel Management / Omroep Brabant — netcongestie Enexis  </w:t>
      </w:r>
      <w:hyperlink r:id="rId12">
        <w:r>
          <w:rPr>
            <w:color w:val="1155CC"/>
            <w:sz w:val="18"/>
            <w:rFonts w:ascii="Calibri" w:hAnsi="Calibri"/>
            <w:u w:val="single"/>
          </w:rPr>
          <w:t xml:space="preserve">https://financieel-management.nl/artikel/stroomnet-brabant-volledig-op-slot-voor-alle-bedrijven/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RaboResearch / ABN AMRO — Housing Market Monitors  </w:t>
      </w:r>
      <w:hyperlink r:id="rId35">
        <w:r>
          <w:rPr>
            <w:color w:val="1155CC"/>
            <w:sz w:val="18"/>
            <w:rFonts w:ascii="Calibri" w:hAnsi="Calibri"/>
            <w:u w:val="single"/>
          </w:rPr>
          <w:t xml:space="preserve">https://www.rabobank.nl/kennis/d011529617-kwartaalbericht-woningmarkt-einde-van-de-prijsrally-huizenmarkt-koelt-af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NVM / NVM Business — Nieuws  </w:t>
      </w:r>
      <w:hyperlink r:id="rId26">
        <w:r>
          <w:rPr>
            <w:color w:val="1155CC"/>
            <w:sz w:val="18"/>
            <w:rFonts w:ascii="Calibri" w:hAnsi="Calibri"/>
            <w:u w:val="single"/>
          </w:rPr>
          <w:t xml:space="preserve">https://www.nvm.nl/nieuws/</w:t>
        </w:r>
      </w:hyperlink>
    </w:p>
    <w:p>
      <w:pPr>
        <w:spacing w:before="20" w:after="40" w:line="252" w:lineRule="auto"/>
        <w:ind w:left="283" w:hanging="198"/>
        <w:jc w:val="left"/>
      </w:pPr>
      <w:r>
        <w:rPr>
          <w:rFonts w:ascii="Calibri" w:hAnsi="Calibri" w:cs="Calibri"/>
          <w:b w:val="0"/>
          <w:i w:val="0"/>
          <w:color w:val="6B7785"/>
          <w:sz w:val="19"/>
        </w:rPr>
        <w:t xml:space="preserve">•  </w:t>
      </w:r>
      <w:r>
        <w:rPr>
          <w:rFonts w:ascii="Calibri" w:hAnsi="Calibri" w:cs="Calibri"/>
          <w:b w:val="0"/>
          <w:i w:val="0"/>
          <w:color w:val="222B36"/>
          <w:sz w:val="19"/>
        </w:rPr>
        <w:t xml:space="preserve">Vastgoedmarkt / Vastgoeddata / Vastgoedjournaal — логистика, ДЦ, Panattoni  </w:t>
      </w:r>
      <w:hyperlink r:id="rId20">
        <w:r>
          <w:rPr>
            <w:color w:val="1155CC"/>
            <w:sz w:val="18"/>
            <w:rFonts w:ascii="Calibri" w:hAnsi="Calibri"/>
            <w:u w:val="single"/>
          </w:rPr>
          <w:t xml:space="preserve">https://www.vastgoedmarkt.nl/198511/wat-je-nu-moet-weten-over-logistiek</w:t>
        </w:r>
      </w:hyperlink>
    </w:p>
    <w:p>
      <w:pPr>
        <w:spacing w:before="200" w:after="0" w:line="269" w:lineRule="auto"/>
        <w:jc w:val="left"/>
      </w:pPr>
    </w:p>
    <w:p>
      <w:pPr>
        <w:spacing w:before="120" w:after="0" w:line="269" w:lineRule="auto"/>
        <w:jc w:val="left"/>
        <w:pBdr>
          <w:top w:val="single" w:sz="6" w:space="4" w:color="D7DEE6"/>
        </w:pBdr>
      </w:pPr>
      <w:r>
        <w:rPr>
          <w:rFonts w:ascii="Calibri" w:hAnsi="Calibri" w:cs="Calibri"/>
          <w:b w:val="0"/>
          <w:i/>
          <w:color w:val="6B7785"/>
          <w:sz w:val="16"/>
        </w:rPr>
        <w:t>Дисклеймер: материал носит информационно-аналитический характер, подготовлен на основе открытых источников и не является инвестиционной рекомендацией. Проверяйте данные по первоисточникам перед принятием решений.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7785"/>
        <w:sz w:val="16"/>
      </w:rPr>
      <w:t xml:space="preserve">Стр. </w:t>
      <w:fldChar w:fldCharType="begin"/>
      <w:instrText xml:space="preserve">PAGE</w:instrText>
      <w:fldChar w:fldCharType="end"/>
    </w:r>
    <w:r>
      <w:rPr>
        <w:rFonts w:ascii="Calibri" w:hAnsi="Calibri"/>
        <w:color w:val="6B7785"/>
        <w:sz w:val="16"/>
      </w:rPr>
      <w:t xml:space="preserve"> из </w:t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cs="Calibri"/>
        <w:b w:val="0"/>
        <w:i w:val="0"/>
        <w:color w:val="6B7785"/>
        <w:sz w:val="16"/>
      </w:rPr>
      <w:t>Недвижимость Нидерландов · 23–30 июня 2026 г.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color w:val="222B3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investing.com/equities/ctp-nv-consensus-estimates" TargetMode="External"/><Relationship Id="rId12" Type="http://schemas.openxmlformats.org/officeDocument/2006/relationships/hyperlink" Target="https://financieel-management.nl/artikel/stroomnet-brabant-volledig-op-slot-voor-alle-bedrijven/" TargetMode="External"/><Relationship Id="rId13" Type="http://schemas.openxmlformats.org/officeDocument/2006/relationships/hyperlink" Target="https://www.eerstekamer.nl/nieuws/20260630/senaat_houdt_stemming_box_3_wet" TargetMode="External"/><Relationship Id="rId14" Type="http://schemas.openxmlformats.org/officeDocument/2006/relationships/hyperlink" Target="https://news.vesteda.com/vesteda-redemption-volume-set-at--765-million-and-fund-terms-amended/" TargetMode="External"/><Relationship Id="rId15" Type="http://schemas.openxmlformats.org/officeDocument/2006/relationships/hyperlink" Target="https://www.rijksoverheid.nl/actueel/nieuws/2026/06/26/kabinet-haalt-nederland-van-het-stikstofslot-met-stevig-pakket-weer-ruimte-voor-boer-natuur-en-bouw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businesswire.com/news/home/20260623616061/en/CTP-N.V.-notice-of-H1-2026-results" TargetMode="External"/><Relationship Id="rId18" Type="http://schemas.openxmlformats.org/officeDocument/2006/relationships/hyperlink" Target="https://www.vastgoeddata.nl/article/8d9d3c4f-6efd-11f1-b96f-464e1662e283/panattoni-ontwikkelt-grootste-bedrijvencomplex-noord-nederland-in-emmen" TargetMode="External"/><Relationship Id="rId19" Type="http://schemas.openxmlformats.org/officeDocument/2006/relationships/hyperlink" Target="https://vastgoedjournaal.nl/news/73532/steeds-meer-vraag-naar-datacenters-maar-realisatie-wordt-steeds-lastiger" TargetMode="External"/><Relationship Id="rId20" Type="http://schemas.openxmlformats.org/officeDocument/2006/relationships/hyperlink" Target="https://www.vastgoedmarkt.nl/198511/wat-je-nu-moet-weten-over-logistiek" TargetMode="External"/><Relationship Id="rId21" Type="http://schemas.openxmlformats.org/officeDocument/2006/relationships/hyperlink" Target="https://www.cushmanwakefield.com/en/netherlands/news/2026/05/dutch-logistics-real-estate-market-remains-resilient" TargetMode="External"/><Relationship Id="rId22" Type="http://schemas.openxmlformats.org/officeDocument/2006/relationships/hyperlink" Target="https://www.cbre.nl/insights/reports/grotere-regionale-verschillen-sturen-rendementen-in-logistiek-vastgoed" TargetMode="External"/><Relationship Id="rId23" Type="http://schemas.openxmlformats.org/officeDocument/2006/relationships/image" Target="media/image2.png"/><Relationship Id="rId24" Type="http://schemas.openxmlformats.org/officeDocument/2006/relationships/image" Target="media/image3.png"/><Relationship Id="rId25" Type="http://schemas.openxmlformats.org/officeDocument/2006/relationships/image" Target="media/image4.png"/><Relationship Id="rId26" Type="http://schemas.openxmlformats.org/officeDocument/2006/relationships/hyperlink" Target="https://www.nvm.nl/nieuws/" TargetMode="External"/><Relationship Id="rId27" Type="http://schemas.openxmlformats.org/officeDocument/2006/relationships/hyperlink" Target="https://www.globenewswire.com/news-release/2026/06/25/3317781/0/en/EUROCOMMERCIAL-PROPERTIES-N-V-18-5-TAKE-UP-OF-STOCK-DIVIDEND.html" TargetMode="External"/><Relationship Id="rId28" Type="http://schemas.openxmlformats.org/officeDocument/2006/relationships/hyperlink" Target="https://europe.uli.org/research/emerging-trends/" TargetMode="External"/><Relationship Id="rId29" Type="http://schemas.openxmlformats.org/officeDocument/2006/relationships/hyperlink" Target="https://www.wereldhave.com/investor-relations/credit-rating/" TargetMode="External"/><Relationship Id="rId30" Type="http://schemas.openxmlformats.org/officeDocument/2006/relationships/hyperlink" Target="https://locatus.com/blog/nederlandse-winkelleegstand-2025/" TargetMode="External"/><Relationship Id="rId31" Type="http://schemas.openxmlformats.org/officeDocument/2006/relationships/hyperlink" Target="https://www.cbs.nl/nl-nl/maatwerk/2026/25/prijsindices-commercieel-vastgoed" TargetMode="External"/><Relationship Id="rId32" Type="http://schemas.openxmlformats.org/officeDocument/2006/relationships/image" Target="media/image5.png"/><Relationship Id="rId33" Type="http://schemas.openxmlformats.org/officeDocument/2006/relationships/hyperlink" Target="https://www.eerstekamer.nl/wetsvoorstel/36512_wet_versterking_regie" TargetMode="External"/><Relationship Id="rId34" Type="http://schemas.openxmlformats.org/officeDocument/2006/relationships/hyperlink" Target="https://www.eerstekamer.nl/wetsvoorstel/36780_initiatiefvoorstel_beckerman" TargetMode="External"/><Relationship Id="rId35" Type="http://schemas.openxmlformats.org/officeDocument/2006/relationships/hyperlink" Target="https://www.rabobank.nl/kennis/d011529617-kwartaalbericht-woningmarkt-einde-van-de-prijsrally-huizenmarkt-koelt-af" TargetMode="External"/><Relationship Id="rId36" Type="http://schemas.openxmlformats.org/officeDocument/2006/relationships/hyperlink" Target="https://www.cbs.nl/nl-nl/nieuws/2026/26/koopwoningen-in-mei-ruim-4-procent-duurder-dan-jaar-eerder" TargetMode="External"/><Relationship Id="rId37" Type="http://schemas.openxmlformats.org/officeDocument/2006/relationships/hyperlink" Target="https://www.cpb.nl/publicatie/toegankelijkheidsmonitor-koopwoningmarkt" TargetMode="External"/><Relationship Id="rId38" Type="http://schemas.openxmlformats.org/officeDocument/2006/relationships/image" Target="media/image6.png"/><Relationship Id="rId39" Type="http://schemas.openxmlformats.org/officeDocument/2006/relationships/hyperlink" Target="https://www.kadaster.nl/-/woningmarkt-1e-kwartaal-2026-weer-meer-verkopen-vooral-goedkopere-woningen" TargetMode="External"/><Relationship Id="rId40" Type="http://schemas.openxmlformats.org/officeDocument/2006/relationships/hyperlink" Target="https://www.dnb.nl/algemeen-nieuws/persbericht-2026/oorlog-midden-oosten-remt-economische-groei-verhoogt-inflatie/" TargetMode="External"/><Relationship Id="rId41" Type="http://schemas.openxmlformats.org/officeDocument/2006/relationships/hyperlink" Target="https://www.ecb.europa.eu/press/pr/date/2026/html/ecb.mp260611~4d41bd5e83.en.html" TargetMode="External"/><Relationship Id="rId42" Type="http://schemas.openxmlformats.org/officeDocument/2006/relationships/hyperlink" Target="https://www.ecb.europa.eu/stats/ecb_surveys/bank_lending_survey/html/ecb.blssurvey2026q1~ff74e51f1b.en.html" TargetMode="External"/><Relationship Id="rId43" Type="http://schemas.openxmlformats.org/officeDocument/2006/relationships/hyperlink" Target="https://ec.europa.eu/eurostat/web/products-eurostat-news/w/ddn-20260407-1" TargetMode="External"/><Relationship Id="rId44" Type="http://schemas.openxmlformats.org/officeDocument/2006/relationships/hyperlink" Target="https://tradingeconomics.com/netherlands/government-bond-yield" TargetMode="External"/><Relationship Id="rId45" Type="http://schemas.openxmlformats.org/officeDocument/2006/relationships/hyperlink" Target="https://www.euribor-rates.eu/en/current-euribor-rates/" TargetMode="External"/><Relationship Id="rId46" Type="http://schemas.openxmlformats.org/officeDocument/2006/relationships/hyperlink" Target="https://www.inrev.org/news/inrev-news/investment-intentions-survey-2026" TargetMode="External"/><Relationship Id="rId47" Type="http://schemas.openxmlformats.org/officeDocument/2006/relationships/hyperlink" Target="https://www.epra.com/indexes/monthly-reports" TargetMode="External"/><Relationship Id="rId48" Type="http://schemas.openxmlformats.org/officeDocument/2006/relationships/hyperlink" Target="https://eu.greenstreet.com/resources/pricing-index/" TargetMode="External"/><Relationship Id="rId49" Type="http://schemas.openxmlformats.org/officeDocument/2006/relationships/hyperlink" Target="https://www.gresb.com/nl-en/insights/gresb-2025-benchmarks-reflect-industry-maturity-and-continued-progress-toward-responsible-investing/" TargetMode="External"/><Relationship Id="rId50" Type="http://schemas.openxmlformats.org/officeDocument/2006/relationships/hyperlink" Target="https://www.savills.nl/research_articles/251853/390330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