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media/image47.jpg" ContentType="image/png"/>
  <Override PartName="/word/media/image48.jpg"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p>
    <w:p>
      <w:pPr>
        <w:spacing w:before="0" w:after="0"/>
      </w:pPr>
    </w:p>
    <w:p>
      <w:pPr>
        <w:spacing w:before="0" w:after="0"/>
      </w:pPr>
    </w:p>
    <w:p>
      <w:pPr>
        <w:spacing w:before="0" w:after="0"/>
      </w:pPr>
    </w:p>
    <w:p>
      <w:pPr>
        <w:spacing w:before="0" w:after="0"/>
      </w:pPr>
    </w:p>
    <w:p>
      <w:pPr>
        <w:spacing w:before="0" w:after="0"/>
      </w:pPr>
    </w:p>
    <w:p>
      <w:pPr>
        <w:pBdr>
          <w:bottom w:val="single" w:sz="16" w:space="1" w:color="C9A961"/>
        </w:pBdr>
        <w:spacing w:before="0" w:after="280" w:line="240" w:lineRule="auto"/>
      </w:pPr>
    </w:p>
    <w:p>
      <w:pPr>
        <w:spacing w:before="0" w:after="200"/>
        <w:jc w:val="center"/>
      </w:pPr>
      <w:r>
        <w:rPr>
          <w:rFonts w:ascii="Calibri" w:hAnsi="Calibri" w:cs="Calibri" w:eastAsia="Calibri"/>
          <w:b/>
          <w:i w:val="0"/>
          <w:color w:val="1A3A5C"/>
          <w:spacing w:val="70"/>
          <w:sz w:val="44"/>
        </w:rPr>
        <w:t>ОБЪЕКТЫ НЕДВИЖИМОСТИ</w:t>
      </w:r>
    </w:p>
    <w:p>
      <w:pPr>
        <w:spacing w:before="0" w:after="280"/>
        <w:jc w:val="center"/>
      </w:pPr>
      <w:r>
        <w:rPr>
          <w:rFonts w:ascii="Calibri" w:hAnsi="Calibri" w:cs="Calibri" w:eastAsia="Calibri"/>
          <w:b w:val="0"/>
          <w:i/>
          <w:color w:val="5A6E80"/>
          <w:sz w:val="28"/>
        </w:rPr>
        <w:t>Нидерланды</w:t>
      </w:r>
    </w:p>
    <w:p>
      <w:pPr>
        <w:pBdr>
          <w:bottom w:val="single" w:sz="12" w:space="1" w:color="C9A961"/>
        </w:pBdr>
        <w:spacing w:before="0" w:after="440" w:line="240" w:lineRule="auto"/>
      </w:pPr>
    </w:p>
    <w:p>
      <w:pPr>
        <w:spacing w:before="0" w:after="200"/>
        <w:jc w:val="center"/>
      </w:pPr>
      <w:r>
        <w:rPr>
          <w:rFonts w:ascii="Calibri" w:hAnsi="Calibri" w:cs="Calibri" w:eastAsia="Calibri"/>
          <w:b w:val="0"/>
          <w:i w:val="0"/>
          <w:color w:val="5A6E80"/>
          <w:sz w:val="22"/>
        </w:rPr>
        <w:t>В подборку входят:</w:t>
      </w:r>
    </w:p>
    <w:p>
      <w:pPr>
        <w:spacing w:before="0" w:after="120"/>
        <w:jc w:val="center"/>
      </w:pPr>
      <w:r>
        <w:rPr>
          <w:rFonts w:ascii="Calibri" w:hAnsi="Calibri" w:cs="Calibri" w:eastAsia="Calibri"/>
          <w:b/>
          <w:i w:val="0"/>
          <w:color w:val="C9A961"/>
          <w:sz w:val="24"/>
        </w:rPr>
        <w:t xml:space="preserve">1. </w:t>
      </w:r>
      <w:r>
        <w:rPr>
          <w:rFonts w:ascii="Calibri" w:hAnsi="Calibri" w:cs="Calibri" w:eastAsia="Calibri"/>
          <w:b/>
          <w:i w:val="0"/>
          <w:color w:val="1A3A5C"/>
          <w:sz w:val="24"/>
        </w:rPr>
        <w:t xml:space="preserve">Steenovenweg 11‑13, </w:t>
      </w:r>
      <w:r>
        <w:rPr>
          <w:rFonts w:ascii="Calibri" w:hAnsi="Calibri" w:cs="Calibri" w:eastAsia="Calibri"/>
          <w:b w:val="0"/>
          <w:i w:val="0"/>
          <w:color w:val="2C2C2C"/>
          <w:sz w:val="24"/>
        </w:rPr>
        <w:t>Montfoort — € 975.000</w:t>
      </w:r>
    </w:p>
    <w:p>
      <w:pPr>
        <w:spacing w:before="0" w:after="120"/>
        <w:jc w:val="center"/>
      </w:pPr>
      <w:r>
        <w:rPr>
          <w:rFonts w:ascii="Calibri" w:hAnsi="Calibri" w:cs="Calibri" w:eastAsia="Calibri"/>
          <w:b/>
          <w:i w:val="0"/>
          <w:color w:val="C9A961"/>
          <w:sz w:val="24"/>
        </w:rPr>
        <w:t xml:space="preserve">2. </w:t>
      </w:r>
      <w:r>
        <w:rPr>
          <w:rFonts w:ascii="Calibri" w:hAnsi="Calibri" w:cs="Calibri" w:eastAsia="Calibri"/>
          <w:b/>
          <w:i w:val="0"/>
          <w:color w:val="1A3A5C"/>
          <w:sz w:val="24"/>
        </w:rPr>
        <w:t xml:space="preserve">Decimalaan 3‑5‑7‑9 и Nieuw‑Amsterdamlaan 4‑6, </w:t>
      </w:r>
      <w:r>
        <w:rPr>
          <w:rFonts w:ascii="Calibri" w:hAnsi="Calibri" w:cs="Calibri" w:eastAsia="Calibri"/>
          <w:b w:val="0"/>
          <w:i w:val="0"/>
          <w:color w:val="2C2C2C"/>
          <w:sz w:val="24"/>
        </w:rPr>
        <w:t>Utrecht — € 2.975.000</w:t>
      </w:r>
    </w:p>
    <w:p>
      <w:pPr>
        <w:spacing w:before="0" w:after="120"/>
        <w:jc w:val="center"/>
      </w:pPr>
      <w:r>
        <w:rPr>
          <w:rFonts w:ascii="Calibri" w:hAnsi="Calibri" w:cs="Calibri" w:eastAsia="Calibri"/>
          <w:b/>
          <w:i w:val="0"/>
          <w:color w:val="C9A961"/>
          <w:sz w:val="24"/>
        </w:rPr>
        <w:t xml:space="preserve">3. </w:t>
      </w:r>
      <w:r>
        <w:rPr>
          <w:rFonts w:ascii="Calibri" w:hAnsi="Calibri" w:cs="Calibri" w:eastAsia="Calibri"/>
          <w:b/>
          <w:i w:val="0"/>
          <w:color w:val="1A3A5C"/>
          <w:sz w:val="24"/>
        </w:rPr>
        <w:t xml:space="preserve">Archimedesbaan 11 и 7‑9, </w:t>
      </w:r>
      <w:r>
        <w:rPr>
          <w:rFonts w:ascii="Calibri" w:hAnsi="Calibri" w:cs="Calibri" w:eastAsia="Calibri"/>
          <w:b w:val="0"/>
          <w:i w:val="0"/>
          <w:color w:val="2C2C2C"/>
          <w:sz w:val="24"/>
        </w:rPr>
        <w:t>Nieuwegein — € 1.750.000</w:t>
      </w:r>
    </w:p>
    <w:p>
      <w:pPr>
        <w:spacing w:before="0" w:after="0"/>
      </w:pPr>
    </w:p>
    <w:p>
      <w:pPr>
        <w:spacing w:before="360" w:after="0"/>
        <w:jc w:val="center"/>
      </w:pPr>
      <w:r>
        <w:rPr>
          <w:rFonts w:ascii="Calibri" w:hAnsi="Calibri" w:cs="Calibri" w:eastAsia="Calibri"/>
          <w:b w:val="0"/>
          <w:i/>
          <w:color w:val="5A6E80"/>
          <w:sz w:val="18"/>
        </w:rPr>
        <w:t>Данные по объектам приведены по публикациям funda in business по состоянию на 27.07.2026</w:t>
      </w:r>
    </w:p>
    <w:p>
      <w:pPr>
        <w:sectPr>
          <w:pgSz w:w="11906" w:h="16838"/>
          <w:pgMar w:top="1077" w:right="1174" w:bottom="1134" w:left="1174" w:header="720" w:footer="720" w:gutter="0"/>
          <w:cols w:space="720"/>
          <w:docGrid w:linePitch="360"/>
        </w:sectPr>
      </w:pPr>
    </w:p>
    <w:p>
      <w:pPr>
        <w:keepNext w:val="1"/>
        <w:keepLines w:val="1"/>
        <w:pBdr>
          <w:bottom w:val="single" w:sz="8" w:space="4" w:color="1A3A5C"/>
        </w:pBdr>
        <w:spacing w:before="320" w:after="160"/>
      </w:pPr>
      <w:r>
        <w:rPr>
          <w:rFonts w:ascii="Calibri" w:hAnsi="Calibri" w:cs="Calibri" w:eastAsia="Calibri"/>
          <w:b/>
          <w:i w:val="0"/>
          <w:color w:val="1A3A5C"/>
          <w:spacing w:val="24"/>
          <w:sz w:val="22"/>
        </w:rPr>
        <w:t>СРАВНЕНИЕ ОБЪЕКТОВ</w:t>
      </w:r>
    </w:p>
    <w:tbl>
      <w:tblPr>
        <w:tblW w:type="auto" w:w="0"/>
        <w:jc w:val="left"/>
        <w:tblBorders>
          <w:top w:val="single" w:sz="2" w:space="0" w:color="D8D8D8"/>
          <w:start w:val="none" w:sz="0" w:space="0" w:color="auto"/>
          <w:bottom w:val="single" w:sz="2" w:space="0" w:color="D8D8D8"/>
          <w:end w:val="none" w:sz="0" w:space="0" w:color="auto"/>
          <w:insideH w:val="single" w:sz="2" w:space="0" w:color="D8D8D8"/>
          <w:insideV w:val="none" w:sz="0" w:space="0" w:color="auto"/>
        </w:tblBorders>
        <w:tblLayout w:type="fixed"/>
        <w:tblLook w:firstColumn="1" w:firstRow="1" w:lastColumn="0" w:lastRow="0" w:noHBand="0" w:noVBand="1" w:val="04A0"/>
      </w:tblPr>
      <w:tblGrid>
        <w:gridCol w:w="2200"/>
        <w:gridCol w:w="2453"/>
        <w:gridCol w:w="2453"/>
        <w:gridCol w:w="2453"/>
      </w:tblGrid>
      <w:tr>
        <w:trPr>
          <w:tblHeader w:val="1"/>
        </w:trPr>
        <w:tc>
          <w:tcPr>
            <w:tcW w:type="dxa" w:w="2200"/>
            <w:shd w:val="clear" w:color="auto" w:fill="FAFAFA"/>
            <w:tcMar>
              <w:top w:w="100" w:type="dxa"/>
              <w:start w:w="120" w:type="dxa"/>
              <w:bottom w:w="100" w:type="dxa"/>
              <w:end w:w="120" w:type="dxa"/>
            </w:tcMar>
          </w:tcPr>
          <w:p>
            <w:pPr>
              <w:spacing w:after="0"/>
              <w:jc w:val="left"/>
            </w:pPr>
            <w:r>
              <w:rPr>
                <w:rFonts w:ascii="Calibri" w:hAnsi="Calibri" w:cs="Calibri" w:eastAsia="Calibri"/>
                <w:b/>
                <w:i w:val="0"/>
                <w:color w:val="1A3A5C"/>
                <w:sz w:val="18"/>
              </w:rPr>
              <w:t>Показатель</w:t>
            </w:r>
          </w:p>
        </w:tc>
        <w:tc>
          <w:tcPr>
            <w:tcW w:type="dxa" w:w="2453"/>
            <w:shd w:val="clear" w:color="auto" w:fill="FAFAFA"/>
            <w:tcMar>
              <w:top w:w="100" w:type="dxa"/>
              <w:start w:w="120" w:type="dxa"/>
              <w:bottom w:w="100" w:type="dxa"/>
              <w:end w:w="120" w:type="dxa"/>
            </w:tcMar>
          </w:tcPr>
          <w:p>
            <w:pPr>
              <w:spacing w:after="0"/>
              <w:jc w:val="left"/>
            </w:pPr>
            <w:r>
              <w:rPr>
                <w:rFonts w:ascii="Calibri" w:hAnsi="Calibri" w:cs="Calibri" w:eastAsia="Calibri"/>
                <w:b/>
                <w:i w:val="0"/>
                <w:color w:val="1A3A5C"/>
                <w:sz w:val="18"/>
              </w:rPr>
              <w:t>Steenovenweg 11‑13</w:t>
            </w:r>
          </w:p>
        </w:tc>
        <w:tc>
          <w:tcPr>
            <w:tcW w:type="dxa" w:w="2453"/>
            <w:shd w:val="clear" w:color="auto" w:fill="FAFAFA"/>
            <w:tcMar>
              <w:top w:w="100" w:type="dxa"/>
              <w:start w:w="120" w:type="dxa"/>
              <w:bottom w:w="100" w:type="dxa"/>
              <w:end w:w="120" w:type="dxa"/>
            </w:tcMar>
          </w:tcPr>
          <w:p>
            <w:pPr>
              <w:spacing w:after="0"/>
              <w:jc w:val="left"/>
            </w:pPr>
            <w:r>
              <w:rPr>
                <w:rFonts w:ascii="Calibri" w:hAnsi="Calibri" w:cs="Calibri" w:eastAsia="Calibri"/>
                <w:b/>
                <w:i w:val="0"/>
                <w:color w:val="1A3A5C"/>
                <w:sz w:val="18"/>
              </w:rPr>
              <w:t>Decimalaan 3‑5‑7‑9 и Nieuw‑Amsterdamlaan 4‑6</w:t>
            </w:r>
          </w:p>
        </w:tc>
        <w:tc>
          <w:tcPr>
            <w:tcW w:type="dxa" w:w="2453"/>
            <w:shd w:val="clear" w:color="auto" w:fill="FAFAFA"/>
            <w:tcMar>
              <w:top w:w="100" w:type="dxa"/>
              <w:start w:w="120" w:type="dxa"/>
              <w:bottom w:w="100" w:type="dxa"/>
              <w:end w:w="120" w:type="dxa"/>
            </w:tcMar>
          </w:tcPr>
          <w:p>
            <w:pPr>
              <w:spacing w:after="0"/>
              <w:jc w:val="left"/>
            </w:pPr>
            <w:r>
              <w:rPr>
                <w:rFonts w:ascii="Calibri" w:hAnsi="Calibri" w:cs="Calibri" w:eastAsia="Calibri"/>
                <w:b/>
                <w:i w:val="0"/>
                <w:color w:val="1A3A5C"/>
                <w:sz w:val="18"/>
              </w:rPr>
              <w:t>Archimedesbaan 11 и 7‑9</w:t>
            </w:r>
          </w:p>
        </w:tc>
      </w:tr>
      <w:tr>
        <w:tc>
          <w:tcPr>
            <w:tcW w:type="dxa" w:w="2200"/>
            <w:shd w:val="clear" w:color="auto" w:fill="FAFAFA"/>
            <w:tcMar>
              <w:top w:w="100" w:type="dxa"/>
              <w:start w:w="120" w:type="dxa"/>
              <w:bottom w:w="100" w:type="dxa"/>
              <w:end w:w="120" w:type="dxa"/>
            </w:tcMar>
          </w:tcPr>
          <w:p>
            <w:pPr>
              <w:spacing w:after="0"/>
              <w:jc w:val="left"/>
            </w:pPr>
            <w:r>
              <w:rPr>
                <w:rFonts w:ascii="Calibri" w:hAnsi="Calibri" w:cs="Calibri" w:eastAsia="Calibri"/>
                <w:b/>
                <w:i w:val="0"/>
                <w:color w:val="1A3A5C"/>
                <w:sz w:val="18"/>
              </w:rPr>
              <w:t>Цена</w:t>
            </w:r>
          </w:p>
        </w:tc>
        <w:tc>
          <w:tcPr>
            <w:tcW w:type="dxa" w:w="2453"/>
            <w:tcMar>
              <w:top w:w="100" w:type="dxa"/>
              <w:start w:w="120" w:type="dxa"/>
              <w:bottom w:w="100" w:type="dxa"/>
              <w:end w:w="120" w:type="dxa"/>
            </w:tcMar>
          </w:tcPr>
          <w:p>
            <w:pPr>
              <w:spacing w:after="0"/>
              <w:jc w:val="left"/>
            </w:pPr>
            <w:r>
              <w:rPr>
                <w:rFonts w:ascii="Calibri" w:hAnsi="Calibri" w:cs="Calibri" w:eastAsia="Calibri"/>
                <w:b w:val="0"/>
                <w:i w:val="0"/>
                <w:color w:val="2C2C2C"/>
                <w:sz w:val="18"/>
              </w:rPr>
              <w:t>€ 975.000</w:t>
            </w:r>
          </w:p>
        </w:tc>
        <w:tc>
          <w:tcPr>
            <w:tcW w:type="dxa" w:w="2453"/>
            <w:tcMar>
              <w:top w:w="100" w:type="dxa"/>
              <w:start w:w="120" w:type="dxa"/>
              <w:bottom w:w="100" w:type="dxa"/>
              <w:end w:w="120" w:type="dxa"/>
            </w:tcMar>
          </w:tcPr>
          <w:p>
            <w:pPr>
              <w:spacing w:after="0"/>
              <w:jc w:val="left"/>
            </w:pPr>
            <w:r>
              <w:rPr>
                <w:rFonts w:ascii="Calibri" w:hAnsi="Calibri" w:cs="Calibri" w:eastAsia="Calibri"/>
                <w:b w:val="0"/>
                <w:i w:val="0"/>
                <w:color w:val="2C2C2C"/>
                <w:sz w:val="18"/>
              </w:rPr>
              <w:t>€ 2.975.000</w:t>
            </w:r>
          </w:p>
        </w:tc>
        <w:tc>
          <w:tcPr>
            <w:tcW w:type="dxa" w:w="2453"/>
            <w:tcMar>
              <w:top w:w="100" w:type="dxa"/>
              <w:start w:w="120" w:type="dxa"/>
              <w:bottom w:w="100" w:type="dxa"/>
              <w:end w:w="120" w:type="dxa"/>
            </w:tcMar>
          </w:tcPr>
          <w:p>
            <w:pPr>
              <w:spacing w:after="0"/>
              <w:jc w:val="left"/>
            </w:pPr>
            <w:r>
              <w:rPr>
                <w:rFonts w:ascii="Calibri" w:hAnsi="Calibri" w:cs="Calibri" w:eastAsia="Calibri"/>
                <w:b w:val="0"/>
                <w:i w:val="0"/>
                <w:color w:val="2C2C2C"/>
                <w:sz w:val="18"/>
              </w:rPr>
              <w:t>€ 1.750.000</w:t>
            </w:r>
          </w:p>
        </w:tc>
      </w:tr>
      <w:tr>
        <w:tc>
          <w:tcPr>
            <w:tcW w:type="dxa" w:w="2200"/>
            <w:shd w:val="clear" w:color="auto" w:fill="FAFAFA"/>
            <w:tcMar>
              <w:top w:w="100" w:type="dxa"/>
              <w:start w:w="120" w:type="dxa"/>
              <w:bottom w:w="100" w:type="dxa"/>
              <w:end w:w="120" w:type="dxa"/>
            </w:tcMar>
          </w:tcPr>
          <w:p>
            <w:pPr>
              <w:spacing w:after="0"/>
              <w:jc w:val="left"/>
            </w:pPr>
            <w:r>
              <w:rPr>
                <w:rFonts w:ascii="Calibri" w:hAnsi="Calibri" w:cs="Calibri" w:eastAsia="Calibri"/>
                <w:b/>
                <w:i w:val="0"/>
                <w:color w:val="1A3A5C"/>
                <w:sz w:val="18"/>
              </w:rPr>
              <w:t>Цена входа (с k.k.)</w:t>
            </w:r>
          </w:p>
        </w:tc>
        <w:tc>
          <w:tcPr>
            <w:tcW w:type="dxa" w:w="2453"/>
            <w:tcMar>
              <w:top w:w="100" w:type="dxa"/>
              <w:start w:w="120" w:type="dxa"/>
              <w:bottom w:w="100" w:type="dxa"/>
              <w:end w:w="120" w:type="dxa"/>
            </w:tcMar>
          </w:tcPr>
          <w:p>
            <w:pPr>
              <w:spacing w:after="0"/>
              <w:jc w:val="left"/>
            </w:pPr>
            <w:r>
              <w:rPr>
                <w:rFonts w:ascii="Calibri" w:hAnsi="Calibri" w:cs="Calibri" w:eastAsia="Calibri"/>
                <w:b w:val="0"/>
                <w:i w:val="0"/>
                <w:color w:val="2C2C2C"/>
                <w:sz w:val="18"/>
              </w:rPr>
              <w:t>€ 1.088.100</w:t>
            </w:r>
          </w:p>
        </w:tc>
        <w:tc>
          <w:tcPr>
            <w:tcW w:type="dxa" w:w="2453"/>
            <w:tcMar>
              <w:top w:w="100" w:type="dxa"/>
              <w:start w:w="120" w:type="dxa"/>
              <w:bottom w:w="100" w:type="dxa"/>
              <w:end w:w="120" w:type="dxa"/>
            </w:tcMar>
          </w:tcPr>
          <w:p>
            <w:pPr>
              <w:spacing w:after="0"/>
              <w:jc w:val="left"/>
            </w:pPr>
            <w:r>
              <w:rPr>
                <w:rFonts w:ascii="Calibri" w:hAnsi="Calibri" w:cs="Calibri" w:eastAsia="Calibri"/>
                <w:b w:val="0"/>
                <w:i w:val="0"/>
                <w:color w:val="2C2C2C"/>
                <w:sz w:val="18"/>
              </w:rPr>
              <w:t>€ 3.320.100</w:t>
            </w:r>
          </w:p>
        </w:tc>
        <w:tc>
          <w:tcPr>
            <w:tcW w:type="dxa" w:w="2453"/>
            <w:tcMar>
              <w:top w:w="100" w:type="dxa"/>
              <w:start w:w="120" w:type="dxa"/>
              <w:bottom w:w="100" w:type="dxa"/>
              <w:end w:w="120" w:type="dxa"/>
            </w:tcMar>
          </w:tcPr>
          <w:p>
            <w:pPr>
              <w:spacing w:after="0"/>
              <w:jc w:val="left"/>
            </w:pPr>
            <w:r>
              <w:rPr>
                <w:rFonts w:ascii="Calibri" w:hAnsi="Calibri" w:cs="Calibri" w:eastAsia="Calibri"/>
                <w:b w:val="0"/>
                <w:i w:val="0"/>
                <w:color w:val="2C2C2C"/>
                <w:sz w:val="18"/>
              </w:rPr>
              <w:t>€ 1.953.000</w:t>
            </w:r>
          </w:p>
        </w:tc>
      </w:tr>
      <w:tr>
        <w:tc>
          <w:tcPr>
            <w:tcW w:type="dxa" w:w="2200"/>
            <w:shd w:val="clear" w:color="auto" w:fill="FAFAFA"/>
            <w:tcMar>
              <w:top w:w="100" w:type="dxa"/>
              <w:start w:w="120" w:type="dxa"/>
              <w:bottom w:w="100" w:type="dxa"/>
              <w:end w:w="120" w:type="dxa"/>
            </w:tcMar>
          </w:tcPr>
          <w:p>
            <w:pPr>
              <w:spacing w:after="0"/>
              <w:jc w:val="left"/>
            </w:pPr>
            <w:r>
              <w:rPr>
                <w:rFonts w:ascii="Calibri" w:hAnsi="Calibri" w:cs="Calibri" w:eastAsia="Calibri"/>
                <w:b/>
                <w:i w:val="0"/>
                <w:color w:val="1A3A5C"/>
                <w:sz w:val="18"/>
              </w:rPr>
              <w:t>Площадь</w:t>
            </w:r>
          </w:p>
        </w:tc>
        <w:tc>
          <w:tcPr>
            <w:tcW w:type="dxa" w:w="2453"/>
            <w:tcMar>
              <w:top w:w="100" w:type="dxa"/>
              <w:start w:w="120" w:type="dxa"/>
              <w:bottom w:w="100" w:type="dxa"/>
              <w:end w:w="120" w:type="dxa"/>
            </w:tcMar>
          </w:tcPr>
          <w:p>
            <w:pPr>
              <w:spacing w:after="0"/>
              <w:jc w:val="left"/>
            </w:pPr>
            <w:r>
              <w:rPr>
                <w:rFonts w:ascii="Calibri" w:hAnsi="Calibri" w:cs="Calibri" w:eastAsia="Calibri"/>
                <w:b w:val="0"/>
                <w:i w:val="0"/>
                <w:color w:val="2C2C2C"/>
                <w:sz w:val="18"/>
              </w:rPr>
              <w:t>616 м²</w:t>
            </w:r>
          </w:p>
        </w:tc>
        <w:tc>
          <w:tcPr>
            <w:tcW w:type="dxa" w:w="2453"/>
            <w:tcMar>
              <w:top w:w="100" w:type="dxa"/>
              <w:start w:w="120" w:type="dxa"/>
              <w:bottom w:w="100" w:type="dxa"/>
              <w:end w:w="120" w:type="dxa"/>
            </w:tcMar>
          </w:tcPr>
          <w:p>
            <w:pPr>
              <w:spacing w:after="0"/>
              <w:jc w:val="left"/>
            </w:pPr>
            <w:r>
              <w:rPr>
                <w:rFonts w:ascii="Calibri" w:hAnsi="Calibri" w:cs="Calibri" w:eastAsia="Calibri"/>
                <w:b w:val="0"/>
                <w:i w:val="0"/>
                <w:color w:val="2C2C2C"/>
                <w:sz w:val="18"/>
              </w:rPr>
              <w:t>2.935 м²</w:t>
            </w:r>
          </w:p>
        </w:tc>
        <w:tc>
          <w:tcPr>
            <w:tcW w:type="dxa" w:w="2453"/>
            <w:tcMar>
              <w:top w:w="100" w:type="dxa"/>
              <w:start w:w="120" w:type="dxa"/>
              <w:bottom w:w="100" w:type="dxa"/>
              <w:end w:w="120" w:type="dxa"/>
            </w:tcMar>
          </w:tcPr>
          <w:p>
            <w:pPr>
              <w:spacing w:after="0"/>
              <w:jc w:val="left"/>
            </w:pPr>
            <w:r>
              <w:rPr>
                <w:rFonts w:ascii="Calibri" w:hAnsi="Calibri" w:cs="Calibri" w:eastAsia="Calibri"/>
                <w:b w:val="0"/>
                <w:i w:val="0"/>
                <w:color w:val="2C2C2C"/>
                <w:sz w:val="18"/>
              </w:rPr>
              <w:t>1.876 м²</w:t>
            </w:r>
          </w:p>
        </w:tc>
      </w:tr>
      <w:tr>
        <w:tc>
          <w:tcPr>
            <w:tcW w:type="dxa" w:w="2200"/>
            <w:shd w:val="clear" w:color="auto" w:fill="FAFAFA"/>
            <w:tcMar>
              <w:top w:w="100" w:type="dxa"/>
              <w:start w:w="120" w:type="dxa"/>
              <w:bottom w:w="100" w:type="dxa"/>
              <w:end w:w="120" w:type="dxa"/>
            </w:tcMar>
          </w:tcPr>
          <w:p>
            <w:pPr>
              <w:spacing w:after="0"/>
              <w:jc w:val="left"/>
            </w:pPr>
            <w:r>
              <w:rPr>
                <w:rFonts w:ascii="Calibri" w:hAnsi="Calibri" w:cs="Calibri" w:eastAsia="Calibri"/>
                <w:b/>
                <w:i w:val="0"/>
                <w:color w:val="1A3A5C"/>
                <w:sz w:val="18"/>
              </w:rPr>
              <w:t>Цена за м²</w:t>
            </w:r>
          </w:p>
        </w:tc>
        <w:tc>
          <w:tcPr>
            <w:tcW w:type="dxa" w:w="2453"/>
            <w:tcMar>
              <w:top w:w="100" w:type="dxa"/>
              <w:start w:w="120" w:type="dxa"/>
              <w:bottom w:w="100" w:type="dxa"/>
              <w:end w:w="120" w:type="dxa"/>
            </w:tcMar>
          </w:tcPr>
          <w:p>
            <w:pPr>
              <w:spacing w:after="0"/>
              <w:jc w:val="left"/>
            </w:pPr>
            <w:r>
              <w:rPr>
                <w:rFonts w:ascii="Calibri" w:hAnsi="Calibri" w:cs="Calibri" w:eastAsia="Calibri"/>
                <w:b w:val="0"/>
                <w:i w:val="0"/>
                <w:color w:val="2C2C2C"/>
                <w:sz w:val="18"/>
              </w:rPr>
              <w:t>€ 1.583/м²</w:t>
            </w:r>
          </w:p>
        </w:tc>
        <w:tc>
          <w:tcPr>
            <w:tcW w:type="dxa" w:w="2453"/>
            <w:tcMar>
              <w:top w:w="100" w:type="dxa"/>
              <w:start w:w="120" w:type="dxa"/>
              <w:bottom w:w="100" w:type="dxa"/>
              <w:end w:w="120" w:type="dxa"/>
            </w:tcMar>
          </w:tcPr>
          <w:p>
            <w:pPr>
              <w:spacing w:after="0"/>
              <w:jc w:val="left"/>
            </w:pPr>
            <w:r>
              <w:rPr>
                <w:rFonts w:ascii="Calibri" w:hAnsi="Calibri" w:cs="Calibri" w:eastAsia="Calibri"/>
                <w:b w:val="0"/>
                <w:i w:val="0"/>
                <w:color w:val="2C2C2C"/>
                <w:sz w:val="18"/>
              </w:rPr>
              <w:t>€ 1.014/м²</w:t>
            </w:r>
          </w:p>
        </w:tc>
        <w:tc>
          <w:tcPr>
            <w:tcW w:type="dxa" w:w="2453"/>
            <w:tcMar>
              <w:top w:w="100" w:type="dxa"/>
              <w:start w:w="120" w:type="dxa"/>
              <w:bottom w:w="100" w:type="dxa"/>
              <w:end w:w="120" w:type="dxa"/>
            </w:tcMar>
          </w:tcPr>
          <w:p>
            <w:pPr>
              <w:spacing w:after="0"/>
              <w:jc w:val="left"/>
            </w:pPr>
            <w:r>
              <w:rPr>
                <w:rFonts w:ascii="Calibri" w:hAnsi="Calibri" w:cs="Calibri" w:eastAsia="Calibri"/>
                <w:b w:val="0"/>
                <w:i w:val="0"/>
                <w:color w:val="2C2C2C"/>
                <w:sz w:val="18"/>
              </w:rPr>
              <w:t>€ 933/м²</w:t>
            </w:r>
          </w:p>
        </w:tc>
      </w:tr>
      <w:tr>
        <w:tc>
          <w:tcPr>
            <w:tcW w:type="dxa" w:w="2200"/>
            <w:shd w:val="clear" w:color="auto" w:fill="FAFAFA"/>
            <w:tcMar>
              <w:top w:w="100" w:type="dxa"/>
              <w:start w:w="120" w:type="dxa"/>
              <w:bottom w:w="100" w:type="dxa"/>
              <w:end w:w="120" w:type="dxa"/>
            </w:tcMar>
          </w:tcPr>
          <w:p>
            <w:pPr>
              <w:spacing w:after="0"/>
              <w:jc w:val="left"/>
            </w:pPr>
            <w:r>
              <w:rPr>
                <w:rFonts w:ascii="Calibri" w:hAnsi="Calibri" w:cs="Calibri" w:eastAsia="Calibri"/>
                <w:b/>
                <w:i w:val="0"/>
                <w:color w:val="1A3A5C"/>
                <w:sz w:val="18"/>
              </w:rPr>
              <w:t>Доход в год</w:t>
            </w:r>
          </w:p>
        </w:tc>
        <w:tc>
          <w:tcPr>
            <w:tcW w:type="dxa" w:w="2453"/>
            <w:tcMar>
              <w:top w:w="100" w:type="dxa"/>
              <w:start w:w="120" w:type="dxa"/>
              <w:bottom w:w="100" w:type="dxa"/>
              <w:end w:w="120" w:type="dxa"/>
            </w:tcMar>
          </w:tcPr>
          <w:p>
            <w:pPr>
              <w:spacing w:after="0"/>
              <w:jc w:val="left"/>
            </w:pPr>
            <w:r>
              <w:rPr>
                <w:rFonts w:ascii="Calibri" w:hAnsi="Calibri" w:cs="Calibri" w:eastAsia="Calibri"/>
                <w:b w:val="0"/>
                <w:i w:val="0"/>
                <w:color w:val="2C2C2C"/>
                <w:sz w:val="18"/>
              </w:rPr>
              <w:t>€ 73.300</w:t>
            </w:r>
          </w:p>
        </w:tc>
        <w:tc>
          <w:tcPr>
            <w:tcW w:type="dxa" w:w="2453"/>
            <w:tcMar>
              <w:top w:w="100" w:type="dxa"/>
              <w:start w:w="120" w:type="dxa"/>
              <w:bottom w:w="100" w:type="dxa"/>
              <w:end w:w="120" w:type="dxa"/>
            </w:tcMar>
          </w:tcPr>
          <w:p>
            <w:pPr>
              <w:spacing w:after="0"/>
              <w:jc w:val="left"/>
            </w:pPr>
            <w:r>
              <w:rPr>
                <w:rFonts w:ascii="Calibri" w:hAnsi="Calibri" w:cs="Calibri" w:eastAsia="Calibri"/>
                <w:b w:val="0"/>
                <w:i w:val="0"/>
                <w:color w:val="2C2C2C"/>
                <w:sz w:val="18"/>
              </w:rPr>
              <w:t>€ 139.164</w:t>
            </w:r>
          </w:p>
        </w:tc>
        <w:tc>
          <w:tcPr>
            <w:tcW w:type="dxa" w:w="2453"/>
            <w:tcMar>
              <w:top w:w="100" w:type="dxa"/>
              <w:start w:w="120" w:type="dxa"/>
              <w:bottom w:w="100" w:type="dxa"/>
              <w:end w:w="120" w:type="dxa"/>
            </w:tcMar>
          </w:tcPr>
          <w:p>
            <w:pPr>
              <w:spacing w:after="0"/>
              <w:jc w:val="left"/>
            </w:pPr>
            <w:r>
              <w:rPr>
                <w:rFonts w:ascii="Calibri" w:hAnsi="Calibri" w:cs="Calibri" w:eastAsia="Calibri"/>
                <w:b w:val="0"/>
                <w:i w:val="0"/>
                <w:color w:val="2C2C2C"/>
                <w:sz w:val="18"/>
              </w:rPr>
              <w:t>€ 111.153</w:t>
            </w:r>
          </w:p>
        </w:tc>
      </w:tr>
      <w:tr>
        <w:tc>
          <w:tcPr>
            <w:tcW w:type="dxa" w:w="2200"/>
            <w:shd w:val="clear" w:color="auto" w:fill="FAFAFA"/>
            <w:tcMar>
              <w:top w:w="100" w:type="dxa"/>
              <w:start w:w="120" w:type="dxa"/>
              <w:bottom w:w="100" w:type="dxa"/>
              <w:end w:w="120" w:type="dxa"/>
            </w:tcMar>
          </w:tcPr>
          <w:p>
            <w:pPr>
              <w:spacing w:after="0"/>
              <w:jc w:val="left"/>
            </w:pPr>
            <w:r>
              <w:rPr>
                <w:rFonts w:ascii="Calibri" w:hAnsi="Calibri" w:cs="Calibri" w:eastAsia="Calibri"/>
                <w:b/>
                <w:i w:val="0"/>
                <w:color w:val="1A3A5C"/>
                <w:sz w:val="18"/>
              </w:rPr>
              <w:t>Ставка €/м²</w:t>
            </w:r>
          </w:p>
        </w:tc>
        <w:tc>
          <w:tcPr>
            <w:tcW w:type="dxa" w:w="2453"/>
            <w:tcMar>
              <w:top w:w="100" w:type="dxa"/>
              <w:start w:w="120" w:type="dxa"/>
              <w:bottom w:w="100" w:type="dxa"/>
              <w:end w:w="120" w:type="dxa"/>
            </w:tcMar>
          </w:tcPr>
          <w:p>
            <w:pPr>
              <w:spacing w:after="0"/>
              <w:jc w:val="left"/>
            </w:pPr>
            <w:r>
              <w:rPr>
                <w:rFonts w:ascii="Calibri" w:hAnsi="Calibri" w:cs="Calibri" w:eastAsia="Calibri"/>
                <w:b w:val="0"/>
                <w:i w:val="0"/>
                <w:color w:val="2C2C2C"/>
                <w:sz w:val="18"/>
              </w:rPr>
              <w:t>€ 119/м²</w:t>
            </w:r>
          </w:p>
        </w:tc>
        <w:tc>
          <w:tcPr>
            <w:tcW w:type="dxa" w:w="2453"/>
            <w:tcMar>
              <w:top w:w="100" w:type="dxa"/>
              <w:start w:w="120" w:type="dxa"/>
              <w:bottom w:w="100" w:type="dxa"/>
              <w:end w:w="120" w:type="dxa"/>
            </w:tcMar>
          </w:tcPr>
          <w:p>
            <w:pPr>
              <w:spacing w:after="0"/>
              <w:jc w:val="left"/>
            </w:pPr>
            <w:r>
              <w:rPr>
                <w:rFonts w:ascii="Calibri" w:hAnsi="Calibri" w:cs="Calibri" w:eastAsia="Calibri"/>
                <w:b w:val="0"/>
                <w:i w:val="0"/>
                <w:color w:val="2C2C2C"/>
                <w:sz w:val="18"/>
              </w:rPr>
              <w:t>€ 47/м²</w:t>
            </w:r>
          </w:p>
        </w:tc>
        <w:tc>
          <w:tcPr>
            <w:tcW w:type="dxa" w:w="2453"/>
            <w:tcMar>
              <w:top w:w="100" w:type="dxa"/>
              <w:start w:w="120" w:type="dxa"/>
              <w:bottom w:w="100" w:type="dxa"/>
              <w:end w:w="120" w:type="dxa"/>
            </w:tcMar>
          </w:tcPr>
          <w:p>
            <w:pPr>
              <w:spacing w:after="0"/>
              <w:jc w:val="left"/>
            </w:pPr>
            <w:r>
              <w:rPr>
                <w:rFonts w:ascii="Calibri" w:hAnsi="Calibri" w:cs="Calibri" w:eastAsia="Calibri"/>
                <w:b w:val="0"/>
                <w:i w:val="0"/>
                <w:color w:val="2C2C2C"/>
                <w:sz w:val="18"/>
              </w:rPr>
              <w:t>€ 59/м²</w:t>
            </w:r>
          </w:p>
        </w:tc>
      </w:tr>
      <w:tr>
        <w:tc>
          <w:tcPr>
            <w:tcW w:type="dxa" w:w="2200"/>
            <w:shd w:val="clear" w:color="auto" w:fill="FAFAFA"/>
            <w:tcMar>
              <w:top w:w="100" w:type="dxa"/>
              <w:start w:w="120" w:type="dxa"/>
              <w:bottom w:w="100" w:type="dxa"/>
              <w:end w:w="120" w:type="dxa"/>
            </w:tcMar>
          </w:tcPr>
          <w:p>
            <w:pPr>
              <w:spacing w:after="0"/>
              <w:jc w:val="left"/>
            </w:pPr>
            <w:r>
              <w:rPr>
                <w:rFonts w:ascii="Calibri" w:hAnsi="Calibri" w:cs="Calibri" w:eastAsia="Calibri"/>
                <w:b/>
                <w:i w:val="0"/>
                <w:color w:val="1A3A5C"/>
                <w:sz w:val="18"/>
              </w:rPr>
              <w:t>BAR к цене</w:t>
            </w:r>
          </w:p>
        </w:tc>
        <w:tc>
          <w:tcPr>
            <w:tcW w:type="dxa" w:w="2453"/>
            <w:tcMar>
              <w:top w:w="100" w:type="dxa"/>
              <w:start w:w="120" w:type="dxa"/>
              <w:bottom w:w="100" w:type="dxa"/>
              <w:end w:w="120" w:type="dxa"/>
            </w:tcMar>
          </w:tcPr>
          <w:p>
            <w:pPr>
              <w:spacing w:after="0"/>
              <w:jc w:val="left"/>
            </w:pPr>
            <w:r>
              <w:rPr>
                <w:rFonts w:ascii="Calibri" w:hAnsi="Calibri" w:cs="Calibri" w:eastAsia="Calibri"/>
                <w:b w:val="0"/>
                <w:i w:val="0"/>
                <w:color w:val="2C2C2C"/>
                <w:sz w:val="18"/>
              </w:rPr>
              <w:t>7,5 %</w:t>
            </w:r>
          </w:p>
        </w:tc>
        <w:tc>
          <w:tcPr>
            <w:tcW w:type="dxa" w:w="2453"/>
            <w:tcMar>
              <w:top w:w="100" w:type="dxa"/>
              <w:start w:w="120" w:type="dxa"/>
              <w:bottom w:w="100" w:type="dxa"/>
              <w:end w:w="120" w:type="dxa"/>
            </w:tcMar>
          </w:tcPr>
          <w:p>
            <w:pPr>
              <w:spacing w:after="0"/>
              <w:jc w:val="left"/>
            </w:pPr>
            <w:r>
              <w:rPr>
                <w:rFonts w:ascii="Calibri" w:hAnsi="Calibri" w:cs="Calibri" w:eastAsia="Calibri"/>
                <w:b w:val="0"/>
                <w:i w:val="0"/>
                <w:color w:val="2C2C2C"/>
                <w:sz w:val="18"/>
              </w:rPr>
              <w:t>4,7 %</w:t>
            </w:r>
          </w:p>
        </w:tc>
        <w:tc>
          <w:tcPr>
            <w:tcW w:type="dxa" w:w="2453"/>
            <w:tcMar>
              <w:top w:w="100" w:type="dxa"/>
              <w:start w:w="120" w:type="dxa"/>
              <w:bottom w:w="100" w:type="dxa"/>
              <w:end w:w="120" w:type="dxa"/>
            </w:tcMar>
          </w:tcPr>
          <w:p>
            <w:pPr>
              <w:spacing w:after="0"/>
              <w:jc w:val="left"/>
            </w:pPr>
            <w:r>
              <w:rPr>
                <w:rFonts w:ascii="Calibri" w:hAnsi="Calibri" w:cs="Calibri" w:eastAsia="Calibri"/>
                <w:b w:val="0"/>
                <w:i w:val="0"/>
                <w:color w:val="2C2C2C"/>
                <w:sz w:val="18"/>
              </w:rPr>
              <w:t>6,4 %</w:t>
            </w:r>
          </w:p>
        </w:tc>
      </w:tr>
      <w:tr>
        <w:tc>
          <w:tcPr>
            <w:tcW w:type="dxa" w:w="2200"/>
            <w:shd w:val="clear" w:color="auto" w:fill="FAFAFA"/>
            <w:tcMar>
              <w:top w:w="100" w:type="dxa"/>
              <w:start w:w="120" w:type="dxa"/>
              <w:bottom w:w="100" w:type="dxa"/>
              <w:end w:w="120" w:type="dxa"/>
            </w:tcMar>
          </w:tcPr>
          <w:p>
            <w:pPr>
              <w:spacing w:after="0"/>
              <w:jc w:val="left"/>
            </w:pPr>
            <w:r>
              <w:rPr>
                <w:rFonts w:ascii="Calibri" w:hAnsi="Calibri" w:cs="Calibri" w:eastAsia="Calibri"/>
                <w:b/>
                <w:i w:val="0"/>
                <w:color w:val="1A3A5C"/>
                <w:sz w:val="18"/>
              </w:rPr>
              <w:t>BAR к цене входа</w:t>
            </w:r>
          </w:p>
        </w:tc>
        <w:tc>
          <w:tcPr>
            <w:tcW w:type="dxa" w:w="2453"/>
            <w:tcMar>
              <w:top w:w="100" w:type="dxa"/>
              <w:start w:w="120" w:type="dxa"/>
              <w:bottom w:w="100" w:type="dxa"/>
              <w:end w:w="120" w:type="dxa"/>
            </w:tcMar>
          </w:tcPr>
          <w:p>
            <w:pPr>
              <w:spacing w:after="0"/>
              <w:jc w:val="left"/>
            </w:pPr>
            <w:r>
              <w:rPr>
                <w:rFonts w:ascii="Calibri" w:hAnsi="Calibri" w:cs="Calibri" w:eastAsia="Calibri"/>
                <w:b w:val="0"/>
                <w:i w:val="0"/>
                <w:color w:val="2C2C2C"/>
                <w:sz w:val="18"/>
              </w:rPr>
              <w:t>6,7 %</w:t>
            </w:r>
          </w:p>
        </w:tc>
        <w:tc>
          <w:tcPr>
            <w:tcW w:type="dxa" w:w="2453"/>
            <w:tcMar>
              <w:top w:w="100" w:type="dxa"/>
              <w:start w:w="120" w:type="dxa"/>
              <w:bottom w:w="100" w:type="dxa"/>
              <w:end w:w="120" w:type="dxa"/>
            </w:tcMar>
          </w:tcPr>
          <w:p>
            <w:pPr>
              <w:spacing w:after="0"/>
              <w:jc w:val="left"/>
            </w:pPr>
            <w:r>
              <w:rPr>
                <w:rFonts w:ascii="Calibri" w:hAnsi="Calibri" w:cs="Calibri" w:eastAsia="Calibri"/>
                <w:b w:val="0"/>
                <w:i w:val="0"/>
                <w:color w:val="2C2C2C"/>
                <w:sz w:val="18"/>
              </w:rPr>
              <w:t>4,2 %</w:t>
            </w:r>
          </w:p>
        </w:tc>
        <w:tc>
          <w:tcPr>
            <w:tcW w:type="dxa" w:w="2453"/>
            <w:tcMar>
              <w:top w:w="100" w:type="dxa"/>
              <w:start w:w="120" w:type="dxa"/>
              <w:bottom w:w="100" w:type="dxa"/>
              <w:end w:w="120" w:type="dxa"/>
            </w:tcMar>
          </w:tcPr>
          <w:p>
            <w:pPr>
              <w:spacing w:after="0"/>
              <w:jc w:val="left"/>
            </w:pPr>
            <w:r>
              <w:rPr>
                <w:rFonts w:ascii="Calibri" w:hAnsi="Calibri" w:cs="Calibri" w:eastAsia="Calibri"/>
                <w:b w:val="0"/>
                <w:i w:val="0"/>
                <w:color w:val="2C2C2C"/>
                <w:sz w:val="18"/>
              </w:rPr>
              <w:t>5,7 %</w:t>
            </w:r>
          </w:p>
        </w:tc>
      </w:tr>
      <w:tr>
        <w:tc>
          <w:tcPr>
            <w:tcW w:type="dxa" w:w="2200"/>
            <w:shd w:val="clear" w:color="auto" w:fill="FAFAFA"/>
            <w:tcMar>
              <w:top w:w="100" w:type="dxa"/>
              <w:start w:w="120" w:type="dxa"/>
              <w:bottom w:w="100" w:type="dxa"/>
              <w:end w:w="120" w:type="dxa"/>
            </w:tcMar>
          </w:tcPr>
          <w:p>
            <w:pPr>
              <w:spacing w:after="0"/>
              <w:jc w:val="left"/>
            </w:pPr>
            <w:r>
              <w:rPr>
                <w:rFonts w:ascii="Calibri" w:hAnsi="Calibri" w:cs="Calibri" w:eastAsia="Calibri"/>
                <w:b/>
                <w:i w:val="0"/>
                <w:color w:val="1A3A5C"/>
                <w:sz w:val="18"/>
              </w:rPr>
              <w:t>NAR к цене входа</w:t>
            </w:r>
          </w:p>
        </w:tc>
        <w:tc>
          <w:tcPr>
            <w:tcW w:type="dxa" w:w="2453"/>
            <w:tcMar>
              <w:top w:w="100" w:type="dxa"/>
              <w:start w:w="120" w:type="dxa"/>
              <w:bottom w:w="100" w:type="dxa"/>
              <w:end w:w="120" w:type="dxa"/>
            </w:tcMar>
          </w:tcPr>
          <w:p>
            <w:pPr>
              <w:spacing w:after="0"/>
              <w:jc w:val="left"/>
            </w:pPr>
            <w:r>
              <w:rPr>
                <w:rFonts w:ascii="Calibri" w:hAnsi="Calibri" w:cs="Calibri" w:eastAsia="Calibri"/>
                <w:b w:val="0"/>
                <w:i w:val="0"/>
                <w:color w:val="2C2C2C"/>
                <w:sz w:val="18"/>
              </w:rPr>
              <w:t>5,9 %</w:t>
            </w:r>
          </w:p>
        </w:tc>
        <w:tc>
          <w:tcPr>
            <w:tcW w:type="dxa" w:w="2453"/>
            <w:tcMar>
              <w:top w:w="100" w:type="dxa"/>
              <w:start w:w="120" w:type="dxa"/>
              <w:bottom w:w="100" w:type="dxa"/>
              <w:end w:w="120" w:type="dxa"/>
            </w:tcMar>
          </w:tcPr>
          <w:p>
            <w:pPr>
              <w:spacing w:after="0"/>
              <w:jc w:val="left"/>
            </w:pPr>
            <w:r>
              <w:rPr>
                <w:rFonts w:ascii="Calibri" w:hAnsi="Calibri" w:cs="Calibri" w:eastAsia="Calibri"/>
                <w:b w:val="0"/>
                <w:i w:val="0"/>
                <w:color w:val="2C2C2C"/>
                <w:sz w:val="18"/>
              </w:rPr>
              <w:t>2,9 %</w:t>
            </w:r>
          </w:p>
        </w:tc>
        <w:tc>
          <w:tcPr>
            <w:tcW w:type="dxa" w:w="2453"/>
            <w:tcMar>
              <w:top w:w="100" w:type="dxa"/>
              <w:start w:w="120" w:type="dxa"/>
              <w:bottom w:w="100" w:type="dxa"/>
              <w:end w:w="120" w:type="dxa"/>
            </w:tcMar>
          </w:tcPr>
          <w:p>
            <w:pPr>
              <w:spacing w:after="0"/>
              <w:jc w:val="left"/>
            </w:pPr>
            <w:r>
              <w:rPr>
                <w:rFonts w:ascii="Calibri" w:hAnsi="Calibri" w:cs="Calibri" w:eastAsia="Calibri"/>
                <w:b w:val="0"/>
                <w:i w:val="0"/>
                <w:color w:val="2C2C2C"/>
                <w:sz w:val="18"/>
              </w:rPr>
              <w:t>4,4 %</w:t>
            </w:r>
          </w:p>
        </w:tc>
      </w:tr>
      <w:tr>
        <w:tc>
          <w:tcPr>
            <w:tcW w:type="dxa" w:w="2200"/>
            <w:shd w:val="clear" w:color="auto" w:fill="FAFAFA"/>
            <w:tcMar>
              <w:top w:w="100" w:type="dxa"/>
              <w:start w:w="120" w:type="dxa"/>
              <w:bottom w:w="100" w:type="dxa"/>
              <w:end w:w="120" w:type="dxa"/>
            </w:tcMar>
          </w:tcPr>
          <w:p>
            <w:pPr>
              <w:spacing w:after="0"/>
              <w:jc w:val="left"/>
            </w:pPr>
            <w:r>
              <w:rPr>
                <w:rFonts w:ascii="Calibri" w:hAnsi="Calibri" w:cs="Calibri" w:eastAsia="Calibri"/>
                <w:b/>
                <w:i w:val="0"/>
                <w:color w:val="1A3A5C"/>
                <w:sz w:val="18"/>
              </w:rPr>
              <w:t>Арендаторы</w:t>
            </w:r>
          </w:p>
        </w:tc>
        <w:tc>
          <w:tcPr>
            <w:tcW w:type="dxa" w:w="2453"/>
            <w:tcMar>
              <w:top w:w="100" w:type="dxa"/>
              <w:start w:w="120" w:type="dxa"/>
              <w:bottom w:w="100" w:type="dxa"/>
              <w:end w:w="120" w:type="dxa"/>
            </w:tcMar>
          </w:tcPr>
          <w:p>
            <w:pPr>
              <w:spacing w:after="0"/>
              <w:jc w:val="left"/>
            </w:pPr>
            <w:r>
              <w:rPr>
                <w:rFonts w:ascii="Calibri" w:hAnsi="Calibri" w:cs="Calibri" w:eastAsia="Calibri"/>
                <w:b w:val="0"/>
                <w:i w:val="0"/>
                <w:color w:val="2C2C2C"/>
                <w:sz w:val="18"/>
              </w:rPr>
              <w:t>1</w:t>
            </w:r>
          </w:p>
        </w:tc>
        <w:tc>
          <w:tcPr>
            <w:tcW w:type="dxa" w:w="2453"/>
            <w:tcMar>
              <w:top w:w="100" w:type="dxa"/>
              <w:start w:w="120" w:type="dxa"/>
              <w:bottom w:w="100" w:type="dxa"/>
              <w:end w:w="120" w:type="dxa"/>
            </w:tcMar>
          </w:tcPr>
          <w:p>
            <w:pPr>
              <w:spacing w:after="0"/>
              <w:jc w:val="left"/>
            </w:pPr>
            <w:r>
              <w:rPr>
                <w:rFonts w:ascii="Calibri" w:hAnsi="Calibri" w:cs="Calibri" w:eastAsia="Calibri"/>
                <w:b w:val="0"/>
                <w:i w:val="0"/>
                <w:color w:val="2C2C2C"/>
                <w:sz w:val="18"/>
              </w:rPr>
              <w:t>7</w:t>
            </w:r>
          </w:p>
        </w:tc>
        <w:tc>
          <w:tcPr>
            <w:tcW w:type="dxa" w:w="2453"/>
            <w:tcMar>
              <w:top w:w="100" w:type="dxa"/>
              <w:start w:w="120" w:type="dxa"/>
              <w:bottom w:w="100" w:type="dxa"/>
              <w:end w:w="120" w:type="dxa"/>
            </w:tcMar>
          </w:tcPr>
          <w:p>
            <w:pPr>
              <w:spacing w:after="0"/>
              <w:jc w:val="left"/>
            </w:pPr>
            <w:r>
              <w:rPr>
                <w:rFonts w:ascii="Calibri" w:hAnsi="Calibri" w:cs="Calibri" w:eastAsia="Calibri"/>
                <w:b w:val="0"/>
                <w:i w:val="0"/>
                <w:color w:val="2C2C2C"/>
                <w:sz w:val="18"/>
              </w:rPr>
              <w:t>2</w:t>
            </w:r>
          </w:p>
        </w:tc>
      </w:tr>
      <w:tr>
        <w:tc>
          <w:tcPr>
            <w:tcW w:type="dxa" w:w="2200"/>
            <w:shd w:val="clear" w:color="auto" w:fill="FAFAFA"/>
            <w:tcMar>
              <w:top w:w="100" w:type="dxa"/>
              <w:start w:w="120" w:type="dxa"/>
              <w:bottom w:w="100" w:type="dxa"/>
              <w:end w:w="120" w:type="dxa"/>
            </w:tcMar>
          </w:tcPr>
          <w:p>
            <w:pPr>
              <w:spacing w:after="0"/>
              <w:jc w:val="left"/>
            </w:pPr>
            <w:r>
              <w:rPr>
                <w:rFonts w:ascii="Calibri" w:hAnsi="Calibri" w:cs="Calibri" w:eastAsia="Calibri"/>
                <w:b/>
                <w:i w:val="0"/>
                <w:color w:val="1A3A5C"/>
                <w:sz w:val="18"/>
              </w:rPr>
              <w:t>WALT</w:t>
            </w:r>
          </w:p>
        </w:tc>
        <w:tc>
          <w:tcPr>
            <w:tcW w:type="dxa" w:w="2453"/>
            <w:tcMar>
              <w:top w:w="100" w:type="dxa"/>
              <w:start w:w="120" w:type="dxa"/>
              <w:bottom w:w="100" w:type="dxa"/>
              <w:end w:w="120" w:type="dxa"/>
            </w:tcMar>
          </w:tcPr>
          <w:p>
            <w:pPr>
              <w:spacing w:after="0"/>
              <w:jc w:val="left"/>
            </w:pPr>
            <w:r>
              <w:rPr>
                <w:rFonts w:ascii="Calibri" w:hAnsi="Calibri" w:cs="Calibri" w:eastAsia="Calibri"/>
                <w:b w:val="0"/>
                <w:i w:val="0"/>
                <w:color w:val="2C2C2C"/>
                <w:sz w:val="18"/>
              </w:rPr>
              <w:t>10,0 года</w:t>
            </w:r>
          </w:p>
        </w:tc>
        <w:tc>
          <w:tcPr>
            <w:tcW w:type="dxa" w:w="2453"/>
            <w:tcMar>
              <w:top w:w="100" w:type="dxa"/>
              <w:start w:w="120" w:type="dxa"/>
              <w:bottom w:w="100" w:type="dxa"/>
              <w:end w:w="120" w:type="dxa"/>
            </w:tcMar>
          </w:tcPr>
          <w:p>
            <w:pPr>
              <w:spacing w:after="0"/>
              <w:jc w:val="left"/>
            </w:pPr>
            <w:r>
              <w:rPr>
                <w:rFonts w:ascii="Calibri" w:hAnsi="Calibri" w:cs="Calibri" w:eastAsia="Calibri"/>
                <w:b w:val="0"/>
                <w:i w:val="0"/>
                <w:color w:val="2C2C2C"/>
                <w:sz w:val="18"/>
              </w:rPr>
              <w:t>2,4 года</w:t>
            </w:r>
          </w:p>
        </w:tc>
        <w:tc>
          <w:tcPr>
            <w:tcW w:type="dxa" w:w="2453"/>
            <w:tcMar>
              <w:top w:w="100" w:type="dxa"/>
              <w:start w:w="120" w:type="dxa"/>
              <w:bottom w:w="100" w:type="dxa"/>
              <w:end w:w="120" w:type="dxa"/>
            </w:tcMar>
          </w:tcPr>
          <w:p>
            <w:pPr>
              <w:spacing w:after="0"/>
              <w:jc w:val="left"/>
            </w:pPr>
            <w:r>
              <w:rPr>
                <w:rFonts w:ascii="Calibri" w:hAnsi="Calibri" w:cs="Calibri" w:eastAsia="Calibri"/>
                <w:b w:val="0"/>
                <w:i w:val="0"/>
                <w:color w:val="2C2C2C"/>
                <w:sz w:val="18"/>
              </w:rPr>
              <w:t>2,0 года</w:t>
            </w:r>
          </w:p>
        </w:tc>
      </w:tr>
      <w:tr>
        <w:tc>
          <w:tcPr>
            <w:tcW w:type="dxa" w:w="2200"/>
            <w:shd w:val="clear" w:color="auto" w:fill="FAFAFA"/>
            <w:tcMar>
              <w:top w:w="100" w:type="dxa"/>
              <w:start w:w="120" w:type="dxa"/>
              <w:bottom w:w="100" w:type="dxa"/>
              <w:end w:w="120" w:type="dxa"/>
            </w:tcMar>
          </w:tcPr>
          <w:p>
            <w:pPr>
              <w:spacing w:after="0"/>
              <w:jc w:val="left"/>
            </w:pPr>
            <w:r>
              <w:rPr>
                <w:rFonts w:ascii="Calibri" w:hAnsi="Calibri" w:cs="Calibri" w:eastAsia="Calibri"/>
                <w:b/>
                <w:i w:val="0"/>
                <w:color w:val="1A3A5C"/>
                <w:sz w:val="18"/>
              </w:rPr>
              <w:t>Год постройки</w:t>
            </w:r>
          </w:p>
        </w:tc>
        <w:tc>
          <w:tcPr>
            <w:tcW w:type="dxa" w:w="2453"/>
            <w:tcMar>
              <w:top w:w="100" w:type="dxa"/>
              <w:start w:w="120" w:type="dxa"/>
              <w:bottom w:w="100" w:type="dxa"/>
              <w:end w:w="120" w:type="dxa"/>
            </w:tcMar>
          </w:tcPr>
          <w:p>
            <w:pPr>
              <w:spacing w:after="0"/>
              <w:jc w:val="left"/>
            </w:pPr>
            <w:r>
              <w:rPr>
                <w:rFonts w:ascii="Calibri" w:hAnsi="Calibri" w:cs="Calibri" w:eastAsia="Calibri"/>
                <w:b w:val="0"/>
                <w:i w:val="0"/>
                <w:color w:val="2C2C2C"/>
                <w:sz w:val="18"/>
              </w:rPr>
              <w:t>1979 / 2019</w:t>
            </w:r>
          </w:p>
        </w:tc>
        <w:tc>
          <w:tcPr>
            <w:tcW w:type="dxa" w:w="2453"/>
            <w:tcMar>
              <w:top w:w="100" w:type="dxa"/>
              <w:start w:w="120" w:type="dxa"/>
              <w:bottom w:w="100" w:type="dxa"/>
              <w:end w:w="120" w:type="dxa"/>
            </w:tcMar>
          </w:tcPr>
          <w:p>
            <w:pPr>
              <w:spacing w:after="0"/>
              <w:jc w:val="left"/>
            </w:pPr>
            <w:r>
              <w:rPr>
                <w:rFonts w:ascii="Calibri" w:hAnsi="Calibri" w:cs="Calibri" w:eastAsia="Calibri"/>
                <w:b w:val="0"/>
                <w:i w:val="0"/>
                <w:color w:val="2C2C2C"/>
                <w:sz w:val="18"/>
              </w:rPr>
              <w:t>1965</w:t>
            </w:r>
          </w:p>
        </w:tc>
        <w:tc>
          <w:tcPr>
            <w:tcW w:type="dxa" w:w="2453"/>
            <w:tcMar>
              <w:top w:w="100" w:type="dxa"/>
              <w:start w:w="120" w:type="dxa"/>
              <w:bottom w:w="100" w:type="dxa"/>
              <w:end w:w="120" w:type="dxa"/>
            </w:tcMar>
          </w:tcPr>
          <w:p>
            <w:pPr>
              <w:spacing w:after="0"/>
              <w:jc w:val="left"/>
            </w:pPr>
            <w:r>
              <w:rPr>
                <w:rFonts w:ascii="Calibri" w:hAnsi="Calibri" w:cs="Calibri" w:eastAsia="Calibri"/>
                <w:b w:val="0"/>
                <w:i w:val="0"/>
                <w:color w:val="2C2C2C"/>
                <w:sz w:val="18"/>
              </w:rPr>
              <w:t>1989</w:t>
            </w:r>
          </w:p>
        </w:tc>
      </w:tr>
      <w:tr>
        <w:tc>
          <w:tcPr>
            <w:tcW w:type="dxa" w:w="2200"/>
            <w:shd w:val="clear" w:color="auto" w:fill="FAFAFA"/>
            <w:tcMar>
              <w:top w:w="100" w:type="dxa"/>
              <w:start w:w="120" w:type="dxa"/>
              <w:bottom w:w="100" w:type="dxa"/>
              <w:end w:w="120" w:type="dxa"/>
            </w:tcMar>
          </w:tcPr>
          <w:p>
            <w:pPr>
              <w:spacing w:after="0"/>
              <w:jc w:val="left"/>
            </w:pPr>
            <w:r>
              <w:rPr>
                <w:rFonts w:ascii="Calibri" w:hAnsi="Calibri" w:cs="Calibri" w:eastAsia="Calibri"/>
                <w:b/>
                <w:i w:val="0"/>
                <w:color w:val="1A3A5C"/>
                <w:sz w:val="18"/>
              </w:rPr>
              <w:t>Энергокласс</w:t>
            </w:r>
          </w:p>
        </w:tc>
        <w:tc>
          <w:tcPr>
            <w:tcW w:type="dxa" w:w="2453"/>
            <w:tcMar>
              <w:top w:w="100" w:type="dxa"/>
              <w:start w:w="120" w:type="dxa"/>
              <w:bottom w:w="100" w:type="dxa"/>
              <w:end w:w="120" w:type="dxa"/>
            </w:tcMar>
          </w:tcPr>
          <w:p>
            <w:pPr>
              <w:spacing w:after="0"/>
              <w:jc w:val="left"/>
            </w:pPr>
            <w:r>
              <w:rPr>
                <w:rFonts w:ascii="Calibri" w:hAnsi="Calibri" w:cs="Calibri" w:eastAsia="Calibri"/>
                <w:b w:val="0"/>
                <w:i w:val="0"/>
                <w:color w:val="2C2C2C"/>
                <w:sz w:val="18"/>
              </w:rPr>
              <w:t>B</w:t>
            </w:r>
          </w:p>
        </w:tc>
        <w:tc>
          <w:tcPr>
            <w:tcW w:type="dxa" w:w="2453"/>
            <w:tcMar>
              <w:top w:w="100" w:type="dxa"/>
              <w:start w:w="120" w:type="dxa"/>
              <w:bottom w:w="100" w:type="dxa"/>
              <w:end w:w="120" w:type="dxa"/>
            </w:tcMar>
          </w:tcPr>
          <w:p>
            <w:pPr>
              <w:spacing w:after="0"/>
              <w:jc w:val="left"/>
            </w:pPr>
            <w:r>
              <w:rPr>
                <w:rFonts w:ascii="Calibri" w:hAnsi="Calibri" w:cs="Calibri" w:eastAsia="Calibri"/>
                <w:b w:val="0"/>
                <w:i w:val="0"/>
                <w:color w:val="2C2C2C"/>
                <w:sz w:val="18"/>
              </w:rPr>
              <w:t>не предоставлен</w:t>
            </w:r>
          </w:p>
        </w:tc>
        <w:tc>
          <w:tcPr>
            <w:tcW w:type="dxa" w:w="2453"/>
            <w:tcMar>
              <w:top w:w="100" w:type="dxa"/>
              <w:start w:w="120" w:type="dxa"/>
              <w:bottom w:w="100" w:type="dxa"/>
              <w:end w:w="120" w:type="dxa"/>
            </w:tcMar>
          </w:tcPr>
          <w:p>
            <w:pPr>
              <w:spacing w:after="0"/>
              <w:jc w:val="left"/>
            </w:pPr>
            <w:r>
              <w:rPr>
                <w:rFonts w:ascii="Calibri" w:hAnsi="Calibri" w:cs="Calibri" w:eastAsia="Calibri"/>
                <w:b w:val="0"/>
                <w:i w:val="0"/>
                <w:color w:val="2C2C2C"/>
                <w:sz w:val="18"/>
              </w:rPr>
              <w:t>D</w:t>
            </w:r>
          </w:p>
        </w:tc>
      </w:tr>
      <w:tr>
        <w:tc>
          <w:tcPr>
            <w:tcW w:type="dxa" w:w="2200"/>
            <w:shd w:val="clear" w:color="auto" w:fill="FAFAFA"/>
            <w:tcMar>
              <w:top w:w="100" w:type="dxa"/>
              <w:start w:w="120" w:type="dxa"/>
              <w:bottom w:w="100" w:type="dxa"/>
              <w:end w:w="120" w:type="dxa"/>
            </w:tcMar>
          </w:tcPr>
          <w:p>
            <w:pPr>
              <w:spacing w:after="0"/>
              <w:jc w:val="left"/>
            </w:pPr>
            <w:r>
              <w:rPr>
                <w:rFonts w:ascii="Calibri" w:hAnsi="Calibri" w:cs="Calibri" w:eastAsia="Calibri"/>
                <w:b/>
                <w:i w:val="0"/>
                <w:color w:val="1A3A5C"/>
                <w:sz w:val="18"/>
              </w:rPr>
              <w:t>Профиль</w:t>
            </w:r>
          </w:p>
        </w:tc>
        <w:tc>
          <w:tcPr>
            <w:tcW w:type="dxa" w:w="2453"/>
            <w:tcMar>
              <w:top w:w="100" w:type="dxa"/>
              <w:start w:w="120" w:type="dxa"/>
              <w:bottom w:w="100" w:type="dxa"/>
              <w:end w:w="120" w:type="dxa"/>
            </w:tcMar>
          </w:tcPr>
          <w:p>
            <w:pPr>
              <w:spacing w:after="0"/>
              <w:jc w:val="left"/>
            </w:pPr>
            <w:r>
              <w:rPr>
                <w:rFonts w:ascii="Calibri" w:hAnsi="Calibri" w:cs="Calibri" w:eastAsia="Calibri"/>
                <w:b w:val="0"/>
                <w:i w:val="0"/>
                <w:color w:val="2C2C2C"/>
                <w:sz w:val="18"/>
              </w:rPr>
              <w:t>Один арендатор и договор на десять лет: предсказуемый доход при проверке рыночности ставки.</w:t>
            </w:r>
          </w:p>
        </w:tc>
        <w:tc>
          <w:tcPr>
            <w:tcW w:type="dxa" w:w="2453"/>
            <w:tcMar>
              <w:top w:w="100" w:type="dxa"/>
              <w:start w:w="120" w:type="dxa"/>
              <w:bottom w:w="100" w:type="dxa"/>
              <w:end w:w="120" w:type="dxa"/>
            </w:tcMar>
          </w:tcPr>
          <w:p>
            <w:pPr>
              <w:spacing w:after="0"/>
              <w:jc w:val="left"/>
            </w:pPr>
            <w:r>
              <w:rPr>
                <w:rFonts w:ascii="Calibri" w:hAnsi="Calibri" w:cs="Calibri" w:eastAsia="Calibri"/>
                <w:b w:val="0"/>
                <w:i w:val="0"/>
                <w:color w:val="2C2C2C"/>
                <w:sz w:val="18"/>
              </w:rPr>
              <w:t>Полностью сданный комплекс 1965 года у Woonboulevard: низкий текущий доход, крупный потенциал роста аренды.</w:t>
            </w:r>
          </w:p>
        </w:tc>
        <w:tc>
          <w:tcPr>
            <w:tcW w:type="dxa" w:w="2453"/>
            <w:tcMar>
              <w:top w:w="100" w:type="dxa"/>
              <w:start w:w="120" w:type="dxa"/>
              <w:bottom w:w="100" w:type="dxa"/>
              <w:end w:w="120" w:type="dxa"/>
            </w:tcMar>
          </w:tcPr>
          <w:p>
            <w:pPr>
              <w:spacing w:after="0"/>
              <w:jc w:val="left"/>
            </w:pPr>
            <w:r>
              <w:rPr>
                <w:rFonts w:ascii="Calibri" w:hAnsi="Calibri" w:cs="Calibri" w:eastAsia="Calibri"/>
                <w:b w:val="0"/>
                <w:i w:val="0"/>
                <w:color w:val="2C2C2C"/>
                <w:sz w:val="18"/>
              </w:rPr>
              <w:t>Производственно-офисное здание: треть дохода под расторжением, потенциал роста при пересдаче в аренду.</w:t>
            </w:r>
          </w:p>
        </w:tc>
      </w:tr>
    </w:tbl>
    <w:p>
      <w:pPr>
        <w:spacing w:before="160" w:after="0"/>
      </w:pPr>
      <w:r>
        <w:rPr>
          <w:rFonts w:ascii="Calibri" w:hAnsi="Calibri" w:cs="Calibri" w:eastAsia="Calibri"/>
          <w:b w:val="0"/>
          <w:i/>
          <w:color w:val="5A6E80"/>
          <w:sz w:val="17"/>
        </w:rPr>
        <w:t>Показатели рассчитаны по данным листингов и носят ориентировочный характер: цена входа включает overdrachtsbelasting 10,4 % и сопутствующие расходы по сделке 1,2 %, NAR к цене входа посчитан при доле эксплуатационных расходов, указанной в карточке объекта. Перед сделкой цифры подлежат проверке по документам продавца.</w:t>
      </w:r>
    </w:p>
    <w:p>
      <w:pPr>
        <w:sectPr>
          <w:headerReference w:type="default" r:id="rId9"/>
          <w:footerReference w:type="default" r:id="rId10"/>
          <w:pgSz w:w="11906" w:h="16838"/>
          <w:pgMar w:top="1077" w:right="1174" w:bottom="1134" w:left="1174" w:header="680" w:footer="680" w:gutter="0"/>
          <w:cols w:space="720"/>
          <w:docGrid w:linePitch="360"/>
        </w:sectPr>
      </w:pPr>
    </w:p>
    <w:p>
      <w:pPr>
        <w:pBdr>
          <w:bottom w:val="single" w:sz="16" w:space="1" w:color="C9A961"/>
        </w:pBdr>
        <w:spacing w:before="0" w:after="200" w:line="240" w:lineRule="auto"/>
      </w:pPr>
    </w:p>
    <w:p>
      <w:pPr>
        <w:pStyle w:val="Heading1"/>
        <w:spacing w:before="0" w:after="80"/>
      </w:pPr>
      <w:r>
        <w:rPr>
          <w:rFonts w:ascii="Calibri" w:hAnsi="Calibri" w:cs="Calibri" w:eastAsia="Calibri"/>
          <w:b/>
          <w:i w:val="0"/>
          <w:color w:val="1A3A5C"/>
          <w:sz w:val="32"/>
        </w:rPr>
        <w:t>Steenovenweg 11‑13, Montfoort</w:t>
      </w:r>
    </w:p>
    <w:tbl>
      <w:tblPr>
        <w:tblW w:type="auto" w:w="0"/>
        <w:jc w:val="left"/>
        <w:tblBorders>
          <w:top w:val="none" w:sz="0" w:space="0" w:color="auto"/>
          <w:start w:val="none" w:sz="0" w:space="0" w:color="auto"/>
          <w:bottom w:val="none" w:sz="0" w:space="0" w:color="auto"/>
          <w:end w:val="none" w:sz="0" w:space="0" w:color="auto"/>
          <w:insideH w:val="none" w:sz="0" w:space="0" w:color="auto"/>
          <w:insideV w:val="none" w:sz="0" w:space="0" w:color="auto"/>
        </w:tblBorders>
        <w:tblLayout w:type="fixed"/>
        <w:tblLook w:firstColumn="1" w:firstRow="1" w:lastColumn="0" w:lastRow="0" w:noHBand="0" w:noVBand="1" w:val="04A0"/>
      </w:tblPr>
      <w:tblGrid>
        <w:gridCol w:w="1155"/>
        <w:gridCol w:w="120"/>
        <w:gridCol w:w="1257"/>
        <w:gridCol w:w="120"/>
        <w:gridCol w:w="1466"/>
        <w:gridCol w:w="5441"/>
      </w:tblGrid>
      <w:tr>
        <w:trPr>
          <w:cantSplit w:val="1"/>
        </w:trPr>
        <w:tc>
          <w:tcPr>
            <w:tcW w:type="dxa" w:w="1155"/>
            <w:shd w:val="clear" w:color="auto" w:fill="F7EFD9"/>
            <w:noWrap w:val="1"/>
            <w:tcMar>
              <w:top w:w="60" w:type="dxa"/>
              <w:start w:w="140" w:type="dxa"/>
              <w:bottom w:w="60" w:type="dxa"/>
              <w:end w:w="140" w:type="dxa"/>
            </w:tcMar>
          </w:tcPr>
          <w:p>
            <w:pPr>
              <w:spacing w:after="0"/>
              <w:jc w:val="center"/>
            </w:pPr>
            <w:r>
              <w:rPr>
                <w:rFonts w:ascii="Calibri" w:hAnsi="Calibri" w:cs="Calibri" w:eastAsia="Calibri"/>
                <w:b/>
                <w:i w:val="0"/>
                <w:color w:val="1A3A5C"/>
                <w:sz w:val="16"/>
              </w:rPr>
              <w:t>100 % сдано</w:t>
            </w:r>
          </w:p>
        </w:tc>
        <w:tc>
          <w:tcPr>
            <w:tcW w:type="dxa" w:w="120"/>
            <w:tcMar>
              <w:top w:w="0" w:type="dxa"/>
              <w:start w:w="0" w:type="dxa"/>
              <w:bottom w:w="0" w:type="dxa"/>
              <w:end w:w="0" w:type="dxa"/>
            </w:tcMar>
          </w:tcPr>
          <w:p>
            <w:pPr>
              <w:spacing w:after="0"/>
            </w:pPr>
          </w:p>
        </w:tc>
        <w:tc>
          <w:tcPr>
            <w:tcW w:type="dxa" w:w="1257"/>
            <w:shd w:val="clear" w:color="auto" w:fill="F7EFD9"/>
            <w:noWrap w:val="1"/>
            <w:tcMar>
              <w:top w:w="60" w:type="dxa"/>
              <w:start w:w="140" w:type="dxa"/>
              <w:bottom w:w="60" w:type="dxa"/>
              <w:end w:w="140" w:type="dxa"/>
            </w:tcMar>
          </w:tcPr>
          <w:p>
            <w:pPr>
              <w:spacing w:after="0"/>
              <w:jc w:val="center"/>
            </w:pPr>
            <w:r>
              <w:rPr>
                <w:rFonts w:ascii="Calibri" w:hAnsi="Calibri" w:cs="Calibri" w:eastAsia="Calibri"/>
                <w:b/>
                <w:i w:val="0"/>
                <w:color w:val="1A3A5C"/>
                <w:sz w:val="16"/>
              </w:rPr>
              <w:t>WALT ≈ 10 лет</w:t>
            </w:r>
          </w:p>
        </w:tc>
        <w:tc>
          <w:tcPr>
            <w:tcW w:type="dxa" w:w="120"/>
            <w:tcMar>
              <w:top w:w="0" w:type="dxa"/>
              <w:start w:w="0" w:type="dxa"/>
              <w:bottom w:w="0" w:type="dxa"/>
              <w:end w:w="0" w:type="dxa"/>
            </w:tcMar>
          </w:tcPr>
          <w:p>
            <w:pPr>
              <w:spacing w:after="0"/>
            </w:pPr>
          </w:p>
        </w:tc>
        <w:tc>
          <w:tcPr>
            <w:tcW w:type="dxa" w:w="1466"/>
            <w:shd w:val="clear" w:color="auto" w:fill="F7EFD9"/>
            <w:noWrap w:val="1"/>
            <w:tcMar>
              <w:top w:w="60" w:type="dxa"/>
              <w:start w:w="140" w:type="dxa"/>
              <w:bottom w:w="60" w:type="dxa"/>
              <w:end w:w="140" w:type="dxa"/>
            </w:tcMar>
          </w:tcPr>
          <w:p>
            <w:pPr>
              <w:spacing w:after="0"/>
              <w:jc w:val="center"/>
            </w:pPr>
            <w:r>
              <w:rPr>
                <w:rFonts w:ascii="Calibri" w:hAnsi="Calibri" w:cs="Calibri" w:eastAsia="Calibri"/>
                <w:b/>
                <w:i w:val="0"/>
                <w:color w:val="1A3A5C"/>
                <w:sz w:val="16"/>
              </w:rPr>
              <w:t>BAR к цене 7,5 %</w:t>
            </w:r>
          </w:p>
        </w:tc>
        <w:tc>
          <w:tcPr>
            <w:tcW w:type="dxa" w:w="5441"/>
            <w:tcMar>
              <w:top w:w="0" w:type="dxa"/>
              <w:start w:w="0" w:type="dxa"/>
              <w:bottom w:w="0" w:type="dxa"/>
              <w:end w:w="0" w:type="dxa"/>
            </w:tcMar>
          </w:tcPr>
          <w:p>
            <w:pPr>
              <w:spacing w:after="0"/>
            </w:pPr>
          </w:p>
        </w:tc>
      </w:tr>
    </w:tbl>
    <w:p>
      <w:pPr>
        <w:spacing w:before="200" w:after="240"/>
      </w:pPr>
      <w:r>
        <w:rPr>
          <w:rFonts w:ascii="Calibri" w:hAnsi="Calibri" w:cs="Calibri" w:eastAsia="Calibri"/>
          <w:b w:val="0"/>
          <w:i/>
          <w:color w:val="5A6E80"/>
          <w:sz w:val="20"/>
        </w:rPr>
        <w:t>3417 XR • Промышленный парк IJsselveld • провинция Утрехт</w:t>
      </w:r>
    </w:p>
    <w:p>
      <w:pPr>
        <w:spacing w:before="0" w:after="200" w:line="240" w:lineRule="auto"/>
        <w:ind w:left="0" w:right="0" w:firstLine="0"/>
        <w:jc w:val="center"/>
      </w:pPr>
      <w:r>
        <w:drawing>
          <wp:inline xmlns:a="http://schemas.openxmlformats.org/drawingml/2006/main" xmlns:pic="http://schemas.openxmlformats.org/drawingml/2006/picture">
            <wp:extent cx="5810400" cy="2592000"/>
            <wp:docPr id="1" name="Picture 1"/>
            <wp:cNvGraphicFramePr>
              <a:graphicFrameLocks noChangeAspect="1"/>
            </wp:cNvGraphicFramePr>
            <a:graphic>
              <a:graphicData uri="http://schemas.openxmlformats.org/drawingml/2006/picture">
                <pic:pic>
                  <pic:nvPicPr>
                    <pic:cNvPr id="0" name="hero-_j5kpl4d.jpg"/>
                    <pic:cNvPicPr/>
                  </pic:nvPicPr>
                  <pic:blipFill>
                    <a:blip r:embed="rId13"/>
                    <a:stretch>
                      <a:fillRect/>
                    </a:stretch>
                  </pic:blipFill>
                  <pic:spPr>
                    <a:xfrm>
                      <a:off x="0" y="0"/>
                      <a:ext cx="5810400" cy="2592000"/>
                    </a:xfrm>
                    <a:prstGeom prst="rect"/>
                  </pic:spPr>
                </pic:pic>
              </a:graphicData>
            </a:graphic>
          </wp:inline>
        </w:drawing>
      </w:r>
    </w:p>
    <w:tbl>
      <w:tblPr>
        <w:tblW w:type="auto" w:w="0"/>
        <w:jc w:val="left"/>
        <w:tblBorders>
          <w:top w:val="none" w:sz="0" w:space="0" w:color="auto"/>
          <w:start w:val="none" w:sz="0" w:space="0" w:color="auto"/>
          <w:bottom w:val="none" w:sz="0" w:space="0" w:color="auto"/>
          <w:end w:val="none" w:sz="0" w:space="0" w:color="auto"/>
          <w:insideH w:val="none" w:sz="0" w:space="0" w:color="auto"/>
          <w:insideV w:val="single" w:sz="12" w:space="0" w:color="FFFFFF"/>
        </w:tblBorders>
        <w:tblLayout w:type="fixed"/>
        <w:tblLook w:firstColumn="1" w:firstRow="1" w:lastColumn="0" w:lastRow="0" w:noHBand="0" w:noVBand="1" w:val="04A0"/>
      </w:tblPr>
      <w:tblGrid>
        <w:gridCol w:w="2390"/>
        <w:gridCol w:w="2390"/>
        <w:gridCol w:w="2390"/>
        <w:gridCol w:w="2390"/>
      </w:tblGrid>
      <w:tr>
        <w:trPr>
          <w:cantSplit w:val="1"/>
        </w:trPr>
        <w:tc>
          <w:tcPr>
            <w:tcW w:type="dxa" w:w="2390"/>
            <w:shd w:val="clear" w:color="auto" w:fill="F4F6F8"/>
            <w:tcMar>
              <w:top w:w="160" w:type="dxa"/>
              <w:start w:w="200" w:type="dxa"/>
              <w:bottom w:w="160" w:type="dxa"/>
              <w:end w:w="160" w:type="dxa"/>
            </w:tcMar>
          </w:tcPr>
          <w:p>
            <w:pPr>
              <w:spacing w:after="40"/>
            </w:pPr>
            <w:r>
              <w:rPr>
                <w:rFonts w:ascii="Calibri" w:hAnsi="Calibri" w:cs="Calibri" w:eastAsia="Calibri"/>
                <w:b w:val="0"/>
                <w:i w:val="0"/>
                <w:color w:val="5A6E80"/>
                <w:spacing w:val="20"/>
                <w:sz w:val="16"/>
              </w:rPr>
              <w:t>ЦЕНА</w:t>
            </w:r>
          </w:p>
          <w:p>
            <w:pPr>
              <w:spacing w:after="0"/>
            </w:pPr>
            <w:r>
              <w:rPr>
                <w:rFonts w:ascii="Calibri" w:hAnsi="Calibri" w:cs="Calibri" w:eastAsia="Calibri"/>
                <w:b/>
                <w:i w:val="0"/>
                <w:color w:val="1A3A5C"/>
                <w:sz w:val="26"/>
              </w:rPr>
              <w:t>€ 975.000</w:t>
            </w:r>
          </w:p>
        </w:tc>
        <w:tc>
          <w:tcPr>
            <w:tcW w:type="dxa" w:w="2390"/>
            <w:shd w:val="clear" w:color="auto" w:fill="F4F6F8"/>
            <w:tcMar>
              <w:top w:w="160" w:type="dxa"/>
              <w:start w:w="200" w:type="dxa"/>
              <w:bottom w:w="160" w:type="dxa"/>
              <w:end w:w="160" w:type="dxa"/>
            </w:tcMar>
          </w:tcPr>
          <w:p>
            <w:pPr>
              <w:spacing w:after="40"/>
            </w:pPr>
            <w:r>
              <w:rPr>
                <w:rFonts w:ascii="Calibri" w:hAnsi="Calibri" w:cs="Calibri" w:eastAsia="Calibri"/>
                <w:b w:val="0"/>
                <w:i w:val="0"/>
                <w:color w:val="5A6E80"/>
                <w:spacing w:val="20"/>
                <w:sz w:val="16"/>
              </w:rPr>
              <w:t>ДОХОД В ГОД</w:t>
            </w:r>
          </w:p>
          <w:p>
            <w:pPr>
              <w:spacing w:after="0"/>
            </w:pPr>
            <w:r>
              <w:rPr>
                <w:rFonts w:ascii="Calibri" w:hAnsi="Calibri" w:cs="Calibri" w:eastAsia="Calibri"/>
                <w:b/>
                <w:i w:val="0"/>
                <w:color w:val="1A3A5C"/>
                <w:sz w:val="26"/>
              </w:rPr>
              <w:t>€ 73.300</w:t>
            </w:r>
          </w:p>
        </w:tc>
        <w:tc>
          <w:tcPr>
            <w:tcW w:type="dxa" w:w="2390"/>
            <w:shd w:val="clear" w:color="auto" w:fill="F4F6F8"/>
            <w:tcMar>
              <w:top w:w="160" w:type="dxa"/>
              <w:start w:w="200" w:type="dxa"/>
              <w:bottom w:w="160" w:type="dxa"/>
              <w:end w:w="160" w:type="dxa"/>
            </w:tcMar>
          </w:tcPr>
          <w:p>
            <w:pPr>
              <w:spacing w:after="40"/>
            </w:pPr>
            <w:r>
              <w:rPr>
                <w:rFonts w:ascii="Calibri" w:hAnsi="Calibri" w:cs="Calibri" w:eastAsia="Calibri"/>
                <w:b w:val="0"/>
                <w:i w:val="0"/>
                <w:color w:val="5A6E80"/>
                <w:spacing w:val="20"/>
                <w:sz w:val="16"/>
              </w:rPr>
              <w:t>BAR К ЦЕНЕ ВХОДА</w:t>
            </w:r>
          </w:p>
          <w:p>
            <w:pPr>
              <w:spacing w:after="0"/>
            </w:pPr>
            <w:r>
              <w:rPr>
                <w:rFonts w:ascii="Calibri" w:hAnsi="Calibri" w:cs="Calibri" w:eastAsia="Calibri"/>
                <w:b/>
                <w:i w:val="0"/>
                <w:color w:val="1A3A5C"/>
                <w:sz w:val="26"/>
              </w:rPr>
              <w:t>6,7 %</w:t>
            </w:r>
          </w:p>
        </w:tc>
        <w:tc>
          <w:tcPr>
            <w:tcW w:type="dxa" w:w="2390"/>
            <w:shd w:val="clear" w:color="auto" w:fill="F4F6F8"/>
            <w:tcMar>
              <w:top w:w="160" w:type="dxa"/>
              <w:start w:w="200" w:type="dxa"/>
              <w:bottom w:w="160" w:type="dxa"/>
              <w:end w:w="160" w:type="dxa"/>
            </w:tcMar>
          </w:tcPr>
          <w:p>
            <w:pPr>
              <w:spacing w:after="40"/>
            </w:pPr>
            <w:r>
              <w:rPr>
                <w:rFonts w:ascii="Calibri" w:hAnsi="Calibri" w:cs="Calibri" w:eastAsia="Calibri"/>
                <w:b w:val="0"/>
                <w:i w:val="0"/>
                <w:color w:val="5A6E80"/>
                <w:spacing w:val="20"/>
                <w:sz w:val="16"/>
              </w:rPr>
              <w:t>ПЛОЩАДЬ</w:t>
            </w:r>
          </w:p>
          <w:p>
            <w:pPr>
              <w:spacing w:after="0"/>
            </w:pPr>
            <w:r>
              <w:rPr>
                <w:rFonts w:ascii="Calibri" w:hAnsi="Calibri" w:cs="Calibri" w:eastAsia="Calibri"/>
                <w:b/>
                <w:i w:val="0"/>
                <w:color w:val="1A3A5C"/>
                <w:sz w:val="26"/>
              </w:rPr>
              <w:t>616 м²</w:t>
            </w:r>
          </w:p>
        </w:tc>
      </w:tr>
    </w:tbl>
    <w:p>
      <w:pPr>
        <w:spacing w:before="200" w:after="200"/>
      </w:pPr>
      <w:r>
        <w:rPr>
          <w:rFonts w:ascii="Calibri" w:hAnsi="Calibri" w:cs="Calibri" w:eastAsia="Calibri"/>
          <w:b w:val="0"/>
          <w:i/>
          <w:color w:val="1A3A5C"/>
          <w:sz w:val="20"/>
        </w:rPr>
        <w:t>Один арендатор и договор на десять лет: предсказуемый доход при проверке рыночности ставки.</w:t>
      </w:r>
    </w:p>
    <w:tbl>
      <w:tblPr>
        <w:tblW w:type="auto" w:w="0"/>
        <w:jc w:val="left"/>
        <w:tblBorders>
          <w:top w:val="single" w:sz="2" w:space="0" w:color="D8D8D8"/>
          <w:start w:val="none" w:sz="0" w:space="0" w:color="auto"/>
          <w:bottom w:val="single" w:sz="2" w:space="0" w:color="D8D8D8"/>
          <w:end w:val="none" w:sz="0" w:space="0" w:color="auto"/>
          <w:insideH w:val="single" w:sz="2" w:space="0" w:color="D8D8D8"/>
          <w:insideV w:val="none" w:sz="0" w:space="0" w:color="auto"/>
        </w:tblBorders>
        <w:tblLayout w:type="fixed"/>
        <w:tblLook w:firstColumn="1" w:firstRow="1" w:lastColumn="0" w:lastRow="0" w:noHBand="0" w:noVBand="1" w:val="04A0"/>
      </w:tblPr>
      <w:tblGrid>
        <w:gridCol w:w="2900"/>
        <w:gridCol w:w="6128"/>
      </w:tblGrid>
      <w:tr>
        <w:trPr>
          <w:cantSplit w:val="1"/>
        </w:trPr>
        <w:tc>
          <w:tcPr>
            <w:tcW w:type="dxa" w:w="9028"/>
            <w:gridSpan w:val="2"/>
            <w:shd w:val="clear" w:color="auto" w:fill="EFF2F5"/>
            <w:tcMar>
              <w:top w:w="120" w:type="dxa"/>
              <w:start w:w="160" w:type="dxa"/>
              <w:bottom w:w="100" w:type="dxa"/>
              <w:end w:w="120" w:type="dxa"/>
            </w:tcMar>
          </w:tcPr>
          <w:p>
            <w:pPr>
              <w:keepNext w:val="1"/>
              <w:keepLines w:val="1"/>
              <w:spacing w:after="0"/>
            </w:pPr>
            <w:r>
              <w:rPr>
                <w:rFonts w:ascii="Calibri" w:hAnsi="Calibri" w:cs="Calibri" w:eastAsia="Calibri"/>
                <w:b/>
                <w:i w:val="0"/>
                <w:color w:val="1A3A5C"/>
                <w:spacing w:val="20"/>
                <w:sz w:val="17"/>
              </w:rPr>
              <w:t>ФИНАНСЫ</w:t>
            </w:r>
          </w:p>
        </w:tc>
      </w:tr>
      <w:tr>
        <w:trPr>
          <w:cantSplit w:val="1"/>
        </w:trPr>
        <w:tc>
          <w:tcPr>
            <w:tcW w:type="dxa" w:w="2900"/>
            <w:shd w:val="clear" w:color="auto" w:fill="FAFAFA"/>
            <w:tcMar>
              <w:top w:w="100" w:type="dxa"/>
              <w:start w:w="160" w:type="dxa"/>
              <w:bottom w:w="100" w:type="dxa"/>
              <w:end w:w="120" w:type="dxa"/>
            </w:tcMar>
          </w:tcPr>
          <w:p>
            <w:pPr>
              <w:keepNext w:val="1"/>
              <w:spacing w:after="0"/>
            </w:pPr>
            <w:r>
              <w:rPr>
                <w:rFonts w:ascii="Calibri" w:hAnsi="Calibri" w:cs="Calibri" w:eastAsia="Calibri"/>
                <w:b/>
                <w:i w:val="0"/>
                <w:color w:val="1A3A5C"/>
                <w:sz w:val="19"/>
              </w:rPr>
              <w:t>Цена</w:t>
            </w:r>
          </w:p>
        </w:tc>
        <w:tc>
          <w:tcPr>
            <w:tcW w:type="dxa" w:w="6128"/>
            <w:tcMar>
              <w:top w:w="100" w:type="dxa"/>
              <w:start w:w="100" w:type="dxa"/>
              <w:bottom w:w="100" w:type="dxa"/>
              <w:end w:w="120" w:type="dxa"/>
            </w:tcMar>
          </w:tcPr>
          <w:p>
            <w:pPr>
              <w:keepNext w:val="1"/>
              <w:spacing w:after="0"/>
            </w:pPr>
            <w:r>
              <w:rPr>
                <w:rFonts w:ascii="Calibri" w:hAnsi="Calibri" w:cs="Calibri" w:eastAsia="Calibri"/>
                <w:b w:val="0"/>
                <w:i w:val="0"/>
                <w:color w:val="2C2C2C"/>
                <w:sz w:val="19"/>
              </w:rPr>
              <w:t>€ 975.000 k.k.</w:t>
            </w:r>
          </w:p>
        </w:tc>
      </w:tr>
      <w:tr>
        <w:trPr>
          <w:cantSplit w:val="1"/>
        </w:trPr>
        <w:tc>
          <w:tcPr>
            <w:tcW w:type="dxa" w:w="2900"/>
            <w:shd w:val="clear" w:color="auto" w:fill="FAFAFA"/>
            <w:tcMar>
              <w:top w:w="100" w:type="dxa"/>
              <w:start w:w="160" w:type="dxa"/>
              <w:bottom w:w="100" w:type="dxa"/>
              <w:end w:w="120" w:type="dxa"/>
            </w:tcMar>
          </w:tcPr>
          <w:p>
            <w:pPr>
              <w:keepNext w:val="1"/>
              <w:spacing w:after="0"/>
            </w:pPr>
            <w:r>
              <w:rPr>
                <w:rFonts w:ascii="Calibri" w:hAnsi="Calibri" w:cs="Calibri" w:eastAsia="Calibri"/>
                <w:b/>
                <w:i w:val="0"/>
                <w:color w:val="1A3A5C"/>
                <w:sz w:val="19"/>
              </w:rPr>
              <w:t>Цена входа (с k.k.)</w:t>
            </w:r>
          </w:p>
        </w:tc>
        <w:tc>
          <w:tcPr>
            <w:tcW w:type="dxa" w:w="6128"/>
            <w:tcMar>
              <w:top w:w="100" w:type="dxa"/>
              <w:start w:w="100" w:type="dxa"/>
              <w:bottom w:w="100" w:type="dxa"/>
              <w:end w:w="120" w:type="dxa"/>
            </w:tcMar>
          </w:tcPr>
          <w:p>
            <w:pPr>
              <w:keepNext w:val="1"/>
              <w:spacing w:after="0"/>
            </w:pPr>
            <w:r>
              <w:rPr>
                <w:rFonts w:ascii="Calibri" w:hAnsi="Calibri" w:cs="Calibri" w:eastAsia="Calibri"/>
                <w:b w:val="0"/>
                <w:i w:val="0"/>
                <w:color w:val="2C2C2C"/>
                <w:sz w:val="19"/>
              </w:rPr>
              <w:t>≈ € 1.088.100 — включая overdrachtsbelasting 10,4 % и расходы по сделке 1,2 %</w:t>
            </w:r>
          </w:p>
        </w:tc>
      </w:tr>
      <w:tr>
        <w:trPr>
          <w:cantSplit w:val="1"/>
        </w:trPr>
        <w:tc>
          <w:tcPr>
            <w:tcW w:type="dxa" w:w="2900"/>
            <w:shd w:val="clear" w:color="auto" w:fill="FAFAFA"/>
            <w:tcMar>
              <w:top w:w="100" w:type="dxa"/>
              <w:start w:w="160" w:type="dxa"/>
              <w:bottom w:w="100" w:type="dxa"/>
              <w:end w:w="120" w:type="dxa"/>
            </w:tcMar>
          </w:tcPr>
          <w:p>
            <w:pPr>
              <w:spacing w:after="0"/>
            </w:pPr>
            <w:r>
              <w:rPr>
                <w:rFonts w:ascii="Calibri" w:hAnsi="Calibri" w:cs="Calibri" w:eastAsia="Calibri"/>
                <w:b/>
                <w:i w:val="0"/>
                <w:color w:val="1A3A5C"/>
                <w:sz w:val="19"/>
              </w:rPr>
              <w:t>Доход от аренды</w:t>
            </w:r>
          </w:p>
        </w:tc>
        <w:tc>
          <w:tcPr>
            <w:tcW w:type="dxa" w:w="6128"/>
            <w:tcMar>
              <w:top w:w="100" w:type="dxa"/>
              <w:start w:w="100" w:type="dxa"/>
              <w:bottom w:w="100" w:type="dxa"/>
              <w:end w:w="120" w:type="dxa"/>
            </w:tcMar>
          </w:tcPr>
          <w:p>
            <w:pPr>
              <w:spacing w:after="0"/>
            </w:pPr>
            <w:r>
              <w:rPr>
                <w:rFonts w:ascii="Calibri" w:hAnsi="Calibri" w:cs="Calibri" w:eastAsia="Calibri"/>
                <w:b w:val="0"/>
                <w:i w:val="0"/>
                <w:color w:val="2C2C2C"/>
                <w:sz w:val="19"/>
              </w:rPr>
              <w:t>€ 73.300 в год</w:t>
            </w:r>
          </w:p>
        </w:tc>
      </w:tr>
      <w:tr>
        <w:trPr>
          <w:cantSplit w:val="1"/>
        </w:trPr>
        <w:tc>
          <w:tcPr>
            <w:tcW w:type="dxa" w:w="2900"/>
            <w:shd w:val="clear" w:color="auto" w:fill="FAFAFA"/>
            <w:tcMar>
              <w:top w:w="100" w:type="dxa"/>
              <w:start w:w="160" w:type="dxa"/>
              <w:bottom w:w="100" w:type="dxa"/>
              <w:end w:w="120" w:type="dxa"/>
            </w:tcMar>
          </w:tcPr>
          <w:p>
            <w:pPr>
              <w:spacing w:after="0"/>
            </w:pPr>
            <w:r>
              <w:rPr>
                <w:rFonts w:ascii="Calibri" w:hAnsi="Calibri" w:cs="Calibri" w:eastAsia="Calibri"/>
                <w:b/>
                <w:i w:val="0"/>
                <w:color w:val="1A3A5C"/>
                <w:sz w:val="19"/>
              </w:rPr>
              <w:t>Ставка аренды</w:t>
            </w:r>
          </w:p>
        </w:tc>
        <w:tc>
          <w:tcPr>
            <w:tcW w:type="dxa" w:w="6128"/>
            <w:tcMar>
              <w:top w:w="100" w:type="dxa"/>
              <w:start w:w="100" w:type="dxa"/>
              <w:bottom w:w="100" w:type="dxa"/>
              <w:end w:w="120" w:type="dxa"/>
            </w:tcMar>
          </w:tcPr>
          <w:p>
            <w:pPr>
              <w:spacing w:after="0"/>
            </w:pPr>
            <w:r>
              <w:rPr>
                <w:rFonts w:ascii="Calibri" w:hAnsi="Calibri" w:cs="Calibri" w:eastAsia="Calibri"/>
                <w:b w:val="0"/>
                <w:i w:val="0"/>
                <w:color w:val="2C2C2C"/>
                <w:sz w:val="19"/>
              </w:rPr>
              <w:t>≈ € 119/м² в год</w:t>
            </w:r>
          </w:p>
        </w:tc>
      </w:tr>
      <w:tr>
        <w:trPr>
          <w:cantSplit w:val="1"/>
        </w:trPr>
        <w:tc>
          <w:tcPr>
            <w:tcW w:type="dxa" w:w="2900"/>
            <w:shd w:val="clear" w:color="auto" w:fill="FAFAFA"/>
            <w:tcMar>
              <w:top w:w="100" w:type="dxa"/>
              <w:start w:w="160" w:type="dxa"/>
              <w:bottom w:w="100" w:type="dxa"/>
              <w:end w:w="120" w:type="dxa"/>
            </w:tcMar>
          </w:tcPr>
          <w:p>
            <w:pPr>
              <w:spacing w:after="0"/>
            </w:pPr>
            <w:r>
              <w:rPr>
                <w:rFonts w:ascii="Calibri" w:hAnsi="Calibri" w:cs="Calibri" w:eastAsia="Calibri"/>
                <w:b/>
                <w:i w:val="0"/>
                <w:color w:val="1A3A5C"/>
                <w:sz w:val="19"/>
              </w:rPr>
              <w:t>Цена за м²</w:t>
            </w:r>
          </w:p>
        </w:tc>
        <w:tc>
          <w:tcPr>
            <w:tcW w:type="dxa" w:w="6128"/>
            <w:tcMar>
              <w:top w:w="100" w:type="dxa"/>
              <w:start w:w="100" w:type="dxa"/>
              <w:bottom w:w="100" w:type="dxa"/>
              <w:end w:w="120" w:type="dxa"/>
            </w:tcMar>
          </w:tcPr>
          <w:p>
            <w:pPr>
              <w:spacing w:after="0"/>
            </w:pPr>
            <w:r>
              <w:rPr>
                <w:rFonts w:ascii="Calibri" w:hAnsi="Calibri" w:cs="Calibri" w:eastAsia="Calibri"/>
                <w:b w:val="0"/>
                <w:i w:val="0"/>
                <w:color w:val="2C2C2C"/>
                <w:sz w:val="19"/>
              </w:rPr>
              <w:t>≈ € 1.583/м²</w:t>
            </w:r>
          </w:p>
        </w:tc>
      </w:tr>
      <w:tr>
        <w:trPr>
          <w:cantSplit w:val="1"/>
        </w:trPr>
        <w:tc>
          <w:tcPr>
            <w:tcW w:type="dxa" w:w="2900"/>
            <w:shd w:val="clear" w:color="auto" w:fill="FAFAFA"/>
            <w:tcMar>
              <w:top w:w="100" w:type="dxa"/>
              <w:start w:w="160" w:type="dxa"/>
              <w:bottom w:w="100" w:type="dxa"/>
              <w:end w:w="120" w:type="dxa"/>
            </w:tcMar>
          </w:tcPr>
          <w:p>
            <w:pPr>
              <w:spacing w:after="0"/>
            </w:pPr>
            <w:r>
              <w:rPr>
                <w:rFonts w:ascii="Calibri" w:hAnsi="Calibri" w:cs="Calibri" w:eastAsia="Calibri"/>
                <w:b/>
                <w:i w:val="0"/>
                <w:color w:val="1A3A5C"/>
                <w:sz w:val="19"/>
              </w:rPr>
              <w:t>BAR к цене</w:t>
            </w:r>
          </w:p>
        </w:tc>
        <w:tc>
          <w:tcPr>
            <w:tcW w:type="dxa" w:w="6128"/>
            <w:tcMar>
              <w:top w:w="100" w:type="dxa"/>
              <w:start w:w="100" w:type="dxa"/>
              <w:bottom w:w="100" w:type="dxa"/>
              <w:end w:w="120" w:type="dxa"/>
            </w:tcMar>
          </w:tcPr>
          <w:p>
            <w:pPr>
              <w:spacing w:after="0"/>
            </w:pPr>
            <w:r>
              <w:rPr>
                <w:rFonts w:ascii="Calibri" w:hAnsi="Calibri" w:cs="Calibri" w:eastAsia="Calibri"/>
                <w:b w:val="0"/>
                <w:i w:val="0"/>
                <w:color w:val="2C2C2C"/>
                <w:sz w:val="19"/>
              </w:rPr>
              <w:t>7,5 %</w:t>
            </w:r>
          </w:p>
        </w:tc>
      </w:tr>
      <w:tr>
        <w:trPr>
          <w:cantSplit w:val="1"/>
        </w:trPr>
        <w:tc>
          <w:tcPr>
            <w:tcW w:type="dxa" w:w="2900"/>
            <w:shd w:val="clear" w:color="auto" w:fill="FAFAFA"/>
            <w:tcMar>
              <w:top w:w="100" w:type="dxa"/>
              <w:start w:w="160" w:type="dxa"/>
              <w:bottom w:w="100" w:type="dxa"/>
              <w:end w:w="120" w:type="dxa"/>
            </w:tcMar>
          </w:tcPr>
          <w:p>
            <w:pPr>
              <w:spacing w:after="0"/>
            </w:pPr>
            <w:r>
              <w:rPr>
                <w:rFonts w:ascii="Calibri" w:hAnsi="Calibri" w:cs="Calibri" w:eastAsia="Calibri"/>
                <w:b/>
                <w:i w:val="0"/>
                <w:color w:val="1A3A5C"/>
                <w:sz w:val="19"/>
              </w:rPr>
              <w:t>BAR к цене входа</w:t>
            </w:r>
          </w:p>
        </w:tc>
        <w:tc>
          <w:tcPr>
            <w:tcW w:type="dxa" w:w="6128"/>
            <w:tcMar>
              <w:top w:w="100" w:type="dxa"/>
              <w:start w:w="100" w:type="dxa"/>
              <w:bottom w:w="100" w:type="dxa"/>
              <w:end w:w="120" w:type="dxa"/>
            </w:tcMar>
          </w:tcPr>
          <w:p>
            <w:pPr>
              <w:spacing w:after="0"/>
            </w:pPr>
            <w:r>
              <w:rPr>
                <w:rFonts w:ascii="Calibri" w:hAnsi="Calibri" w:cs="Calibri" w:eastAsia="Calibri"/>
                <w:b w:val="0"/>
                <w:i w:val="0"/>
                <w:color w:val="2C2C2C"/>
                <w:sz w:val="19"/>
              </w:rPr>
              <w:t>6,7 %</w:t>
            </w:r>
          </w:p>
        </w:tc>
      </w:tr>
      <w:tr>
        <w:trPr>
          <w:cantSplit w:val="1"/>
        </w:trPr>
        <w:tc>
          <w:tcPr>
            <w:tcW w:type="dxa" w:w="2900"/>
            <w:shd w:val="clear" w:color="auto" w:fill="FAFAFA"/>
            <w:tcMar>
              <w:top w:w="100" w:type="dxa"/>
              <w:start w:w="160" w:type="dxa"/>
              <w:bottom w:w="100" w:type="dxa"/>
              <w:end w:w="120" w:type="dxa"/>
            </w:tcMar>
          </w:tcPr>
          <w:p>
            <w:pPr>
              <w:spacing w:after="0"/>
            </w:pPr>
            <w:r>
              <w:rPr>
                <w:rFonts w:ascii="Calibri" w:hAnsi="Calibri" w:cs="Calibri" w:eastAsia="Calibri"/>
                <w:b/>
                <w:i w:val="0"/>
                <w:color w:val="1A3A5C"/>
                <w:sz w:val="19"/>
              </w:rPr>
              <w:t>NAR к цене входа</w:t>
            </w:r>
          </w:p>
        </w:tc>
        <w:tc>
          <w:tcPr>
            <w:tcW w:type="dxa" w:w="6128"/>
            <w:tcMar>
              <w:top w:w="100" w:type="dxa"/>
              <w:start w:w="100" w:type="dxa"/>
              <w:bottom w:w="100" w:type="dxa"/>
              <w:end w:w="120" w:type="dxa"/>
            </w:tcMar>
          </w:tcPr>
          <w:p>
            <w:pPr>
              <w:spacing w:after="0"/>
            </w:pPr>
            <w:r>
              <w:rPr>
                <w:rFonts w:ascii="Calibri" w:hAnsi="Calibri" w:cs="Calibri" w:eastAsia="Calibri"/>
                <w:b w:val="0"/>
                <w:i w:val="0"/>
                <w:color w:val="2C2C2C"/>
                <w:sz w:val="19"/>
              </w:rPr>
              <w:t>5,9 % (при эксплуатационных расходах 12,0 % от аренды)</w:t>
            </w:r>
          </w:p>
        </w:tc>
      </w:tr>
      <w:tr>
        <w:trPr>
          <w:cantSplit w:val="1"/>
        </w:trPr>
        <w:tc>
          <w:tcPr>
            <w:tcW w:type="dxa" w:w="9028"/>
            <w:gridSpan w:val="2"/>
            <w:shd w:val="clear" w:color="auto" w:fill="EFF2F5"/>
            <w:tcMar>
              <w:top w:w="120" w:type="dxa"/>
              <w:start w:w="160" w:type="dxa"/>
              <w:bottom w:w="100" w:type="dxa"/>
              <w:end w:w="120" w:type="dxa"/>
            </w:tcMar>
          </w:tcPr>
          <w:p>
            <w:pPr>
              <w:keepNext w:val="1"/>
              <w:keepLines w:val="1"/>
              <w:spacing w:after="0"/>
            </w:pPr>
            <w:r>
              <w:rPr>
                <w:rFonts w:ascii="Calibri" w:hAnsi="Calibri" w:cs="Calibri" w:eastAsia="Calibri"/>
                <w:b/>
                <w:i w:val="0"/>
                <w:color w:val="1A3A5C"/>
                <w:spacing w:val="20"/>
                <w:sz w:val="17"/>
              </w:rPr>
              <w:t>ОБЪЕКТ</w:t>
            </w:r>
          </w:p>
        </w:tc>
      </w:tr>
      <w:tr>
        <w:trPr>
          <w:cantSplit w:val="1"/>
        </w:trPr>
        <w:tc>
          <w:tcPr>
            <w:tcW w:type="dxa" w:w="2900"/>
            <w:shd w:val="clear" w:color="auto" w:fill="FAFAFA"/>
            <w:tcMar>
              <w:top w:w="100" w:type="dxa"/>
              <w:start w:w="160" w:type="dxa"/>
              <w:bottom w:w="100" w:type="dxa"/>
              <w:end w:w="120" w:type="dxa"/>
            </w:tcMar>
          </w:tcPr>
          <w:p>
            <w:pPr>
              <w:keepNext w:val="1"/>
              <w:spacing w:after="0"/>
            </w:pPr>
            <w:r>
              <w:rPr>
                <w:rFonts w:ascii="Calibri" w:hAnsi="Calibri" w:cs="Calibri" w:eastAsia="Calibri"/>
                <w:b/>
                <w:i w:val="0"/>
                <w:color w:val="1A3A5C"/>
                <w:sz w:val="19"/>
              </w:rPr>
              <w:t>Общая площадь</w:t>
            </w:r>
          </w:p>
        </w:tc>
        <w:tc>
          <w:tcPr>
            <w:tcW w:type="dxa" w:w="6128"/>
            <w:tcMar>
              <w:top w:w="100" w:type="dxa"/>
              <w:start w:w="100" w:type="dxa"/>
              <w:bottom w:w="100" w:type="dxa"/>
              <w:end w:w="120" w:type="dxa"/>
            </w:tcMar>
          </w:tcPr>
          <w:p>
            <w:pPr>
              <w:keepNext w:val="1"/>
              <w:spacing w:after="0"/>
            </w:pPr>
            <w:r>
              <w:rPr>
                <w:rFonts w:ascii="Calibri" w:hAnsi="Calibri" w:cs="Calibri" w:eastAsia="Calibri"/>
                <w:b w:val="0"/>
                <w:i w:val="0"/>
                <w:color w:val="2C2C2C"/>
                <w:sz w:val="19"/>
              </w:rPr>
              <w:t>≈ 616 м² v.v.o. (368 м² офис + 248 м² производственный цех)</w:t>
            </w:r>
          </w:p>
        </w:tc>
      </w:tr>
      <w:tr>
        <w:trPr>
          <w:cantSplit w:val="1"/>
        </w:trPr>
        <w:tc>
          <w:tcPr>
            <w:tcW w:type="dxa" w:w="2900"/>
            <w:shd w:val="clear" w:color="auto" w:fill="FAFAFA"/>
            <w:tcMar>
              <w:top w:w="100" w:type="dxa"/>
              <w:start w:w="160" w:type="dxa"/>
              <w:bottom w:w="100" w:type="dxa"/>
              <w:end w:w="120" w:type="dxa"/>
            </w:tcMar>
          </w:tcPr>
          <w:p>
            <w:pPr>
              <w:keepNext w:val="1"/>
              <w:spacing w:after="0"/>
            </w:pPr>
            <w:r>
              <w:rPr>
                <w:rFonts w:ascii="Calibri" w:hAnsi="Calibri" w:cs="Calibri" w:eastAsia="Calibri"/>
                <w:b/>
                <w:i w:val="0"/>
                <w:color w:val="1A3A5C"/>
                <w:sz w:val="19"/>
              </w:rPr>
              <w:t>Площадь участка</w:t>
            </w:r>
          </w:p>
        </w:tc>
        <w:tc>
          <w:tcPr>
            <w:tcW w:type="dxa" w:w="6128"/>
            <w:tcMar>
              <w:top w:w="100" w:type="dxa"/>
              <w:start w:w="100" w:type="dxa"/>
              <w:bottom w:w="100" w:type="dxa"/>
              <w:end w:w="120" w:type="dxa"/>
            </w:tcMar>
          </w:tcPr>
          <w:p>
            <w:pPr>
              <w:keepNext w:val="1"/>
              <w:spacing w:after="0"/>
            </w:pPr>
            <w:r>
              <w:rPr>
                <w:rFonts w:ascii="Calibri" w:hAnsi="Calibri" w:cs="Calibri" w:eastAsia="Calibri"/>
                <w:b w:val="0"/>
                <w:i w:val="0"/>
                <w:color w:val="2C2C2C"/>
                <w:sz w:val="19"/>
              </w:rPr>
              <w:t>964 м² (собственная земля)</w:t>
            </w:r>
          </w:p>
        </w:tc>
      </w:tr>
      <w:tr>
        <w:trPr>
          <w:cantSplit w:val="1"/>
        </w:trPr>
        <w:tc>
          <w:tcPr>
            <w:tcW w:type="dxa" w:w="2900"/>
            <w:shd w:val="clear" w:color="auto" w:fill="FAFAFA"/>
            <w:tcMar>
              <w:top w:w="100" w:type="dxa"/>
              <w:start w:w="160" w:type="dxa"/>
              <w:bottom w:w="100" w:type="dxa"/>
              <w:end w:w="120" w:type="dxa"/>
            </w:tcMar>
          </w:tcPr>
          <w:p>
            <w:pPr>
              <w:spacing w:after="0"/>
            </w:pPr>
            <w:r>
              <w:rPr>
                <w:rFonts w:ascii="Calibri" w:hAnsi="Calibri" w:cs="Calibri" w:eastAsia="Calibri"/>
                <w:b/>
                <w:i w:val="0"/>
                <w:color w:val="1A3A5C"/>
                <w:sz w:val="19"/>
              </w:rPr>
              <w:t>Тип объекта</w:t>
            </w:r>
          </w:p>
        </w:tc>
        <w:tc>
          <w:tcPr>
            <w:tcW w:type="dxa" w:w="6128"/>
            <w:tcMar>
              <w:top w:w="100" w:type="dxa"/>
              <w:start w:w="100" w:type="dxa"/>
              <w:bottom w:w="100" w:type="dxa"/>
              <w:end w:w="120" w:type="dxa"/>
            </w:tcMar>
          </w:tcPr>
          <w:p>
            <w:pPr>
              <w:spacing w:after="0"/>
            </w:pPr>
            <w:r>
              <w:rPr>
                <w:rFonts w:ascii="Calibri" w:hAnsi="Calibri" w:cs="Calibri" w:eastAsia="Calibri"/>
                <w:b w:val="0"/>
                <w:i w:val="0"/>
                <w:color w:val="2C2C2C"/>
                <w:sz w:val="19"/>
              </w:rPr>
              <w:t>инвестиционный: офисное здание и отдельно стоящий производственный цех, сдан в аренду</w:t>
            </w:r>
          </w:p>
        </w:tc>
      </w:tr>
      <w:tr>
        <w:trPr>
          <w:cantSplit w:val="1"/>
        </w:trPr>
        <w:tc>
          <w:tcPr>
            <w:tcW w:type="dxa" w:w="2900"/>
            <w:shd w:val="clear" w:color="auto" w:fill="FAFAFA"/>
            <w:tcMar>
              <w:top w:w="100" w:type="dxa"/>
              <w:start w:w="160" w:type="dxa"/>
              <w:bottom w:w="100" w:type="dxa"/>
              <w:end w:w="120" w:type="dxa"/>
            </w:tcMar>
          </w:tcPr>
          <w:p>
            <w:pPr>
              <w:spacing w:after="0"/>
            </w:pPr>
            <w:r>
              <w:rPr>
                <w:rFonts w:ascii="Calibri" w:hAnsi="Calibri" w:cs="Calibri" w:eastAsia="Calibri"/>
                <w:b/>
                <w:i w:val="0"/>
                <w:color w:val="1A3A5C"/>
                <w:sz w:val="19"/>
              </w:rPr>
              <w:t>Год постройки</w:t>
            </w:r>
          </w:p>
        </w:tc>
        <w:tc>
          <w:tcPr>
            <w:tcW w:type="dxa" w:w="6128"/>
            <w:tcMar>
              <w:top w:w="100" w:type="dxa"/>
              <w:start w:w="100" w:type="dxa"/>
              <w:bottom w:w="100" w:type="dxa"/>
              <w:end w:w="120" w:type="dxa"/>
            </w:tcMar>
          </w:tcPr>
          <w:p>
            <w:pPr>
              <w:spacing w:after="0"/>
            </w:pPr>
            <w:r>
              <w:rPr>
                <w:rFonts w:ascii="Calibri" w:hAnsi="Calibri" w:cs="Calibri" w:eastAsia="Calibri"/>
                <w:b w:val="0"/>
                <w:i w:val="0"/>
                <w:color w:val="2C2C2C"/>
                <w:sz w:val="19"/>
              </w:rPr>
              <w:t>офис — 1979, производственный цех — 2019</w:t>
            </w:r>
          </w:p>
        </w:tc>
      </w:tr>
      <w:tr>
        <w:trPr>
          <w:cantSplit w:val="1"/>
        </w:trPr>
        <w:tc>
          <w:tcPr>
            <w:tcW w:type="dxa" w:w="2900"/>
            <w:shd w:val="clear" w:color="auto" w:fill="FAFAFA"/>
            <w:tcMar>
              <w:top w:w="100" w:type="dxa"/>
              <w:start w:w="160" w:type="dxa"/>
              <w:bottom w:w="100" w:type="dxa"/>
              <w:end w:w="120" w:type="dxa"/>
            </w:tcMar>
          </w:tcPr>
          <w:p>
            <w:pPr>
              <w:spacing w:after="0"/>
            </w:pPr>
            <w:r>
              <w:rPr>
                <w:rFonts w:ascii="Calibri" w:hAnsi="Calibri" w:cs="Calibri" w:eastAsia="Calibri"/>
                <w:b/>
                <w:i w:val="0"/>
                <w:color w:val="1A3A5C"/>
                <w:sz w:val="19"/>
              </w:rPr>
              <w:t>Энергетический класс</w:t>
            </w:r>
          </w:p>
        </w:tc>
        <w:tc>
          <w:tcPr>
            <w:tcW w:type="dxa" w:w="6128"/>
            <w:tcMar>
              <w:top w:w="100" w:type="dxa"/>
              <w:start w:w="100" w:type="dxa"/>
              <w:bottom w:w="100" w:type="dxa"/>
              <w:end w:w="120" w:type="dxa"/>
            </w:tcMar>
          </w:tcPr>
          <w:p>
            <w:pPr>
              <w:spacing w:after="0"/>
            </w:pPr>
            <w:r>
              <w:rPr>
                <w:rFonts w:ascii="Calibri" w:hAnsi="Calibri" w:cs="Calibri" w:eastAsia="Calibri"/>
                <w:b w:val="0"/>
                <w:i w:val="0"/>
                <w:color w:val="2C2C2C"/>
                <w:sz w:val="19"/>
              </w:rPr>
              <w:t>B (действителен до 24‑06‑2036)</w:t>
            </w:r>
          </w:p>
        </w:tc>
      </w:tr>
      <w:tr>
        <w:trPr>
          <w:cantSplit w:val="1"/>
        </w:trPr>
        <w:tc>
          <w:tcPr>
            <w:tcW w:type="dxa" w:w="2900"/>
            <w:shd w:val="clear" w:color="auto" w:fill="FAFAFA"/>
            <w:tcMar>
              <w:top w:w="100" w:type="dxa"/>
              <w:start w:w="160" w:type="dxa"/>
              <w:bottom w:w="100" w:type="dxa"/>
              <w:end w:w="120" w:type="dxa"/>
            </w:tcMar>
          </w:tcPr>
          <w:p>
            <w:pPr>
              <w:spacing w:after="0"/>
            </w:pPr>
            <w:r>
              <w:rPr>
                <w:rFonts w:ascii="Calibri" w:hAnsi="Calibri" w:cs="Calibri" w:eastAsia="Calibri"/>
                <w:b/>
                <w:i w:val="0"/>
                <w:color w:val="1A3A5C"/>
                <w:sz w:val="19"/>
              </w:rPr>
              <w:t>Право на землю</w:t>
            </w:r>
          </w:p>
        </w:tc>
        <w:tc>
          <w:tcPr>
            <w:tcW w:type="dxa" w:w="6128"/>
            <w:tcMar>
              <w:top w:w="100" w:type="dxa"/>
              <w:start w:w="100" w:type="dxa"/>
              <w:bottom w:w="100" w:type="dxa"/>
              <w:end w:w="120" w:type="dxa"/>
            </w:tcMar>
          </w:tcPr>
          <w:p>
            <w:pPr>
              <w:spacing w:after="0"/>
            </w:pPr>
            <w:r>
              <w:rPr>
                <w:rFonts w:ascii="Calibri" w:hAnsi="Calibri" w:cs="Calibri" w:eastAsia="Calibri"/>
                <w:b w:val="0"/>
                <w:i w:val="0"/>
                <w:color w:val="2C2C2C"/>
                <w:sz w:val="19"/>
              </w:rPr>
              <w:t>полная собственность (volle eigendom)</w:t>
            </w:r>
          </w:p>
        </w:tc>
      </w:tr>
      <w:tr>
        <w:trPr>
          <w:cantSplit w:val="1"/>
        </w:trPr>
        <w:tc>
          <w:tcPr>
            <w:tcW w:type="dxa" w:w="2900"/>
            <w:shd w:val="clear" w:color="auto" w:fill="FAFAFA"/>
            <w:tcMar>
              <w:top w:w="100" w:type="dxa"/>
              <w:start w:w="160" w:type="dxa"/>
              <w:bottom w:w="100" w:type="dxa"/>
              <w:end w:w="120" w:type="dxa"/>
            </w:tcMar>
          </w:tcPr>
          <w:p>
            <w:pPr>
              <w:spacing w:after="0"/>
            </w:pPr>
            <w:r>
              <w:rPr>
                <w:rFonts w:ascii="Calibri" w:hAnsi="Calibri" w:cs="Calibri" w:eastAsia="Calibri"/>
                <w:b/>
                <w:i w:val="0"/>
                <w:color w:val="1A3A5C"/>
                <w:sz w:val="19"/>
              </w:rPr>
              <w:t>Свободная высота</w:t>
            </w:r>
          </w:p>
        </w:tc>
        <w:tc>
          <w:tcPr>
            <w:tcW w:type="dxa" w:w="6128"/>
            <w:tcMar>
              <w:top w:w="100" w:type="dxa"/>
              <w:start w:w="100" w:type="dxa"/>
              <w:bottom w:w="100" w:type="dxa"/>
              <w:end w:w="120" w:type="dxa"/>
            </w:tcMar>
          </w:tcPr>
          <w:p>
            <w:pPr>
              <w:spacing w:after="0"/>
            </w:pPr>
            <w:r>
              <w:rPr>
                <w:rFonts w:ascii="Calibri" w:hAnsi="Calibri" w:cs="Calibri" w:eastAsia="Calibri"/>
                <w:b w:val="0"/>
                <w:i w:val="0"/>
                <w:color w:val="2C2C2C"/>
                <w:sz w:val="19"/>
              </w:rPr>
              <w:t>цех ≈ 6,04 м (до антресоли ≈ 2,08 м, на антресоли ≈ 3,14 м)</w:t>
            </w:r>
          </w:p>
        </w:tc>
      </w:tr>
      <w:tr>
        <w:trPr>
          <w:cantSplit w:val="1"/>
        </w:trPr>
        <w:tc>
          <w:tcPr>
            <w:tcW w:type="dxa" w:w="2900"/>
            <w:shd w:val="clear" w:color="auto" w:fill="FAFAFA"/>
            <w:tcMar>
              <w:top w:w="100" w:type="dxa"/>
              <w:start w:w="160" w:type="dxa"/>
              <w:bottom w:w="100" w:type="dxa"/>
              <w:end w:w="120" w:type="dxa"/>
            </w:tcMar>
          </w:tcPr>
          <w:p>
            <w:pPr>
              <w:spacing w:after="0"/>
            </w:pPr>
            <w:r>
              <w:rPr>
                <w:rFonts w:ascii="Calibri" w:hAnsi="Calibri" w:cs="Calibri" w:eastAsia="Calibri"/>
                <w:b/>
                <w:i w:val="0"/>
                <w:color w:val="1A3A5C"/>
                <w:sz w:val="19"/>
              </w:rPr>
              <w:t>Несущая способность пола</w:t>
            </w:r>
          </w:p>
        </w:tc>
        <w:tc>
          <w:tcPr>
            <w:tcW w:type="dxa" w:w="6128"/>
            <w:tcMar>
              <w:top w:w="100" w:type="dxa"/>
              <w:start w:w="100" w:type="dxa"/>
              <w:bottom w:w="100" w:type="dxa"/>
              <w:end w:w="120" w:type="dxa"/>
            </w:tcMar>
          </w:tcPr>
          <w:p>
            <w:pPr>
              <w:spacing w:after="0"/>
            </w:pPr>
            <w:r>
              <w:rPr>
                <w:rFonts w:ascii="Calibri" w:hAnsi="Calibri" w:cs="Calibri" w:eastAsia="Calibri"/>
                <w:b w:val="0"/>
                <w:i w:val="0"/>
                <w:color w:val="2C2C2C"/>
                <w:sz w:val="19"/>
              </w:rPr>
              <w:t>официально не установлена, оценочно ≈ 1.000 кг/м²</w:t>
            </w:r>
          </w:p>
        </w:tc>
      </w:tr>
      <w:tr>
        <w:trPr>
          <w:cantSplit w:val="1"/>
        </w:trPr>
        <w:tc>
          <w:tcPr>
            <w:tcW w:type="dxa" w:w="2900"/>
            <w:shd w:val="clear" w:color="auto" w:fill="FAFAFA"/>
            <w:tcMar>
              <w:top w:w="100" w:type="dxa"/>
              <w:start w:w="160" w:type="dxa"/>
              <w:bottom w:w="100" w:type="dxa"/>
              <w:end w:w="120" w:type="dxa"/>
            </w:tcMar>
          </w:tcPr>
          <w:p>
            <w:pPr>
              <w:spacing w:after="0"/>
            </w:pPr>
            <w:r>
              <w:rPr>
                <w:rFonts w:ascii="Calibri" w:hAnsi="Calibri" w:cs="Calibri" w:eastAsia="Calibri"/>
                <w:b/>
                <w:i w:val="0"/>
                <w:color w:val="1A3A5C"/>
                <w:sz w:val="19"/>
              </w:rPr>
              <w:t>Парковка</w:t>
            </w:r>
          </w:p>
        </w:tc>
        <w:tc>
          <w:tcPr>
            <w:tcW w:type="dxa" w:w="6128"/>
            <w:tcMar>
              <w:top w:w="100" w:type="dxa"/>
              <w:start w:w="100" w:type="dxa"/>
              <w:bottom w:w="100" w:type="dxa"/>
              <w:end w:w="120" w:type="dxa"/>
            </w:tcMar>
          </w:tcPr>
          <w:p>
            <w:pPr>
              <w:spacing w:after="0"/>
            </w:pPr>
            <w:r>
              <w:rPr>
                <w:rFonts w:ascii="Calibri" w:hAnsi="Calibri" w:cs="Calibri" w:eastAsia="Calibri"/>
                <w:b w:val="0"/>
                <w:i w:val="0"/>
                <w:color w:val="2C2C2C"/>
                <w:sz w:val="19"/>
              </w:rPr>
              <w:t>15 мест на собственной территории (одно с зарядной станцией)</w:t>
            </w:r>
          </w:p>
        </w:tc>
      </w:tr>
      <w:tr>
        <w:trPr>
          <w:cantSplit w:val="1"/>
        </w:trPr>
        <w:tc>
          <w:tcPr>
            <w:tcW w:type="dxa" w:w="2900"/>
            <w:shd w:val="clear" w:color="auto" w:fill="FAFAFA"/>
            <w:tcMar>
              <w:top w:w="100" w:type="dxa"/>
              <w:start w:w="160" w:type="dxa"/>
              <w:bottom w:w="100" w:type="dxa"/>
              <w:end w:w="120" w:type="dxa"/>
            </w:tcMar>
          </w:tcPr>
          <w:p>
            <w:pPr>
              <w:spacing w:after="0"/>
            </w:pPr>
            <w:r>
              <w:rPr>
                <w:rFonts w:ascii="Calibri" w:hAnsi="Calibri" w:cs="Calibri" w:eastAsia="Calibri"/>
                <w:b/>
                <w:i w:val="0"/>
                <w:color w:val="1A3A5C"/>
                <w:sz w:val="19"/>
              </w:rPr>
              <w:t>Арендаторы</w:t>
            </w:r>
          </w:p>
        </w:tc>
        <w:tc>
          <w:tcPr>
            <w:tcW w:type="dxa" w:w="6128"/>
            <w:tcMar>
              <w:top w:w="100" w:type="dxa"/>
              <w:start w:w="100" w:type="dxa"/>
              <w:bottom w:w="100" w:type="dxa"/>
              <w:end w:w="120" w:type="dxa"/>
            </w:tcMar>
          </w:tcPr>
          <w:p>
            <w:pPr>
              <w:spacing w:after="0"/>
            </w:pPr>
            <w:r>
              <w:rPr>
                <w:rFonts w:ascii="Calibri" w:hAnsi="Calibri" w:cs="Calibri" w:eastAsia="Calibri"/>
                <w:b w:val="0"/>
                <w:i w:val="0"/>
                <w:color w:val="2C2C2C"/>
                <w:sz w:val="19"/>
              </w:rPr>
              <w:t>1 — PixioDigital NL B.V., обратная аренда (sale-and-lease-back)</w:t>
            </w:r>
          </w:p>
        </w:tc>
      </w:tr>
      <w:tr>
        <w:trPr>
          <w:cantSplit w:val="1"/>
        </w:trPr>
        <w:tc>
          <w:tcPr>
            <w:tcW w:type="dxa" w:w="2900"/>
            <w:shd w:val="clear" w:color="auto" w:fill="FAFAFA"/>
            <w:tcMar>
              <w:top w:w="100" w:type="dxa"/>
              <w:start w:w="160" w:type="dxa"/>
              <w:bottom w:w="100" w:type="dxa"/>
              <w:end w:w="120" w:type="dxa"/>
            </w:tcMar>
          </w:tcPr>
          <w:p>
            <w:pPr>
              <w:spacing w:after="0"/>
            </w:pPr>
            <w:r>
              <w:rPr>
                <w:rFonts w:ascii="Calibri" w:hAnsi="Calibri" w:cs="Calibri" w:eastAsia="Calibri"/>
                <w:b/>
                <w:i w:val="0"/>
                <w:color w:val="1A3A5C"/>
                <w:sz w:val="19"/>
              </w:rPr>
              <w:t>Заполняемость</w:t>
            </w:r>
          </w:p>
        </w:tc>
        <w:tc>
          <w:tcPr>
            <w:tcW w:type="dxa" w:w="6128"/>
            <w:tcMar>
              <w:top w:w="100" w:type="dxa"/>
              <w:start w:w="100" w:type="dxa"/>
              <w:bottom w:w="100" w:type="dxa"/>
              <w:end w:w="120" w:type="dxa"/>
            </w:tcMar>
          </w:tcPr>
          <w:p>
            <w:pPr>
              <w:spacing w:after="0"/>
            </w:pPr>
            <w:r>
              <w:rPr>
                <w:rFonts w:ascii="Calibri" w:hAnsi="Calibri" w:cs="Calibri" w:eastAsia="Calibri"/>
                <w:b w:val="0"/>
                <w:i w:val="0"/>
                <w:color w:val="2C2C2C"/>
                <w:sz w:val="19"/>
              </w:rPr>
              <w:t>100 %</w:t>
            </w:r>
          </w:p>
        </w:tc>
      </w:tr>
      <w:tr>
        <w:trPr>
          <w:cantSplit w:val="1"/>
        </w:trPr>
        <w:tc>
          <w:tcPr>
            <w:tcW w:type="dxa" w:w="2900"/>
            <w:shd w:val="clear" w:color="auto" w:fill="FAFAFA"/>
            <w:tcMar>
              <w:top w:w="100" w:type="dxa"/>
              <w:start w:w="160" w:type="dxa"/>
              <w:bottom w:w="100" w:type="dxa"/>
              <w:end w:w="120" w:type="dxa"/>
            </w:tcMar>
          </w:tcPr>
          <w:p>
            <w:pPr>
              <w:spacing w:after="0"/>
            </w:pPr>
            <w:r>
              <w:rPr>
                <w:rFonts w:ascii="Calibri" w:hAnsi="Calibri" w:cs="Calibri" w:eastAsia="Calibri"/>
                <w:b/>
                <w:i w:val="0"/>
                <w:color w:val="1A3A5C"/>
                <w:sz w:val="19"/>
              </w:rPr>
              <w:t>Назначение (bestemming)</w:t>
            </w:r>
          </w:p>
        </w:tc>
        <w:tc>
          <w:tcPr>
            <w:tcW w:type="dxa" w:w="6128"/>
            <w:tcMar>
              <w:top w:w="100" w:type="dxa"/>
              <w:start w:w="100" w:type="dxa"/>
              <w:bottom w:w="100" w:type="dxa"/>
              <w:end w:w="120" w:type="dxa"/>
            </w:tcMar>
          </w:tcPr>
          <w:p>
            <w:pPr>
              <w:spacing w:after="0"/>
            </w:pPr>
            <w:r>
              <w:rPr>
                <w:rFonts w:ascii="Calibri" w:hAnsi="Calibri" w:cs="Calibri" w:eastAsia="Calibri"/>
                <w:b w:val="0"/>
                <w:i w:val="0"/>
                <w:color w:val="2C2C2C"/>
                <w:sz w:val="19"/>
              </w:rPr>
              <w:t>Bedrijventerrein — предприятия, офисы, услуги и служебное жильё</w:t>
            </w:r>
          </w:p>
        </w:tc>
      </w:tr>
      <w:tr>
        <w:trPr>
          <w:cantSplit w:val="1"/>
        </w:trPr>
        <w:tc>
          <w:tcPr>
            <w:tcW w:type="dxa" w:w="2900"/>
            <w:shd w:val="clear" w:color="auto" w:fill="FAFAFA"/>
            <w:tcMar>
              <w:top w:w="100" w:type="dxa"/>
              <w:start w:w="160" w:type="dxa"/>
              <w:bottom w:w="100" w:type="dxa"/>
              <w:end w:w="120" w:type="dxa"/>
            </w:tcMar>
          </w:tcPr>
          <w:p>
            <w:pPr>
              <w:spacing w:after="0"/>
            </w:pPr>
            <w:r>
              <w:rPr>
                <w:rFonts w:ascii="Calibri" w:hAnsi="Calibri" w:cs="Calibri" w:eastAsia="Calibri"/>
                <w:b/>
                <w:i w:val="0"/>
                <w:color w:val="1A3A5C"/>
                <w:sz w:val="19"/>
              </w:rPr>
              <w:t>Передача</w:t>
            </w:r>
          </w:p>
        </w:tc>
        <w:tc>
          <w:tcPr>
            <w:tcW w:type="dxa" w:w="6128"/>
            <w:tcMar>
              <w:top w:w="100" w:type="dxa"/>
              <w:start w:w="100" w:type="dxa"/>
              <w:bottom w:w="100" w:type="dxa"/>
              <w:end w:w="120" w:type="dxa"/>
            </w:tcMar>
          </w:tcPr>
          <w:p>
            <w:pPr>
              <w:spacing w:after="0"/>
            </w:pPr>
            <w:r>
              <w:rPr>
                <w:rFonts w:ascii="Calibri" w:hAnsi="Calibri" w:cs="Calibri" w:eastAsia="Calibri"/>
                <w:b w:val="0"/>
                <w:i w:val="0"/>
                <w:color w:val="2C2C2C"/>
                <w:sz w:val="19"/>
              </w:rPr>
              <w:t>сразу, в арендованном состоянии «как есть» (as is, where is)</w:t>
            </w:r>
          </w:p>
        </w:tc>
      </w:tr>
      <w:tr>
        <w:trPr>
          <w:cantSplit w:val="1"/>
        </w:trPr>
        <w:tc>
          <w:tcPr>
            <w:tcW w:type="dxa" w:w="2900"/>
            <w:shd w:val="clear" w:color="auto" w:fill="FAFAFA"/>
            <w:tcMar>
              <w:top w:w="100" w:type="dxa"/>
              <w:start w:w="160" w:type="dxa"/>
              <w:bottom w:w="100" w:type="dxa"/>
              <w:end w:w="120" w:type="dxa"/>
            </w:tcMar>
          </w:tcPr>
          <w:p>
            <w:pPr>
              <w:spacing w:after="0"/>
            </w:pPr>
            <w:r>
              <w:rPr>
                <w:rFonts w:ascii="Calibri" w:hAnsi="Calibri" w:cs="Calibri" w:eastAsia="Calibri"/>
                <w:b/>
                <w:i w:val="0"/>
                <w:color w:val="1A3A5C"/>
                <w:sz w:val="19"/>
              </w:rPr>
              <w:t>Ссылка</w:t>
            </w:r>
          </w:p>
        </w:tc>
        <w:tc>
          <w:tcPr>
            <w:tcW w:type="dxa" w:w="6128"/>
            <w:tcMar>
              <w:top w:w="100" w:type="dxa"/>
              <w:start w:w="100" w:type="dxa"/>
              <w:bottom w:w="100" w:type="dxa"/>
              <w:end w:w="120" w:type="dxa"/>
            </w:tcMar>
          </w:tcPr>
          <w:p>
            <w:pPr>
              <w:spacing w:after="0"/>
            </w:pPr>
            <w:hyperlink r:id="rId14">
              <w:r>
                <w:rPr>
                  <w:rFonts w:ascii="Calibri" w:hAnsi="Calibri" w:cs="Calibri" w:eastAsia="Calibri"/>
                  <w:b w:val="0"/>
                  <w:i w:val="0"/>
                  <w:color w:val="1A3A5C"/>
                  <w:sz w:val="19"/>
                  <w:u w:val="single"/>
                </w:rPr>
                <w:t>https://www.fundainbusiness.nl/en/belegging/montfoort/object-44425433-steenovenweg-11-13/</w:t>
              </w:r>
            </w:hyperlink>
          </w:p>
        </w:tc>
      </w:tr>
    </w:tbl>
    <w:p>
      <w:pPr>
        <w:spacing w:before="0" w:after="0"/>
      </w:pPr>
    </w:p>
    <w:tbl>
      <w:tblPr>
        <w:tblW w:type="auto" w:w="0"/>
        <w:tblBorders>
          <w:top w:val="single" w:sz="4" w:space="0" w:color="C9A961"/>
          <w:start w:val="single" w:sz="18" w:space="0" w:color="C9A961"/>
          <w:bottom w:val="single" w:sz="4" w:space="0" w:color="C9A961"/>
          <w:end w:val="single" w:sz="4" w:space="0" w:color="C9A961"/>
          <w:insideH w:val="none" w:sz="0" w:space="0" w:color="auto"/>
          <w:insideV w:val="none" w:sz="0" w:space="0" w:color="auto"/>
        </w:tblBorders>
        <w:tblLayout w:type="fixed"/>
        <w:tblLook w:firstColumn="1" w:firstRow="1" w:lastColumn="0" w:lastRow="0" w:noHBand="0" w:noVBand="1" w:val="04A0"/>
      </w:tblPr>
      <w:tblGrid>
        <w:gridCol w:w="9558"/>
      </w:tblGrid>
      <w:tr>
        <w:tc>
          <w:tcPr>
            <w:tcW w:type="dxa" w:w="9558"/>
            <w:shd w:val="clear" w:color="auto" w:fill="F5F1E8"/>
            <w:tcMar>
              <w:top w:w="160" w:type="dxa"/>
              <w:start w:w="240" w:type="dxa"/>
              <w:bottom w:w="160" w:type="dxa"/>
              <w:end w:w="240" w:type="dxa"/>
            </w:tcMar>
          </w:tcPr>
          <w:p>
            <w:pPr>
              <w:spacing w:after="140"/>
            </w:pPr>
            <w:r>
              <w:rPr>
                <w:rFonts w:ascii="Calibri" w:hAnsi="Calibri" w:cs="Calibri" w:eastAsia="Calibri"/>
                <w:b/>
                <w:i w:val="0"/>
                <w:color w:val="1A3A5C"/>
                <w:spacing w:val="24"/>
                <w:sz w:val="21"/>
              </w:rPr>
              <w:t>О ГОРОДЕ И РАЙОНЕ</w:t>
            </w:r>
          </w:p>
          <w:p>
            <w:pPr>
              <w:keepNext w:val="1"/>
              <w:spacing w:after="100"/>
            </w:pPr>
            <w:r>
              <w:rPr>
                <w:rFonts w:ascii="Calibri" w:hAnsi="Calibri" w:cs="Calibri" w:eastAsia="Calibri"/>
                <w:b/>
                <w:i w:val="0"/>
                <w:color w:val="C9A961"/>
                <w:sz w:val="20"/>
              </w:rPr>
              <w:t xml:space="preserve">▪  </w:t>
            </w:r>
            <w:r>
              <w:rPr>
                <w:rFonts w:ascii="Calibri" w:hAnsi="Calibri" w:cs="Calibri" w:eastAsia="Calibri"/>
                <w:b/>
                <w:i w:val="0"/>
                <w:color w:val="1A3A5C"/>
                <w:sz w:val="20"/>
              </w:rPr>
              <w:t>Montfoort — промышленный парк IJsselveld</w:t>
            </w:r>
          </w:p>
          <w:p>
            <w:pPr>
              <w:spacing w:before="0" w:after="120"/>
              <w:jc w:val="both"/>
            </w:pPr>
            <w:r>
              <w:rPr>
                <w:rFonts w:ascii="Calibri" w:hAnsi="Calibri" w:cs="Calibri" w:eastAsia="Calibri"/>
                <w:b w:val="0"/>
                <w:i w:val="0"/>
                <w:color w:val="2C2C2C"/>
                <w:sz w:val="20"/>
              </w:rPr>
              <w:t>Монтфорт (Montfoort) — город и муниципалитет в провинции Утрехт с населением около 13.800 человек (по данным Centraal Bureau voor de Statistiek, CBS StatLine, на 1 января 2026 года), расположенный в самом центре Нидерландов между Утрехтом и Роттердамом. Несмотря на небольшой размер, город обладает хорошей автомобильной доступностью: съезды на федеральную трассу A12 находятся в 5 и 8 км по провинциальным дорогам N204/N205 и N228, время в пути — примерно 7 и 12 минут соответственно.</w:t>
            </w:r>
          </w:p>
          <w:p>
            <w:pPr>
              <w:spacing w:before="0" w:after="0"/>
              <w:jc w:val="both"/>
            </w:pPr>
            <w:r>
              <w:rPr>
                <w:rFonts w:ascii="Calibri" w:hAnsi="Calibri" w:cs="Calibri" w:eastAsia="Calibri"/>
                <w:b w:val="0"/>
                <w:i w:val="0"/>
                <w:color w:val="2C2C2C"/>
                <w:sz w:val="20"/>
              </w:rPr>
              <w:t>Объект расположен на промышленном парке IJsselveld общей площадью около 50 гектаров (по данным листинга) — крупнейшей производственной зоне муниципалитета. Территория имеет смешанный характер: автомобильные предприятия, компании из сфер строительства, металлообработки, услуг и оптовой торговли. Парк граничит с рекой Холландсе-Эйссел (Hollandsche IJssel). Центр Монтфорта с магазинами и заведениями общественного питания находится в нескольких минутах езды (≈ 5 минут на автомобиле).</w:t>
            </w:r>
          </w:p>
        </w:tc>
      </w:tr>
    </w:tbl>
    <w:p>
      <w:pPr>
        <w:spacing w:before="0" w:after="0" w:line="240" w:lineRule="auto"/>
      </w:pPr>
      <w:r>
        <w:rPr>
          <w:rFonts w:ascii="Calibri" w:hAnsi="Calibri" w:cs="Calibri" w:eastAsia="Calibri"/>
          <w:b w:val="0"/>
          <w:i w:val="0"/>
          <w:color w:val="2C2C2C"/>
          <w:sz w:val="12"/>
        </w:rPr>
      </w:r>
    </w:p>
    <w:tbl>
      <w:tblPr>
        <w:tblW w:type="auto" w:w="0"/>
        <w:tblBorders>
          <w:top w:val="single" w:sz="4" w:space="0" w:color="DDE3EA"/>
          <w:start w:val="single" w:sz="18" w:space="0" w:color="C9A961"/>
          <w:bottom w:val="single" w:sz="4" w:space="0" w:color="DDE3EA"/>
          <w:end w:val="single" w:sz="4" w:space="0" w:color="DDE3EA"/>
          <w:insideH w:val="none" w:sz="0" w:space="0" w:color="auto"/>
          <w:insideV w:val="none" w:sz="0" w:space="0" w:color="auto"/>
        </w:tblBorders>
        <w:tblLayout w:type="fixed"/>
        <w:tblLook w:firstColumn="1" w:firstRow="1" w:lastColumn="0" w:lastRow="0" w:noHBand="0" w:noVBand="1" w:val="04A0"/>
      </w:tblPr>
      <w:tblGrid>
        <w:gridCol w:w="9558"/>
      </w:tblGrid>
      <w:tr>
        <w:tc>
          <w:tcPr>
            <w:tcW w:type="dxa" w:w="9558"/>
            <w:shd w:val="clear" w:color="auto" w:fill="FFFFFF"/>
            <w:tcMar>
              <w:top w:w="160" w:type="dxa"/>
              <w:start w:w="240" w:type="dxa"/>
              <w:bottom w:w="160" w:type="dxa"/>
              <w:end w:w="240" w:type="dxa"/>
            </w:tcMar>
          </w:tcPr>
          <w:p>
            <w:pPr>
              <w:spacing w:after="140"/>
            </w:pPr>
            <w:r>
              <w:rPr>
                <w:rFonts w:ascii="Calibri" w:hAnsi="Calibri" w:cs="Calibri" w:eastAsia="Calibri"/>
                <w:b/>
                <w:i w:val="0"/>
                <w:color w:val="1A3A5C"/>
                <w:spacing w:val="24"/>
                <w:sz w:val="21"/>
              </w:rPr>
              <w:t>ОПИСАНИЕ ОБЪЕКТА</w:t>
            </w:r>
          </w:p>
          <w:p>
            <w:pPr>
              <w:spacing w:before="0" w:after="120"/>
              <w:jc w:val="both"/>
            </w:pPr>
            <w:r>
              <w:rPr>
                <w:rFonts w:ascii="Calibri" w:hAnsi="Calibri" w:cs="Calibri" w:eastAsia="Calibri"/>
                <w:b w:val="0"/>
                <w:i w:val="0"/>
                <w:color w:val="2C2C2C"/>
                <w:sz w:val="20"/>
              </w:rPr>
              <w:t>Инвестиционный лот на промышленном парке IJsselveld: участок в собственности, двухэтажное офисное здание, отдельно стоящий производственный цех позади него, собственная парковка и подъездной двор. В документах лот значится как Steenovenweg 11‑11A‑11B‑13 — это один комплекс с общим въездом и общим двором, а не набор самостоятельных адресов.</w:t>
            </w:r>
          </w:p>
          <w:p>
            <w:pPr>
              <w:spacing w:before="0" w:after="120"/>
              <w:jc w:val="both"/>
            </w:pPr>
            <w:r>
              <w:rPr>
                <w:rFonts w:ascii="Calibri" w:hAnsi="Calibri" w:cs="Calibri" w:eastAsia="Calibri"/>
                <w:b w:val="0"/>
                <w:i w:val="0"/>
                <w:color w:val="2C2C2C"/>
                <w:sz w:val="20"/>
              </w:rPr>
              <w:t>Объект продаётся с действующим арендатором по схеме обратной аренды (sale-and-lease-back): продавец остаётся пользователем помещений, а покупатель приобретает готовый арендный поток. Это же и главная особенность сделки: цена и условия договора формировались связанными сторонами, поэтому ключевая проверка здесь не техническая, а экономическая — соответствует ли договорная ставка рынку.</w:t>
            </w:r>
          </w:p>
          <w:p>
            <w:pPr>
              <w:spacing w:before="0" w:after="0"/>
              <w:jc w:val="both"/>
            </w:pPr>
            <w:r>
              <w:rPr>
                <w:rFonts w:ascii="Calibri" w:hAnsi="Calibri" w:cs="Calibri" w:eastAsia="Calibri"/>
                <w:b w:val="0"/>
                <w:i w:val="0"/>
                <w:color w:val="2C2C2C"/>
                <w:sz w:val="20"/>
              </w:rPr>
              <w:t>Комплекс поддерживался в рабочем состоянии: кровля офиса отремонтирована и частично заменена ориентировочно в 2024 году (по данным листинга), на ней смонтирована солнечная электростанция, а производственный цех, построенный в 2019 году, капитальных вложений на старте не требует. Передача — сразу, в арендованном состоянии, «как есть» (as is, where is), поэтому объём отложенного обслуживания покупатель принимает на себя.</w:t>
            </w:r>
          </w:p>
        </w:tc>
      </w:tr>
    </w:tbl>
    <w:p>
      <w:pPr>
        <w:spacing w:before="0" w:after="0" w:line="240" w:lineRule="auto"/>
      </w:pPr>
      <w:r>
        <w:rPr>
          <w:rFonts w:ascii="Calibri" w:hAnsi="Calibri" w:cs="Calibri" w:eastAsia="Calibri"/>
          <w:b w:val="0"/>
          <w:i w:val="0"/>
          <w:color w:val="2C2C2C"/>
          <w:sz w:val="12"/>
        </w:rPr>
      </w:r>
    </w:p>
    <w:tbl>
      <w:tblPr>
        <w:tblW w:type="auto" w:w="0"/>
        <w:tblBorders>
          <w:top w:val="single" w:sz="4" w:space="0" w:color="DDE3EA"/>
          <w:start w:val="single" w:sz="18" w:space="0" w:color="C9A961"/>
          <w:bottom w:val="single" w:sz="4" w:space="0" w:color="DDE3EA"/>
          <w:end w:val="single" w:sz="4" w:space="0" w:color="DDE3EA"/>
          <w:insideH w:val="none" w:sz="0" w:space="0" w:color="auto"/>
          <w:insideV w:val="none" w:sz="0" w:space="0" w:color="auto"/>
        </w:tblBorders>
        <w:tblLayout w:type="fixed"/>
        <w:tblLook w:firstColumn="1" w:firstRow="1" w:lastColumn="0" w:lastRow="0" w:noHBand="0" w:noVBand="1" w:val="04A0"/>
      </w:tblPr>
      <w:tblGrid>
        <w:gridCol w:w="9558"/>
      </w:tblGrid>
      <w:tr>
        <w:tc>
          <w:tcPr>
            <w:tcW w:type="dxa" w:w="9558"/>
            <w:shd w:val="clear" w:color="auto" w:fill="FFFFFF"/>
            <w:tcMar>
              <w:top w:w="160" w:type="dxa"/>
              <w:start w:w="240" w:type="dxa"/>
              <w:bottom w:w="160" w:type="dxa"/>
              <w:end w:w="240" w:type="dxa"/>
            </w:tcMar>
          </w:tcPr>
          <w:p>
            <w:pPr>
              <w:spacing w:after="140"/>
            </w:pPr>
            <w:r>
              <w:rPr>
                <w:rFonts w:ascii="Calibri" w:hAnsi="Calibri" w:cs="Calibri" w:eastAsia="Calibri"/>
                <w:b/>
                <w:i w:val="0"/>
                <w:color w:val="1A3A5C"/>
                <w:spacing w:val="24"/>
                <w:sz w:val="21"/>
              </w:rPr>
              <w:t>ПЛАНИРОВКА</w:t>
            </w:r>
          </w:p>
          <w:p>
            <w:pPr>
              <w:keepNext w:val="1"/>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val="0"/>
                <w:i w:val="0"/>
                <w:color w:val="2C2C2C"/>
                <w:sz w:val="20"/>
              </w:rPr>
              <w:t>Офисное здание, два этажа — ≈ 368 м² v.v.o.</w:t>
            </w:r>
          </w:p>
          <w:p>
            <w:pPr>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val="0"/>
                <w:i w:val="0"/>
                <w:color w:val="2C2C2C"/>
                <w:sz w:val="20"/>
              </w:rPr>
              <w:t>Производственный цех — ≈ 248 м² v.v.o.</w:t>
            </w:r>
          </w:p>
          <w:p>
            <w:pPr>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val="0"/>
                <w:i w:val="0"/>
                <w:color w:val="2C2C2C"/>
                <w:sz w:val="20"/>
              </w:rPr>
              <w:t>Антресольный этаж в цехе — для лёгкого хранения</w:t>
            </w:r>
          </w:p>
          <w:p>
            <w:pPr>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val="0"/>
                <w:i w:val="0"/>
                <w:color w:val="2C2C2C"/>
                <w:sz w:val="20"/>
              </w:rPr>
              <w:t>Все офисные помещения доступны через главный вход в передней части здания</w:t>
            </w:r>
          </w:p>
          <w:p>
            <w:pPr>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val="0"/>
                <w:i w:val="0"/>
                <w:color w:val="2C2C2C"/>
                <w:sz w:val="20"/>
              </w:rPr>
              <w:t>Второй этаж дополнительно доступен через отдельный вход с левой стороны здания</w:t>
            </w:r>
          </w:p>
          <w:p>
            <w:pPr>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val="0"/>
                <w:i w:val="0"/>
                <w:color w:val="2C2C2C"/>
                <w:sz w:val="20"/>
              </w:rPr>
              <w:t>Одно помещение в задней части имеет собственную входную дверь</w:t>
            </w:r>
          </w:p>
        </w:tc>
      </w:tr>
    </w:tbl>
    <w:p>
      <w:pPr>
        <w:spacing w:before="0" w:after="0" w:line="240" w:lineRule="auto"/>
      </w:pPr>
      <w:r>
        <w:rPr>
          <w:rFonts w:ascii="Calibri" w:hAnsi="Calibri" w:cs="Calibri" w:eastAsia="Calibri"/>
          <w:b w:val="0"/>
          <w:i w:val="0"/>
          <w:color w:val="2C2C2C"/>
          <w:sz w:val="12"/>
        </w:rPr>
      </w:r>
    </w:p>
    <w:tbl>
      <w:tblPr>
        <w:tblW w:type="auto" w:w="0"/>
        <w:tblBorders>
          <w:top w:val="single" w:sz="4" w:space="0" w:color="DDE3EA"/>
          <w:start w:val="single" w:sz="18" w:space="0" w:color="C9A961"/>
          <w:bottom w:val="single" w:sz="4" w:space="0" w:color="DDE3EA"/>
          <w:end w:val="single" w:sz="4" w:space="0" w:color="DDE3EA"/>
          <w:insideH w:val="none" w:sz="0" w:space="0" w:color="auto"/>
          <w:insideV w:val="none" w:sz="0" w:space="0" w:color="auto"/>
        </w:tblBorders>
        <w:tblLayout w:type="fixed"/>
        <w:tblLook w:firstColumn="1" w:firstRow="1" w:lastColumn="0" w:lastRow="0" w:noHBand="0" w:noVBand="1" w:val="04A0"/>
      </w:tblPr>
      <w:tblGrid>
        <w:gridCol w:w="9558"/>
      </w:tblGrid>
      <w:tr>
        <w:tc>
          <w:tcPr>
            <w:tcW w:type="dxa" w:w="9558"/>
            <w:shd w:val="clear" w:color="auto" w:fill="FFFFFF"/>
            <w:tcMar>
              <w:top w:w="160" w:type="dxa"/>
              <w:start w:w="240" w:type="dxa"/>
              <w:bottom w:w="160" w:type="dxa"/>
              <w:end w:w="240" w:type="dxa"/>
            </w:tcMar>
          </w:tcPr>
          <w:p>
            <w:pPr>
              <w:spacing w:after="140"/>
            </w:pPr>
            <w:r>
              <w:rPr>
                <w:rFonts w:ascii="Calibri" w:hAnsi="Calibri" w:cs="Calibri" w:eastAsia="Calibri"/>
                <w:b/>
                <w:i w:val="0"/>
                <w:color w:val="1A3A5C"/>
                <w:spacing w:val="24"/>
                <w:sz w:val="21"/>
              </w:rPr>
              <w:t>ТЕХНИЧЕСКИЕ ХАРАКТЕРИСТИКИ</w:t>
            </w:r>
          </w:p>
          <w:p>
            <w:pPr>
              <w:keepNext w:val="1"/>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i w:val="0"/>
                <w:color w:val="1A3A5C"/>
                <w:sz w:val="20"/>
              </w:rPr>
              <w:t>Офисное здание</w:t>
            </w:r>
            <w:r>
              <w:rPr>
                <w:rFonts w:ascii="Calibri" w:hAnsi="Calibri" w:cs="Calibri" w:eastAsia="Calibri"/>
                <w:b w:val="0"/>
                <w:i w:val="0"/>
                <w:color w:val="2C2C2C"/>
                <w:sz w:val="20"/>
              </w:rPr>
              <w:t xml:space="preserve"> — </w:t>
            </w:r>
            <w:r>
              <w:rPr>
                <w:rFonts w:ascii="Calibri" w:hAnsi="Calibri" w:cs="Calibri" w:eastAsia="Calibri"/>
                <w:b w:val="0"/>
                <w:i w:val="0"/>
                <w:color w:val="2C2C2C"/>
                <w:sz w:val="20"/>
              </w:rPr>
              <w:t>постройка 1979 года: бетонный свайный фундамент (betonnen paalfundering), кирпичная кладка с частичной облицовкой панелями Trespa, бетонные перекрытия, деревянные оконные рамы из твёрдых пород с двойным остеклением</w:t>
            </w:r>
          </w:p>
          <w:p>
            <w:pPr>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i w:val="0"/>
                <w:color w:val="1A3A5C"/>
                <w:sz w:val="20"/>
              </w:rPr>
              <w:t>Кровля офиса</w:t>
            </w:r>
            <w:r>
              <w:rPr>
                <w:rFonts w:ascii="Calibri" w:hAnsi="Calibri" w:cs="Calibri" w:eastAsia="Calibri"/>
                <w:b w:val="0"/>
                <w:i w:val="0"/>
                <w:color w:val="2C2C2C"/>
                <w:sz w:val="20"/>
              </w:rPr>
              <w:t xml:space="preserve"> — </w:t>
            </w:r>
            <w:r>
              <w:rPr>
                <w:rFonts w:ascii="Calibri" w:hAnsi="Calibri" w:cs="Calibri" w:eastAsia="Calibri"/>
                <w:b w:val="0"/>
                <w:i w:val="0"/>
                <w:color w:val="2C2C2C"/>
                <w:sz w:val="20"/>
              </w:rPr>
              <w:t>плоская, битумно-гравийное покрытие; отремонтирована и частично заменена ориентировочно в 2024 году (по данным листинга), сверху смонтирована солнечная электростанция</w:t>
            </w:r>
          </w:p>
          <w:p>
            <w:pPr>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i w:val="0"/>
                <w:color w:val="1A3A5C"/>
                <w:sz w:val="20"/>
              </w:rPr>
              <w:t>Энергетический сертификат офиса</w:t>
            </w:r>
            <w:r>
              <w:rPr>
                <w:rFonts w:ascii="Calibri" w:hAnsi="Calibri" w:cs="Calibri" w:eastAsia="Calibri"/>
                <w:b w:val="0"/>
                <w:i w:val="0"/>
                <w:color w:val="2C2C2C"/>
                <w:sz w:val="20"/>
              </w:rPr>
              <w:t xml:space="preserve"> — </w:t>
            </w:r>
            <w:r>
              <w:rPr>
                <w:rFonts w:ascii="Calibri" w:hAnsi="Calibri" w:cs="Calibri" w:eastAsia="Calibri"/>
                <w:b w:val="0"/>
                <w:i w:val="0"/>
                <w:color w:val="2C2C2C"/>
                <w:sz w:val="20"/>
              </w:rPr>
              <w:t>класс B, действителен до 24‑06‑2036</w:t>
            </w:r>
          </w:p>
          <w:p>
            <w:pPr>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i w:val="0"/>
                <w:color w:val="1A3A5C"/>
                <w:sz w:val="20"/>
              </w:rPr>
              <w:t>Производственный цех</w:t>
            </w:r>
            <w:r>
              <w:rPr>
                <w:rFonts w:ascii="Calibri" w:hAnsi="Calibri" w:cs="Calibri" w:eastAsia="Calibri"/>
                <w:b w:val="0"/>
                <w:i w:val="0"/>
                <w:color w:val="2C2C2C"/>
                <w:sz w:val="20"/>
              </w:rPr>
              <w:t xml:space="preserve"> — </w:t>
            </w:r>
            <w:r>
              <w:rPr>
                <w:rFonts w:ascii="Calibri" w:hAnsi="Calibri" w:cs="Calibri" w:eastAsia="Calibri"/>
                <w:b w:val="0"/>
                <w:i w:val="0"/>
                <w:color w:val="2C2C2C"/>
                <w:sz w:val="20"/>
              </w:rPr>
              <w:t>постройка 2019 года: стальной каркас, бетонный пол, ограждающие конструкции из металлических сэндвич-панелей, плоская кровля, два пластиковых оконных блока с двойным остеклением на фасаде</w:t>
            </w:r>
          </w:p>
          <w:p>
            <w:pPr>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i w:val="0"/>
                <w:color w:val="1A3A5C"/>
                <w:sz w:val="20"/>
              </w:rPr>
              <w:t>Входы и оснащение цеха</w:t>
            </w:r>
            <w:r>
              <w:rPr>
                <w:rFonts w:ascii="Calibri" w:hAnsi="Calibri" w:cs="Calibri" w:eastAsia="Calibri"/>
                <w:b w:val="0"/>
                <w:i w:val="0"/>
                <w:color w:val="2C2C2C"/>
                <w:sz w:val="20"/>
              </w:rPr>
              <w:t xml:space="preserve"> — </w:t>
            </w:r>
            <w:r>
              <w:rPr>
                <w:rFonts w:ascii="Calibri" w:hAnsi="Calibri" w:cs="Calibri" w:eastAsia="Calibri"/>
                <w:b w:val="0"/>
                <w:i w:val="0"/>
                <w:color w:val="2C2C2C"/>
                <w:sz w:val="20"/>
              </w:rPr>
              <w:t>электрические секционные ворота (overheaddeur) и отдельная входная дверь; внутри — антресоль для лёгкого хранения, рабочее место, мини-кухня с холодной водой, туалет и обеспеченное охлаждение помещения</w:t>
            </w:r>
          </w:p>
          <w:p>
            <w:pPr>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i w:val="0"/>
                <w:color w:val="1A3A5C"/>
                <w:sz w:val="20"/>
              </w:rPr>
              <w:t>Высоты цеха</w:t>
            </w:r>
            <w:r>
              <w:rPr>
                <w:rFonts w:ascii="Calibri" w:hAnsi="Calibri" w:cs="Calibri" w:eastAsia="Calibri"/>
                <w:b w:val="0"/>
                <w:i w:val="0"/>
                <w:color w:val="2C2C2C"/>
                <w:sz w:val="20"/>
              </w:rPr>
              <w:t xml:space="preserve"> — </w:t>
            </w:r>
            <w:r>
              <w:rPr>
                <w:rFonts w:ascii="Calibri" w:hAnsi="Calibri" w:cs="Calibri" w:eastAsia="Calibri"/>
                <w:b w:val="0"/>
                <w:i w:val="0"/>
                <w:color w:val="2C2C2C"/>
                <w:sz w:val="20"/>
              </w:rPr>
              <w:t>свободная высота ≈ 6,04 м, до антресоли ≈ 2,08 м, на антресоли ≈ 3,14 м</w:t>
            </w:r>
          </w:p>
          <w:p>
            <w:pPr>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i w:val="0"/>
                <w:color w:val="1A3A5C"/>
                <w:sz w:val="20"/>
              </w:rPr>
              <w:t>Несущая способность пола</w:t>
            </w:r>
            <w:r>
              <w:rPr>
                <w:rFonts w:ascii="Calibri" w:hAnsi="Calibri" w:cs="Calibri" w:eastAsia="Calibri"/>
                <w:b w:val="0"/>
                <w:i w:val="0"/>
                <w:color w:val="2C2C2C"/>
                <w:sz w:val="20"/>
              </w:rPr>
              <w:t xml:space="preserve"> — </w:t>
            </w:r>
            <w:r>
              <w:rPr>
                <w:rFonts w:ascii="Calibri" w:hAnsi="Calibri" w:cs="Calibri" w:eastAsia="Calibri"/>
                <w:b w:val="0"/>
                <w:i w:val="0"/>
                <w:color w:val="2C2C2C"/>
                <w:sz w:val="20"/>
              </w:rPr>
              <w:t>официально не установлена; оценочно ≈ 1.000 кг/м² — подтверждается конструктивным расчётом при осмотре</w:t>
            </w:r>
          </w:p>
          <w:p>
            <w:pPr>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i w:val="0"/>
                <w:color w:val="1A3A5C"/>
                <w:sz w:val="20"/>
              </w:rPr>
              <w:t>Инженерные системы</w:t>
            </w:r>
            <w:r>
              <w:rPr>
                <w:rFonts w:ascii="Calibri" w:hAnsi="Calibri" w:cs="Calibri" w:eastAsia="Calibri"/>
                <w:b w:val="0"/>
                <w:i w:val="0"/>
                <w:color w:val="2C2C2C"/>
                <w:sz w:val="20"/>
              </w:rPr>
              <w:t xml:space="preserve"> — </w:t>
            </w:r>
            <w:r>
              <w:rPr>
                <w:rFonts w:ascii="Calibri" w:hAnsi="Calibri" w:cs="Calibri" w:eastAsia="Calibri"/>
                <w:b w:val="0"/>
                <w:i w:val="0"/>
                <w:color w:val="2C2C2C"/>
                <w:sz w:val="20"/>
              </w:rPr>
              <w:t>состав отопления, вентиляции и электроснабжения в листинге не раскрыт — уточняется при осмотре и по исполнительной документации</w:t>
            </w:r>
          </w:p>
        </w:tc>
      </w:tr>
    </w:tbl>
    <w:p>
      <w:pPr>
        <w:spacing w:before="0" w:after="0" w:line="240" w:lineRule="auto"/>
      </w:pPr>
      <w:r>
        <w:rPr>
          <w:rFonts w:ascii="Calibri" w:hAnsi="Calibri" w:cs="Calibri" w:eastAsia="Calibri"/>
          <w:b w:val="0"/>
          <w:i w:val="0"/>
          <w:color w:val="2C2C2C"/>
          <w:sz w:val="12"/>
        </w:rPr>
      </w:r>
    </w:p>
    <w:tbl>
      <w:tblPr>
        <w:tblW w:type="auto" w:w="0"/>
        <w:tblBorders>
          <w:top w:val="single" w:sz="4" w:space="0" w:color="DDE3EA"/>
          <w:start w:val="single" w:sz="18" w:space="0" w:color="C9A961"/>
          <w:bottom w:val="single" w:sz="4" w:space="0" w:color="DDE3EA"/>
          <w:end w:val="single" w:sz="4" w:space="0" w:color="DDE3EA"/>
          <w:insideH w:val="none" w:sz="0" w:space="0" w:color="auto"/>
          <w:insideV w:val="none" w:sz="0" w:space="0" w:color="auto"/>
        </w:tblBorders>
        <w:tblLayout w:type="fixed"/>
        <w:tblLook w:firstColumn="1" w:firstRow="1" w:lastColumn="0" w:lastRow="0" w:noHBand="0" w:noVBand="1" w:val="04A0"/>
      </w:tblPr>
      <w:tblGrid>
        <w:gridCol w:w="9558"/>
      </w:tblGrid>
      <w:tr>
        <w:tc>
          <w:tcPr>
            <w:tcW w:type="dxa" w:w="9558"/>
            <w:shd w:val="clear" w:color="auto" w:fill="FFFFFF"/>
            <w:tcMar>
              <w:top w:w="160" w:type="dxa"/>
              <w:start w:w="240" w:type="dxa"/>
              <w:bottom w:w="160" w:type="dxa"/>
              <w:end w:w="240" w:type="dxa"/>
            </w:tcMar>
          </w:tcPr>
          <w:p>
            <w:pPr>
              <w:spacing w:after="140"/>
            </w:pPr>
            <w:r>
              <w:rPr>
                <w:rFonts w:ascii="Calibri" w:hAnsi="Calibri" w:cs="Calibri" w:eastAsia="Calibri"/>
                <w:b/>
                <w:i w:val="0"/>
                <w:color w:val="1A3A5C"/>
                <w:spacing w:val="24"/>
                <w:sz w:val="21"/>
              </w:rPr>
              <w:t>АРЕНДА И АРЕНДАТОРЫ</w:t>
            </w:r>
          </w:p>
          <w:p>
            <w:pPr>
              <w:keepNext w:val="1"/>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val="0"/>
                <w:i w:val="0"/>
                <w:color w:val="2C2C2C"/>
                <w:sz w:val="20"/>
              </w:rPr>
              <w:t>Арендатор: PixioDigital NL B.V., объект сдан целиком</w:t>
            </w:r>
          </w:p>
          <w:p>
            <w:pPr>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val="0"/>
                <w:i w:val="0"/>
                <w:color w:val="2C2C2C"/>
                <w:sz w:val="20"/>
              </w:rPr>
              <w:t>Схема сделки: обратная аренда (sale-and-lease-back) — продавец остаётся пользователем помещений</w:t>
            </w:r>
          </w:p>
          <w:p>
            <w:pPr>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val="0"/>
                <w:i w:val="0"/>
                <w:color w:val="2C2C2C"/>
                <w:sz w:val="20"/>
              </w:rPr>
              <w:t>Арендная плата: € 73.300 в год плюс НДС</w:t>
            </w:r>
          </w:p>
          <w:p>
            <w:pPr>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val="0"/>
                <w:i w:val="0"/>
                <w:color w:val="2C2C2C"/>
                <w:sz w:val="20"/>
              </w:rPr>
              <w:t>Срок договора аренды: 10 лет; запрашиваемая цена € 975.000 k.k. указана при договоре на этот срок</w:t>
            </w:r>
          </w:p>
          <w:p>
            <w:pPr>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val="0"/>
                <w:i w:val="0"/>
                <w:color w:val="2C2C2C"/>
                <w:sz w:val="20"/>
              </w:rPr>
              <w:t>Заполняемость: 100 %, вакантных площадей нет</w:t>
            </w:r>
          </w:p>
          <w:p>
            <w:pPr>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val="0"/>
                <w:i w:val="0"/>
                <w:color w:val="2C2C2C"/>
                <w:sz w:val="20"/>
              </w:rPr>
              <w:t>Рыночная арендная стоимость в листинге не указана — доходность считается от договорной аренды</w:t>
            </w:r>
          </w:p>
          <w:p>
            <w:pPr>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val="0"/>
                <w:i w:val="0"/>
                <w:color w:val="2C2C2C"/>
                <w:sz w:val="20"/>
              </w:rPr>
              <w:t>Передача: в арендованном состоянии, «как есть» (as is, where is)</w:t>
            </w:r>
          </w:p>
          <w:p>
            <w:pPr>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val="0"/>
                <w:i w:val="0"/>
                <w:color w:val="2C2C2C"/>
                <w:sz w:val="20"/>
              </w:rPr>
              <w:t>WALT ≈ 10 лет — срок нового договора при sale-and-lease-back; дата начала аренды в листинге не указана, остаточный срок подтвердить по подписанному договору</w:t>
            </w:r>
          </w:p>
        </w:tc>
      </w:tr>
    </w:tbl>
    <w:p>
      <w:pPr>
        <w:spacing w:before="0" w:after="0" w:line="240" w:lineRule="auto"/>
      </w:pPr>
      <w:r>
        <w:rPr>
          <w:rFonts w:ascii="Calibri" w:hAnsi="Calibri" w:cs="Calibri" w:eastAsia="Calibri"/>
          <w:b w:val="0"/>
          <w:i w:val="0"/>
          <w:color w:val="2C2C2C"/>
          <w:sz w:val="12"/>
        </w:rPr>
      </w:r>
    </w:p>
    <w:tbl>
      <w:tblPr>
        <w:tblW w:type="auto" w:w="0"/>
        <w:tblBorders>
          <w:top w:val="single" w:sz="4" w:space="0" w:color="DDE3EA"/>
          <w:start w:val="single" w:sz="18" w:space="0" w:color="C9A961"/>
          <w:bottom w:val="single" w:sz="4" w:space="0" w:color="DDE3EA"/>
          <w:end w:val="single" w:sz="4" w:space="0" w:color="DDE3EA"/>
          <w:insideH w:val="none" w:sz="0" w:space="0" w:color="auto"/>
          <w:insideV w:val="none" w:sz="0" w:space="0" w:color="auto"/>
        </w:tblBorders>
        <w:tblLayout w:type="fixed"/>
        <w:tblLook w:firstColumn="1" w:firstRow="1" w:lastColumn="0" w:lastRow="0" w:noHBand="0" w:noVBand="1" w:val="04A0"/>
      </w:tblPr>
      <w:tblGrid>
        <w:gridCol w:w="9558"/>
      </w:tblGrid>
      <w:tr>
        <w:tc>
          <w:tcPr>
            <w:tcW w:type="dxa" w:w="9558"/>
            <w:shd w:val="clear" w:color="auto" w:fill="FFFFFF"/>
            <w:tcMar>
              <w:top w:w="160" w:type="dxa"/>
              <w:start w:w="240" w:type="dxa"/>
              <w:bottom w:w="160" w:type="dxa"/>
              <w:end w:w="240" w:type="dxa"/>
            </w:tcMar>
          </w:tcPr>
          <w:p>
            <w:pPr>
              <w:spacing w:after="140"/>
            </w:pPr>
            <w:r>
              <w:rPr>
                <w:rFonts w:ascii="Calibri" w:hAnsi="Calibri" w:cs="Calibri" w:eastAsia="Calibri"/>
                <w:b/>
                <w:i w:val="0"/>
                <w:color w:val="1A3A5C"/>
                <w:spacing w:val="24"/>
                <w:sz w:val="21"/>
              </w:rPr>
              <w:t>УЧАСТОК, КАДАСТР И НАЗНАЧЕНИЕ</w:t>
            </w:r>
          </w:p>
          <w:p>
            <w:pPr>
              <w:keepNext w:val="1"/>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val="0"/>
                <w:i w:val="0"/>
                <w:color w:val="2C2C2C"/>
                <w:sz w:val="20"/>
              </w:rPr>
              <w:t>Площадь участка: 964 м², собственная земля (volle eigendom, 100 %)</w:t>
            </w:r>
          </w:p>
          <w:p>
            <w:pPr>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val="0"/>
                <w:i w:val="0"/>
                <w:color w:val="2C2C2C"/>
                <w:sz w:val="20"/>
              </w:rPr>
              <w:t>Кадастровые данные: муниципалитет Montfoort, секция A, номер 3741, площадь 964 м²</w:t>
            </w:r>
          </w:p>
          <w:p>
            <w:pPr>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val="0"/>
                <w:i w:val="0"/>
                <w:color w:val="2C2C2C"/>
                <w:sz w:val="20"/>
              </w:rPr>
              <w:t>Кадастровое описание: bedrijvigheid (kantoor) — предпринимательская деятельность (офис)</w:t>
            </w:r>
          </w:p>
          <w:p>
            <w:pPr>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val="0"/>
                <w:i w:val="0"/>
                <w:color w:val="2C2C2C"/>
                <w:sz w:val="20"/>
              </w:rPr>
              <w:t>Назначение (bestemming): Bedrijventerrein — предприятия, офисы, услуги и служебное жильё</w:t>
            </w:r>
          </w:p>
          <w:p>
            <w:pPr>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val="0"/>
                <w:i w:val="0"/>
                <w:color w:val="2C2C2C"/>
                <w:sz w:val="20"/>
              </w:rPr>
              <w:t>Парковка: 15 мест на собственной территории, одно оборудовано зарядной станцией</w:t>
            </w:r>
          </w:p>
        </w:tc>
      </w:tr>
    </w:tbl>
    <w:p>
      <w:pPr>
        <w:spacing w:before="0" w:after="0" w:line="240" w:lineRule="auto"/>
      </w:pPr>
      <w:r>
        <w:rPr>
          <w:rFonts w:ascii="Calibri" w:hAnsi="Calibri" w:cs="Calibri" w:eastAsia="Calibri"/>
          <w:b w:val="0"/>
          <w:i w:val="0"/>
          <w:color w:val="2C2C2C"/>
          <w:sz w:val="12"/>
        </w:rPr>
      </w:r>
    </w:p>
    <w:tbl>
      <w:tblPr>
        <w:tblW w:type="auto" w:w="0"/>
        <w:tblBorders>
          <w:top w:val="single" w:sz="4" w:space="0" w:color="DDE3EA"/>
          <w:start w:val="single" w:sz="18" w:space="0" w:color="C9A961"/>
          <w:bottom w:val="single" w:sz="4" w:space="0" w:color="DDE3EA"/>
          <w:end w:val="single" w:sz="4" w:space="0" w:color="DDE3EA"/>
          <w:insideH w:val="none" w:sz="0" w:space="0" w:color="auto"/>
          <w:insideV w:val="none" w:sz="0" w:space="0" w:color="auto"/>
        </w:tblBorders>
        <w:tblLayout w:type="fixed"/>
        <w:tblLook w:firstColumn="1" w:firstRow="1" w:lastColumn="0" w:lastRow="0" w:noHBand="0" w:noVBand="1" w:val="04A0"/>
      </w:tblPr>
      <w:tblGrid>
        <w:gridCol w:w="9558"/>
      </w:tblGrid>
      <w:tr>
        <w:tc>
          <w:tcPr>
            <w:tcW w:type="dxa" w:w="9558"/>
            <w:shd w:val="clear" w:color="auto" w:fill="FFFFFF"/>
            <w:tcMar>
              <w:top w:w="160" w:type="dxa"/>
              <w:start w:w="240" w:type="dxa"/>
              <w:bottom w:w="160" w:type="dxa"/>
              <w:end w:w="240" w:type="dxa"/>
            </w:tcMar>
          </w:tcPr>
          <w:p>
            <w:pPr>
              <w:spacing w:after="140"/>
            </w:pPr>
            <w:r>
              <w:rPr>
                <w:rFonts w:ascii="Calibri" w:hAnsi="Calibri" w:cs="Calibri" w:eastAsia="Calibri"/>
                <w:b/>
                <w:i w:val="0"/>
                <w:color w:val="1A3A5C"/>
                <w:spacing w:val="24"/>
                <w:sz w:val="21"/>
              </w:rPr>
              <w:t>РАСПОЛОЖЕНИЕ И ДОСТУПНОСТЬ</w:t>
            </w:r>
          </w:p>
          <w:p>
            <w:pPr>
              <w:keepNext w:val="1"/>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val="0"/>
                <w:i w:val="0"/>
                <w:color w:val="2C2C2C"/>
                <w:sz w:val="20"/>
              </w:rPr>
              <w:t>Промышленный парк IJsselveld (≈ 50 га), примыкающий к реке Холландсе-Эйссел</w:t>
            </w:r>
          </w:p>
          <w:p>
            <w:pPr>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val="0"/>
                <w:i w:val="0"/>
                <w:color w:val="2C2C2C"/>
                <w:sz w:val="20"/>
              </w:rPr>
              <w:t>Федеральная трасса A12 — ≈ 5 км через N205, съезд 14 (Woerden), ≈ 7 минут</w:t>
            </w:r>
          </w:p>
          <w:p>
            <w:pPr>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val="0"/>
                <w:i w:val="0"/>
                <w:color w:val="2C2C2C"/>
                <w:sz w:val="20"/>
              </w:rPr>
              <w:t>Федеральная трасса A12 через N228 — съезд 15 (De Meern, Утрехт), ≈ 8 км, ≈ 12 минут</w:t>
            </w:r>
          </w:p>
          <w:p>
            <w:pPr>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val="0"/>
                <w:i w:val="0"/>
                <w:color w:val="2C2C2C"/>
                <w:sz w:val="20"/>
              </w:rPr>
              <w:t>Центр Монтфорта с магазинами и общественным питанием — ≈ 5 минут на автомобиле</w:t>
            </w:r>
          </w:p>
          <w:p>
            <w:pPr>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val="0"/>
                <w:i w:val="0"/>
                <w:color w:val="2C2C2C"/>
                <w:sz w:val="20"/>
              </w:rPr>
              <w:t>Автобусная остановка «Kasteelplein Montfoort» — ≈ 11 минут пешком</w:t>
            </w:r>
          </w:p>
          <w:p>
            <w:pPr>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val="0"/>
                <w:i w:val="0"/>
                <w:color w:val="2C2C2C"/>
                <w:sz w:val="20"/>
              </w:rPr>
              <w:t>Железнодорожная станция Woerden — ≈ 30 минут в пути с учётом пешей части</w:t>
            </w:r>
          </w:p>
          <w:p>
            <w:pPr>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val="0"/>
                <w:i w:val="0"/>
                <w:color w:val="2C2C2C"/>
                <w:sz w:val="20"/>
              </w:rPr>
              <w:t>В часы пик автобусы ходят 2 раза в час, вне часов пик — 1 раз в час</w:t>
            </w:r>
          </w:p>
        </w:tc>
      </w:tr>
    </w:tbl>
    <w:p>
      <w:pPr>
        <w:spacing w:before="0" w:after="0" w:line="240" w:lineRule="auto"/>
      </w:pPr>
      <w:r>
        <w:rPr>
          <w:rFonts w:ascii="Calibri" w:hAnsi="Calibri" w:cs="Calibri" w:eastAsia="Calibri"/>
          <w:b w:val="0"/>
          <w:i w:val="0"/>
          <w:color w:val="2C2C2C"/>
          <w:sz w:val="12"/>
        </w:rPr>
      </w:r>
    </w:p>
    <w:tbl>
      <w:tblPr>
        <w:tblW w:type="auto" w:w="0"/>
        <w:tblBorders>
          <w:top w:val="single" w:sz="4" w:space="0" w:color="DDE3EA"/>
          <w:start w:val="single" w:sz="18" w:space="0" w:color="C9A961"/>
          <w:bottom w:val="single" w:sz="4" w:space="0" w:color="DDE3EA"/>
          <w:end w:val="single" w:sz="4" w:space="0" w:color="DDE3EA"/>
          <w:insideH w:val="none" w:sz="0" w:space="0" w:color="auto"/>
          <w:insideV w:val="none" w:sz="0" w:space="0" w:color="auto"/>
        </w:tblBorders>
        <w:tblLayout w:type="fixed"/>
        <w:tblLook w:firstColumn="1" w:firstRow="1" w:lastColumn="0" w:lastRow="0" w:noHBand="0" w:noVBand="1" w:val="04A0"/>
      </w:tblPr>
      <w:tblGrid>
        <w:gridCol w:w="9558"/>
      </w:tblGrid>
      <w:tr>
        <w:tc>
          <w:tcPr>
            <w:tcW w:type="dxa" w:w="9558"/>
            <w:shd w:val="clear" w:color="auto" w:fill="FFFFFF"/>
            <w:tcMar>
              <w:top w:w="160" w:type="dxa"/>
              <w:start w:w="240" w:type="dxa"/>
              <w:bottom w:w="160" w:type="dxa"/>
              <w:end w:w="240" w:type="dxa"/>
            </w:tcMar>
          </w:tcPr>
          <w:p>
            <w:pPr>
              <w:spacing w:after="140"/>
            </w:pPr>
            <w:r>
              <w:rPr>
                <w:rFonts w:ascii="Calibri" w:hAnsi="Calibri" w:cs="Calibri" w:eastAsia="Calibri"/>
                <w:b/>
                <w:i w:val="0"/>
                <w:color w:val="1A3A5C"/>
                <w:spacing w:val="24"/>
                <w:sz w:val="21"/>
              </w:rPr>
              <w:t>ОСОБЕННОСТИ И СТАТУС</w:t>
            </w:r>
          </w:p>
          <w:p>
            <w:pPr>
              <w:keepNext w:val="1"/>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val="0"/>
                <w:i w:val="0"/>
                <w:color w:val="2C2C2C"/>
                <w:sz w:val="20"/>
              </w:rPr>
              <w:t>Полная собственность земли (volle eigendom, 100 %)</w:t>
            </w:r>
          </w:p>
          <w:p>
            <w:pPr>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val="0"/>
                <w:i w:val="0"/>
                <w:color w:val="2C2C2C"/>
                <w:sz w:val="20"/>
              </w:rPr>
              <w:t>Объект полностью сдан в аренду одному пользователю</w:t>
            </w:r>
          </w:p>
          <w:p>
            <w:pPr>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val="0"/>
                <w:i w:val="0"/>
                <w:color w:val="2C2C2C"/>
                <w:sz w:val="20"/>
              </w:rPr>
              <w:t>Продажа с действующим арендатором по схеме обратной аренды (sale-and-lease-back)</w:t>
            </w:r>
          </w:p>
          <w:p>
            <w:pPr>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val="0"/>
                <w:i w:val="0"/>
                <w:color w:val="2C2C2C"/>
                <w:sz w:val="20"/>
              </w:rPr>
              <w:t>Солнечная электростанция на крыше офисного здания</w:t>
            </w:r>
          </w:p>
          <w:p>
            <w:pPr>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val="0"/>
                <w:i w:val="0"/>
                <w:color w:val="2C2C2C"/>
                <w:sz w:val="20"/>
              </w:rPr>
              <w:t>Передача: сразу (per direct beschikbaar), в арендованном состоянии</w:t>
            </w:r>
          </w:p>
          <w:p>
            <w:pPr>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val="0"/>
                <w:i w:val="0"/>
                <w:color w:val="2C2C2C"/>
                <w:sz w:val="20"/>
              </w:rPr>
              <w:t>Брокер: Ans de Wijn Bedrijfshuisvesting B.V., тел. 030‑2322303</w:t>
            </w:r>
          </w:p>
        </w:tc>
      </w:tr>
    </w:tbl>
    <w:p>
      <w:pPr>
        <w:spacing w:before="0" w:after="0" w:line="240" w:lineRule="auto"/>
      </w:pPr>
      <w:r>
        <w:rPr>
          <w:rFonts w:ascii="Calibri" w:hAnsi="Calibri" w:cs="Calibri" w:eastAsia="Calibri"/>
          <w:b w:val="0"/>
          <w:i w:val="0"/>
          <w:color w:val="2C2C2C"/>
          <w:sz w:val="12"/>
        </w:rPr>
      </w:r>
    </w:p>
    <w:tbl>
      <w:tblPr>
        <w:tblW w:type="auto" w:w="0"/>
        <w:tblBorders>
          <w:top w:val="single" w:sz="4" w:space="0" w:color="DDE3EA"/>
          <w:start w:val="single" w:sz="18" w:space="0" w:color="1A3A5C"/>
          <w:bottom w:val="single" w:sz="4" w:space="0" w:color="DDE3EA"/>
          <w:end w:val="single" w:sz="4" w:space="0" w:color="DDE3EA"/>
          <w:insideH w:val="none" w:sz="0" w:space="0" w:color="auto"/>
          <w:insideV w:val="none" w:sz="0" w:space="0" w:color="auto"/>
        </w:tblBorders>
        <w:tblLayout w:type="fixed"/>
        <w:tblLook w:firstColumn="1" w:firstRow="1" w:lastColumn="0" w:lastRow="0" w:noHBand="0" w:noVBand="1" w:val="04A0"/>
      </w:tblPr>
      <w:tblGrid>
        <w:gridCol w:w="9558"/>
      </w:tblGrid>
      <w:tr>
        <w:tc>
          <w:tcPr>
            <w:tcW w:type="dxa" w:w="9558"/>
            <w:shd w:val="clear" w:color="auto" w:fill="F4F7FA"/>
            <w:tcMar>
              <w:top w:w="160" w:type="dxa"/>
              <w:start w:w="240" w:type="dxa"/>
              <w:bottom w:w="160" w:type="dxa"/>
              <w:end w:w="240" w:type="dxa"/>
            </w:tcMar>
          </w:tcPr>
          <w:p>
            <w:pPr>
              <w:spacing w:after="140"/>
            </w:pPr>
            <w:r>
              <w:rPr>
                <w:rFonts w:ascii="Calibri" w:hAnsi="Calibri" w:cs="Calibri" w:eastAsia="Calibri"/>
                <w:b/>
                <w:i w:val="0"/>
                <w:color w:val="1A3A5C"/>
                <w:spacing w:val="24"/>
                <w:sz w:val="21"/>
              </w:rPr>
              <w:t>КЛЮЧЕВЫЕ РИСКИ И ПРОВЕРКИ</w:t>
            </w:r>
          </w:p>
          <w:p>
            <w:pPr>
              <w:keepNext w:val="1"/>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i w:val="0"/>
                <w:color w:val="1A3A5C"/>
                <w:sz w:val="20"/>
              </w:rPr>
              <w:t>Рыночность арендной ставки</w:t>
            </w:r>
            <w:r>
              <w:rPr>
                <w:rFonts w:ascii="Calibri" w:hAnsi="Calibri" w:cs="Calibri" w:eastAsia="Calibri"/>
                <w:b w:val="0"/>
                <w:i w:val="0"/>
                <w:color w:val="2C2C2C"/>
                <w:sz w:val="20"/>
              </w:rPr>
              <w:t xml:space="preserve"> — </w:t>
            </w:r>
            <w:r>
              <w:rPr>
                <w:rFonts w:ascii="Calibri" w:hAnsi="Calibri" w:cs="Calibri" w:eastAsia="Calibri"/>
                <w:b w:val="0"/>
                <w:i w:val="0"/>
                <w:color w:val="2C2C2C"/>
                <w:sz w:val="20"/>
              </w:rPr>
              <w:t>Средневзвешенная ставка по договору — ≈ € 119/м² в год (€ 73.300 на 616 м²), тогда как соседние объявления по Монтфорту показывают заметно более низкие запрашиваемые ставки: Mastwijkerdijk 108‑A — € 60/м² в год, IJsselveld 5A — € 58/м² в год; уровни € 90–130/м² в год встречаются лишь у мелких блоков площадью 24–85 м², где цена метра всегда выше (по действующим публикациям funda in business по Монтфорту, июль 2026 года). Это типичный признак превышения рыночного уровня (overrent) при обратной аренде. Запросить независимое определение арендной стоимости (huurwaardebepaling) у оценщика с регистрацией NRVT — с раздельными ставками по офису и цеху и подборкой сделок по IJsselveld за 24 месяца — и пересчитать BAR к цене входа на рыночной аренде, учитывая, что налог на переход права для нежилой недвижимости в 2026 году составляет 10,4 % (объявленное снижение до 8 % касается только жилья).</w:t>
            </w:r>
          </w:p>
          <w:p>
            <w:pPr>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i w:val="0"/>
                <w:color w:val="1A3A5C"/>
                <w:sz w:val="20"/>
              </w:rPr>
              <w:t>Кредитное качество арендатора и связанность сторон</w:t>
            </w:r>
            <w:r>
              <w:rPr>
                <w:rFonts w:ascii="Calibri" w:hAnsi="Calibri" w:cs="Calibri" w:eastAsia="Calibri"/>
                <w:b w:val="0"/>
                <w:i w:val="0"/>
                <w:color w:val="2C2C2C"/>
                <w:sz w:val="20"/>
              </w:rPr>
              <w:t xml:space="preserve"> — </w:t>
            </w:r>
            <w:r>
              <w:rPr>
                <w:rFonts w:ascii="Calibri" w:hAnsi="Calibri" w:cs="Calibri" w:eastAsia="Calibri"/>
                <w:b w:val="0"/>
                <w:i w:val="0"/>
                <w:color w:val="2C2C2C"/>
                <w:sz w:val="20"/>
              </w:rPr>
              <w:t>Заполняемость 100 % при единственном арендаторе — это не диверсификация, а риск по принципу «всё или ничего»: неплатёжеспособность PixioDigital NL B.V. обнуляет денежный поток, а при обратной аренде (sale-and-lease-back) продавец и арендатор аффилированы, то есть договор мог быть составлен под цену продажи, а не под рынок. Запросить выписку из торгового реестра (KvK) с датой основания, конечными бенефициарами и структурой группы, депонированную годовую отчётность за три года, кредитную оценку (Graydon, Creditsafe) и подтверждение обеспечения — банковскую гарантию (bankgarantie) или гарантийный депозит (waarborgsom) не менее чем на три месяца, при слабом балансе — гарантию группы. Отдельно сверить дату подписания договора аренды с датой сделки и фактические платежи за 12 месяцев по банковским выпискам, чтобы исключить скрытые скидки и период освобождения от арендной платы (huurvrije periode).</w:t>
            </w:r>
          </w:p>
          <w:p>
            <w:pPr>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i w:val="0"/>
                <w:color w:val="1A3A5C"/>
                <w:sz w:val="20"/>
              </w:rPr>
              <w:t>Срок простоя и выход из инвестиции</w:t>
            </w:r>
            <w:r>
              <w:rPr>
                <w:rFonts w:ascii="Calibri" w:hAnsi="Calibri" w:cs="Calibri" w:eastAsia="Calibri"/>
                <w:b w:val="0"/>
                <w:i w:val="0"/>
                <w:color w:val="2C2C2C"/>
                <w:sz w:val="20"/>
              </w:rPr>
              <w:t xml:space="preserve"> — </w:t>
            </w:r>
            <w:r>
              <w:rPr>
                <w:rFonts w:ascii="Calibri" w:hAnsi="Calibri" w:cs="Calibri" w:eastAsia="Calibri"/>
                <w:b w:val="0"/>
                <w:i w:val="0"/>
                <w:color w:val="2C2C2C"/>
                <w:sz w:val="20"/>
              </w:rPr>
              <w:t>Договор на 10 лет выглядит комфортно, но основной риск сосредоточен в моменте пересдачи в аренду: офис 1979 года постройки во второстепенной локации сдаётся медленно, а при рыночной ставке ниже договорной складываются падение дохода, льготы новому арендатору, брокерское вознаграждение и ремонт под нового пользователя. Заложить в модель консервативный период простоя — ориентировочно 6–12 месяцев — и подтвердить его фактическими сроками экспозиции сопоставимых помещений по объявлениям funda in business (Монтфорт и парк IJsselveld, июль 2026 года). Проверить делимость объекта на самостоятельные блоки: отдельные входы, приборы учёта, возможность сдавать цех и офис порознь. В открытых объявлениях по адресу Steenovenweg 11 фигурируют отдельные единицы A и B — уточнить по кадастровому объекту Montfoort, секция A, номер 3741, что именно входит в сделку и нет ли субаренды (onderhuur).</w:t>
            </w:r>
          </w:p>
          <w:p>
            <w:pPr>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i w:val="0"/>
                <w:color w:val="1A3A5C"/>
                <w:sz w:val="20"/>
              </w:rPr>
              <w:t>Условия договора и механизм индексации</w:t>
            </w:r>
            <w:r>
              <w:rPr>
                <w:rFonts w:ascii="Calibri" w:hAnsi="Calibri" w:cs="Calibri" w:eastAsia="Calibri"/>
                <w:b w:val="0"/>
                <w:i w:val="0"/>
                <w:color w:val="2C2C2C"/>
                <w:sz w:val="20"/>
              </w:rPr>
              <w:t xml:space="preserve"> — </w:t>
            </w:r>
            <w:r>
              <w:rPr>
                <w:rFonts w:ascii="Calibri" w:hAnsi="Calibri" w:cs="Calibri" w:eastAsia="Calibri"/>
                <w:b w:val="0"/>
                <w:i w:val="0"/>
                <w:color w:val="2C2C2C"/>
                <w:sz w:val="20"/>
              </w:rPr>
              <w:t>Установить, использована ли типовая модель ROZ для офисных помещений (kantoorruimte, ст. 7:230a Гражданского кодекса Нидерландов — BW) редакции 2015 года или обновлённая редакция 2025 года, и какой механизм индексации выбран: в новых моделях привязка к индексу потребительских цен (CPI) больше не обязательна — допустимы фиксированный процент, иной индекс или полный отказ от индексации, что прямо определяет реальную доходность на десять лет. Проверить наличие у арендатора права досрочного расторжения (break-optie, часто на пятом году), структуру эксплуатационных платежей (servicekosten), распределение обслуживания по разграничительному перечню ROZ (demarcatielijst) и обязанность восстановить состояние помещений при выезде. Для помещений по ст. 7:230a BW законной процедуры пересмотра арендной платы (huurprijsherziening) нет, поэтому всё, что не закреплено в договоре, позже не отыграть.</w:t>
            </w:r>
          </w:p>
          <w:p>
            <w:pPr>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i w:val="0"/>
                <w:color w:val="1A3A5C"/>
                <w:sz w:val="20"/>
              </w:rPr>
              <w:t>Статус аренды по НДС</w:t>
            </w:r>
            <w:r>
              <w:rPr>
                <w:rFonts w:ascii="Calibri" w:hAnsi="Calibri" w:cs="Calibri" w:eastAsia="Calibri"/>
                <w:b w:val="0"/>
                <w:i w:val="0"/>
                <w:color w:val="2C2C2C"/>
                <w:sz w:val="20"/>
              </w:rPr>
              <w:t xml:space="preserve"> — </w:t>
            </w:r>
            <w:r>
              <w:rPr>
                <w:rFonts w:ascii="Calibri" w:hAnsi="Calibri" w:cs="Calibri" w:eastAsia="Calibri"/>
                <w:b w:val="0"/>
                <w:i w:val="0"/>
                <w:color w:val="2C2C2C"/>
                <w:sz w:val="20"/>
              </w:rPr>
              <w:t>Проверить, оформлена ли аренда как облагаемая НДС (btw-belaste verhuur) — опцией в договоре либо совместным заявлением в налоговую службу (Belastingdienst) — и выполняет ли арендатор 90-процентный критерий облагаемого использования: при его нарушении опция отпадает задним числом и собственник теряет вычет по расходам. Цех 2019 года постройки и солнечные панели с высокой вероятностью ещё находятся в периоде корректировки вычета (herzieningstermijn — для недвижимости это год ввода в эксплуатацию плюс девять последующих лет), поэтому переход на освобождённую аренду грозит возвратом ранее вычтенного НДС (herziening). Запросить положения договора о НДС, год первого использования цеха, историю вычетов и заключение налогового консультанта о применимости ст. 37d Закона об НДС (art. 37d Wet OB).</w:t>
            </w:r>
          </w:p>
          <w:p>
            <w:pPr>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i w:val="0"/>
                <w:color w:val="1A3A5C"/>
                <w:sz w:val="20"/>
              </w:rPr>
              <w:t>Энергетические требования к офисной части</w:t>
            </w:r>
            <w:r>
              <w:rPr>
                <w:rFonts w:ascii="Calibri" w:hAnsi="Calibri" w:cs="Calibri" w:eastAsia="Calibri"/>
                <w:b w:val="0"/>
                <w:i w:val="0"/>
                <w:color w:val="2C2C2C"/>
                <w:sz w:val="20"/>
              </w:rPr>
              <w:t xml:space="preserve"> — </w:t>
            </w:r>
            <w:r>
              <w:rPr>
                <w:rFonts w:ascii="Calibri" w:hAnsi="Calibri" w:cs="Calibri" w:eastAsia="Calibri"/>
                <w:b w:val="0"/>
                <w:i w:val="0"/>
                <w:color w:val="2C2C2C"/>
                <w:sz w:val="20"/>
              </w:rPr>
              <w:t>Офис занимает 368 из 616 м², то есть ≈ 59,7 % площади здания, поэтому исключение из обязанности иметь класс C для зданий, где офисная функция занимает менее 50 % полезной площади (gebruiksoppervlakte), здесь не действует — требование применяется в полном объёме. Заявленный класс B со сроком действия до 24‑06‑2036 формально эту обязанность закрывает и является плюсом объекта, но проверить фактическую регистрацию сертификата в реестре EP-online именно на этот кадастровый объект и его охват — всё здание или только офисная часть. Учесть, что с 29‑05‑2026 в рамках директивы EPBD IV меняются форма и содержание энергетического сертификата, а требования к офисам могут ужесточаться, — заложить капитальные затраты на возможное повышение класса на горизонте владения.</w:t>
            </w:r>
          </w:p>
          <w:p>
            <w:pPr>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i w:val="0"/>
                <w:color w:val="1A3A5C"/>
                <w:sz w:val="20"/>
              </w:rPr>
              <w:t>Скрытые дефекты при передаче «как есть»</w:t>
            </w:r>
            <w:r>
              <w:rPr>
                <w:rFonts w:ascii="Calibri" w:hAnsi="Calibri" w:cs="Calibri" w:eastAsia="Calibri"/>
                <w:b w:val="0"/>
                <w:i w:val="0"/>
                <w:color w:val="2C2C2C"/>
                <w:sz w:val="20"/>
              </w:rPr>
              <w:t xml:space="preserve"> — </w:t>
            </w:r>
            <w:r>
              <w:rPr>
                <w:rFonts w:ascii="Calibri" w:hAnsi="Calibri" w:cs="Calibri" w:eastAsia="Calibri"/>
                <w:b w:val="0"/>
                <w:i w:val="0"/>
                <w:color w:val="2C2C2C"/>
                <w:sz w:val="20"/>
              </w:rPr>
              <w:t>Передача в состоянии «как есть» (as is, where is) перекладывает на покупателя все скрытые дефекты, поэтому обследования заказать до подписания, а не после. По экологии: разведочное обследование грунта (verkennend bodemonderzoek) по стандарту NEN 5740 с учётом ПФАС (PFAS), проверка реестра bodemloket и архива муниципалитета и природоохранной службы (omgevingsdienst) на исторические решения о загрязнении (WBB-beschikking ernst en spoedeisendheid, ныне в режиме Omgevingswet / Aanvullingswet bodem), инвентаризация асбеста типа A (asbestinventarisatie type A) — офисная часть 1979 года попадает в период до 1994 года. По технике: заказать конструктивное обследование (constructieve keuring) с расчётом нагрузки на пол (vloerbelasting), поскольку 1.000 кг/м² — оценка, а не установленный факт, инспекцию по NEN 2767 и план обслуживания на десять лет (MJOP). Отдельно подтвердить правовой статус солнечных панелей: собственность, лизинг, право застройки (opstalrecht), субсидия SDE и принадлежность выработки.</w:t>
            </w:r>
          </w:p>
          <w:p>
            <w:pPr>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i w:val="0"/>
                <w:color w:val="1A3A5C"/>
                <w:sz w:val="20"/>
              </w:rPr>
              <w:t>Допустимая доля офиса в назначении участка</w:t>
            </w:r>
            <w:r>
              <w:rPr>
                <w:rFonts w:ascii="Calibri" w:hAnsi="Calibri" w:cs="Calibri" w:eastAsia="Calibri"/>
                <w:b w:val="0"/>
                <w:i w:val="0"/>
                <w:color w:val="2C2C2C"/>
                <w:sz w:val="20"/>
              </w:rPr>
              <w:t xml:space="preserve"> — </w:t>
            </w:r>
            <w:r>
              <w:rPr>
                <w:rFonts w:ascii="Calibri" w:hAnsi="Calibri" w:cs="Calibri" w:eastAsia="Calibri"/>
                <w:b w:val="0"/>
                <w:i w:val="0"/>
                <w:color w:val="2C2C2C"/>
                <w:sz w:val="20"/>
              </w:rPr>
              <w:t>Назначение «Bedrijventerrein» обычно допускает офис только как подчинённую функцию с ограничением доли площади, а здесь офис занимает почти 60 % здания при арендаторе с цифровым профилем; если текущее использование держится лишь на переходном праве (overgangsrecht), круг будущих арендаторов резко сужается. Проверить действующий план застройки (bestemmingsplan / omgevingsplan) через omgevingswet.overheid.nl: категорию воздействия на среду (milieucategorie), допустимую долю офисных площадей, пятно застройки (bouwvlak) и норматив парковки в сопоставлении с 15 имеющимися местами на участке 964 м². Запросить разрешение (omgevingsvergunning) и документы приёмки цеха 2019 года, а также кадастровую проверку (kadastrale recherche) по объекту Montfoort, секция A, номер 3741 на предмет сервитутов (erfdienstbaarheden), квалитативных обязательств и прав третьих лиц.</w:t>
            </w:r>
          </w:p>
        </w:tc>
      </w:tr>
    </w:tbl>
    <w:p>
      <w:pPr>
        <w:spacing w:before="0" w:after="0"/>
      </w:pPr>
      <w:r>
        <w:br w:type="page"/>
      </w:r>
    </w:p>
    <w:p>
      <w:pPr>
        <w:keepNext w:val="1"/>
        <w:spacing w:before="0" w:after="0" w:line="240" w:lineRule="auto"/>
        <w:ind w:left="0" w:right="0" w:firstLine="0"/>
        <w:jc w:val="center"/>
      </w:pPr>
      <w:r>
        <w:drawing>
          <wp:inline xmlns:a="http://schemas.openxmlformats.org/drawingml/2006/main" xmlns:pic="http://schemas.openxmlformats.org/drawingml/2006/picture">
            <wp:extent cx="5810400" cy="3195719"/>
            <wp:docPr id="2" name="Picture 2"/>
            <wp:cNvGraphicFramePr>
              <a:graphicFrameLocks noChangeAspect="1"/>
            </wp:cNvGraphicFramePr>
            <a:graphic>
              <a:graphicData uri="http://schemas.openxmlformats.org/drawingml/2006/picture">
                <pic:pic>
                  <pic:nvPicPr>
                    <pic:cNvPr id="0" name="steenovenweg-11-13-montfoort-google.png"/>
                    <pic:cNvPicPr/>
                  </pic:nvPicPr>
                  <pic:blipFill>
                    <a:blip r:embed="rId15"/>
                    <a:stretch>
                      <a:fillRect/>
                    </a:stretch>
                  </pic:blipFill>
                  <pic:spPr>
                    <a:xfrm>
                      <a:off x="0" y="0"/>
                      <a:ext cx="5810400" cy="3195719"/>
                    </a:xfrm>
                    <a:prstGeom prst="rect"/>
                  </pic:spPr>
                </pic:pic>
              </a:graphicData>
            </a:graphic>
          </wp:inline>
        </w:drawing>
      </w:r>
    </w:p>
    <w:p>
      <w:pPr>
        <w:spacing w:before="60" w:after="0"/>
        <w:jc w:val="center"/>
      </w:pPr>
      <w:r>
        <w:rPr>
          <w:rFonts w:ascii="Calibri" w:hAnsi="Calibri" w:cs="Calibri" w:eastAsia="Calibri"/>
          <w:b w:val="0"/>
          <w:i/>
          <w:color w:val="5A6E80"/>
          <w:sz w:val="17"/>
        </w:rPr>
        <w:t>Расположение объекта: Montfoort</w:t>
      </w:r>
    </w:p>
    <w:p>
      <w:pPr>
        <w:keepNext w:val="1"/>
        <w:spacing w:before="280" w:after="0" w:line="240" w:lineRule="auto"/>
        <w:ind w:left="0" w:right="0" w:firstLine="0"/>
        <w:jc w:val="center"/>
      </w:pPr>
      <w:r>
        <w:drawing>
          <wp:inline xmlns:a="http://schemas.openxmlformats.org/drawingml/2006/main" xmlns:pic="http://schemas.openxmlformats.org/drawingml/2006/picture">
            <wp:extent cx="5810400" cy="3873600"/>
            <wp:docPr id="3" name="Picture 3"/>
            <wp:cNvGraphicFramePr>
              <a:graphicFrameLocks noChangeAspect="1"/>
            </wp:cNvGraphicFramePr>
            <a:graphic>
              <a:graphicData uri="http://schemas.openxmlformats.org/drawingml/2006/picture">
                <pic:pic>
                  <pic:nvPicPr>
                    <pic:cNvPr id="0" name="c9986579a8a46ab6.jpg"/>
                    <pic:cNvPicPr/>
                  </pic:nvPicPr>
                  <pic:blipFill>
                    <a:blip r:embed="rId16"/>
                    <a:stretch>
                      <a:fillRect/>
                    </a:stretch>
                  </pic:blipFill>
                  <pic:spPr>
                    <a:xfrm>
                      <a:off x="0" y="0"/>
                      <a:ext cx="5810400" cy="3873600"/>
                    </a:xfrm>
                    <a:prstGeom prst="rect"/>
                  </pic:spPr>
                </pic:pic>
              </a:graphicData>
            </a:graphic>
          </wp:inline>
        </w:drawing>
      </w:r>
    </w:p>
    <w:p>
      <w:pPr>
        <w:spacing w:before="60" w:after="0"/>
        <w:jc w:val="center"/>
      </w:pPr>
      <w:r>
        <w:rPr>
          <w:rFonts w:ascii="Calibri" w:hAnsi="Calibri" w:cs="Calibri" w:eastAsia="Calibri"/>
          <w:b w:val="0"/>
          <w:i/>
          <w:color w:val="5A6E80"/>
          <w:sz w:val="17"/>
        </w:rPr>
        <w:t>Внутренний двор с парковкой и подъездом к производственному цеху</w:t>
      </w:r>
    </w:p>
    <w:p>
      <w:pPr>
        <w:spacing w:before="0" w:after="0"/>
      </w:pPr>
      <w:r>
        <w:br w:type="page"/>
      </w:r>
    </w:p>
    <w:p>
      <w:pPr>
        <w:keepNext w:val="1"/>
        <w:spacing w:before="0" w:after="0" w:line="240" w:lineRule="auto"/>
        <w:ind w:left="0" w:right="0" w:firstLine="0"/>
        <w:jc w:val="center"/>
      </w:pPr>
      <w:r>
        <w:drawing>
          <wp:inline xmlns:a="http://schemas.openxmlformats.org/drawingml/2006/main" xmlns:pic="http://schemas.openxmlformats.org/drawingml/2006/picture">
            <wp:extent cx="5810400" cy="3873600"/>
            <wp:docPr id="4" name="Picture 4"/>
            <wp:cNvGraphicFramePr>
              <a:graphicFrameLocks noChangeAspect="1"/>
            </wp:cNvGraphicFramePr>
            <a:graphic>
              <a:graphicData uri="http://schemas.openxmlformats.org/drawingml/2006/picture">
                <pic:pic>
                  <pic:nvPicPr>
                    <pic:cNvPr id="0" name="b2ce42b4ee225565.jpg"/>
                    <pic:cNvPicPr/>
                  </pic:nvPicPr>
                  <pic:blipFill>
                    <a:blip r:embed="rId17"/>
                    <a:stretch>
                      <a:fillRect/>
                    </a:stretch>
                  </pic:blipFill>
                  <pic:spPr>
                    <a:xfrm>
                      <a:off x="0" y="0"/>
                      <a:ext cx="5810400" cy="3873600"/>
                    </a:xfrm>
                    <a:prstGeom prst="rect"/>
                  </pic:spPr>
                </pic:pic>
              </a:graphicData>
            </a:graphic>
          </wp:inline>
        </w:drawing>
      </w:r>
    </w:p>
    <w:p>
      <w:pPr>
        <w:spacing w:before="60" w:after="0"/>
        <w:jc w:val="center"/>
      </w:pPr>
      <w:r>
        <w:rPr>
          <w:rFonts w:ascii="Calibri" w:hAnsi="Calibri" w:cs="Calibri" w:eastAsia="Calibri"/>
          <w:b w:val="0"/>
          <w:i/>
          <w:color w:val="5A6E80"/>
          <w:sz w:val="17"/>
        </w:rPr>
        <w:t>Производственный цех: секционные ворота и погрузочная зона</w:t>
      </w:r>
    </w:p>
    <w:p>
      <w:pPr>
        <w:keepNext w:val="1"/>
        <w:spacing w:before="280" w:after="0" w:line="240" w:lineRule="auto"/>
        <w:ind w:left="0" w:right="0" w:firstLine="0"/>
        <w:jc w:val="center"/>
      </w:pPr>
      <w:r>
        <w:drawing>
          <wp:inline xmlns:a="http://schemas.openxmlformats.org/drawingml/2006/main" xmlns:pic="http://schemas.openxmlformats.org/drawingml/2006/picture">
            <wp:extent cx="5810400" cy="3873600"/>
            <wp:docPr id="5" name="Picture 5"/>
            <wp:cNvGraphicFramePr>
              <a:graphicFrameLocks noChangeAspect="1"/>
            </wp:cNvGraphicFramePr>
            <a:graphic>
              <a:graphicData uri="http://schemas.openxmlformats.org/drawingml/2006/picture">
                <pic:pic>
                  <pic:nvPicPr>
                    <pic:cNvPr id="0" name="abaaa923b6d34b59.jpg"/>
                    <pic:cNvPicPr/>
                  </pic:nvPicPr>
                  <pic:blipFill>
                    <a:blip r:embed="rId18"/>
                    <a:stretch>
                      <a:fillRect/>
                    </a:stretch>
                  </pic:blipFill>
                  <pic:spPr>
                    <a:xfrm>
                      <a:off x="0" y="0"/>
                      <a:ext cx="5810400" cy="3873600"/>
                    </a:xfrm>
                    <a:prstGeom prst="rect"/>
                  </pic:spPr>
                </pic:pic>
              </a:graphicData>
            </a:graphic>
          </wp:inline>
        </w:drawing>
      </w:r>
    </w:p>
    <w:p>
      <w:pPr>
        <w:spacing w:before="60" w:after="0"/>
        <w:jc w:val="center"/>
      </w:pPr>
      <w:r>
        <w:rPr>
          <w:rFonts w:ascii="Calibri" w:hAnsi="Calibri" w:cs="Calibri" w:eastAsia="Calibri"/>
          <w:b w:val="0"/>
          <w:i/>
          <w:color w:val="5A6E80"/>
          <w:sz w:val="17"/>
        </w:rPr>
        <w:t>Главный вход и зона приёма посетителей арендатора PixioDigital</w:t>
      </w:r>
    </w:p>
    <w:p>
      <w:pPr>
        <w:spacing w:before="0" w:after="0"/>
      </w:pPr>
      <w:r>
        <w:br w:type="page"/>
      </w:r>
    </w:p>
    <w:p>
      <w:pPr>
        <w:keepNext w:val="1"/>
        <w:spacing w:before="0" w:after="0" w:line="240" w:lineRule="auto"/>
        <w:ind w:left="0" w:right="0" w:firstLine="0"/>
        <w:jc w:val="center"/>
      </w:pPr>
      <w:r>
        <w:drawing>
          <wp:inline xmlns:a="http://schemas.openxmlformats.org/drawingml/2006/main" xmlns:pic="http://schemas.openxmlformats.org/drawingml/2006/picture">
            <wp:extent cx="5810400" cy="3873600"/>
            <wp:docPr id="6" name="Picture 6"/>
            <wp:cNvGraphicFramePr>
              <a:graphicFrameLocks noChangeAspect="1"/>
            </wp:cNvGraphicFramePr>
            <a:graphic>
              <a:graphicData uri="http://schemas.openxmlformats.org/drawingml/2006/picture">
                <pic:pic>
                  <pic:nvPicPr>
                    <pic:cNvPr id="0" name="6d90a1d2f3a2bdc9.jpg"/>
                    <pic:cNvPicPr/>
                  </pic:nvPicPr>
                  <pic:blipFill>
                    <a:blip r:embed="rId19"/>
                    <a:stretch>
                      <a:fillRect/>
                    </a:stretch>
                  </pic:blipFill>
                  <pic:spPr>
                    <a:xfrm>
                      <a:off x="0" y="0"/>
                      <a:ext cx="5810400" cy="3873600"/>
                    </a:xfrm>
                    <a:prstGeom prst="rect"/>
                  </pic:spPr>
                </pic:pic>
              </a:graphicData>
            </a:graphic>
          </wp:inline>
        </w:drawing>
      </w:r>
    </w:p>
    <w:p>
      <w:pPr>
        <w:spacing w:before="60" w:after="0"/>
        <w:jc w:val="center"/>
      </w:pPr>
      <w:r>
        <w:rPr>
          <w:rFonts w:ascii="Calibri" w:hAnsi="Calibri" w:cs="Calibri" w:eastAsia="Calibri"/>
          <w:b w:val="0"/>
          <w:i/>
          <w:color w:val="5A6E80"/>
          <w:sz w:val="17"/>
        </w:rPr>
        <w:t>Зона приёма посетителей, реечный деревянный потолок</w:t>
      </w:r>
    </w:p>
    <w:p>
      <w:pPr>
        <w:keepNext w:val="1"/>
        <w:spacing w:before="280" w:after="0" w:line="240" w:lineRule="auto"/>
        <w:ind w:left="0" w:right="0" w:firstLine="0"/>
        <w:jc w:val="center"/>
      </w:pPr>
      <w:r>
        <w:drawing>
          <wp:inline xmlns:a="http://schemas.openxmlformats.org/drawingml/2006/main" xmlns:pic="http://schemas.openxmlformats.org/drawingml/2006/picture">
            <wp:extent cx="5810400" cy="3873600"/>
            <wp:docPr id="7" name="Picture 7"/>
            <wp:cNvGraphicFramePr>
              <a:graphicFrameLocks noChangeAspect="1"/>
            </wp:cNvGraphicFramePr>
            <a:graphic>
              <a:graphicData uri="http://schemas.openxmlformats.org/drawingml/2006/picture">
                <pic:pic>
                  <pic:nvPicPr>
                    <pic:cNvPr id="0" name="ad45bbf9a8637bf9.jpg"/>
                    <pic:cNvPicPr/>
                  </pic:nvPicPr>
                  <pic:blipFill>
                    <a:blip r:embed="rId20"/>
                    <a:stretch>
                      <a:fillRect/>
                    </a:stretch>
                  </pic:blipFill>
                  <pic:spPr>
                    <a:xfrm>
                      <a:off x="0" y="0"/>
                      <a:ext cx="5810400" cy="3873600"/>
                    </a:xfrm>
                    <a:prstGeom prst="rect"/>
                  </pic:spPr>
                </pic:pic>
              </a:graphicData>
            </a:graphic>
          </wp:inline>
        </w:drawing>
      </w:r>
    </w:p>
    <w:p>
      <w:pPr>
        <w:spacing w:before="60" w:after="0"/>
        <w:jc w:val="center"/>
      </w:pPr>
      <w:r>
        <w:rPr>
          <w:rFonts w:ascii="Calibri" w:hAnsi="Calibri" w:cs="Calibri" w:eastAsia="Calibri"/>
          <w:b w:val="0"/>
          <w:i/>
          <w:color w:val="5A6E80"/>
          <w:sz w:val="17"/>
        </w:rPr>
        <w:t>Коридор офисной части со стеклянными перегородками</w:t>
      </w:r>
    </w:p>
    <w:p>
      <w:pPr>
        <w:spacing w:before="0" w:after="0"/>
      </w:pPr>
      <w:r>
        <w:br w:type="page"/>
      </w:r>
    </w:p>
    <w:p>
      <w:pPr>
        <w:keepNext w:val="1"/>
        <w:spacing w:before="0" w:after="0" w:line="240" w:lineRule="auto"/>
        <w:ind w:left="0" w:right="0" w:firstLine="0"/>
        <w:jc w:val="center"/>
      </w:pPr>
      <w:r>
        <w:drawing>
          <wp:inline xmlns:a="http://schemas.openxmlformats.org/drawingml/2006/main" xmlns:pic="http://schemas.openxmlformats.org/drawingml/2006/picture">
            <wp:extent cx="5810400" cy="3873600"/>
            <wp:docPr id="8" name="Picture 8"/>
            <wp:cNvGraphicFramePr>
              <a:graphicFrameLocks noChangeAspect="1"/>
            </wp:cNvGraphicFramePr>
            <a:graphic>
              <a:graphicData uri="http://schemas.openxmlformats.org/drawingml/2006/picture">
                <pic:pic>
                  <pic:nvPicPr>
                    <pic:cNvPr id="0" name="d84cc6d8681e11f0.jpg"/>
                    <pic:cNvPicPr/>
                  </pic:nvPicPr>
                  <pic:blipFill>
                    <a:blip r:embed="rId21"/>
                    <a:stretch>
                      <a:fillRect/>
                    </a:stretch>
                  </pic:blipFill>
                  <pic:spPr>
                    <a:xfrm>
                      <a:off x="0" y="0"/>
                      <a:ext cx="5810400" cy="3873600"/>
                    </a:xfrm>
                    <a:prstGeom prst="rect"/>
                  </pic:spPr>
                </pic:pic>
              </a:graphicData>
            </a:graphic>
          </wp:inline>
        </w:drawing>
      </w:r>
    </w:p>
    <w:p>
      <w:pPr>
        <w:spacing w:before="60" w:after="0"/>
        <w:jc w:val="center"/>
      </w:pPr>
      <w:r>
        <w:rPr>
          <w:rFonts w:ascii="Calibri" w:hAnsi="Calibri" w:cs="Calibri" w:eastAsia="Calibri"/>
          <w:b w:val="0"/>
          <w:i/>
          <w:color w:val="5A6E80"/>
          <w:sz w:val="17"/>
        </w:rPr>
        <w:t>Внутренний коридор офисной части</w:t>
      </w:r>
    </w:p>
    <w:p>
      <w:pPr>
        <w:keepNext w:val="1"/>
        <w:spacing w:before="280" w:after="0" w:line="240" w:lineRule="auto"/>
        <w:ind w:left="0" w:right="0" w:firstLine="0"/>
        <w:jc w:val="center"/>
      </w:pPr>
      <w:r>
        <w:drawing>
          <wp:inline xmlns:a="http://schemas.openxmlformats.org/drawingml/2006/main" xmlns:pic="http://schemas.openxmlformats.org/drawingml/2006/picture">
            <wp:extent cx="5810400" cy="3873600"/>
            <wp:docPr id="9" name="Picture 9"/>
            <wp:cNvGraphicFramePr>
              <a:graphicFrameLocks noChangeAspect="1"/>
            </wp:cNvGraphicFramePr>
            <a:graphic>
              <a:graphicData uri="http://schemas.openxmlformats.org/drawingml/2006/picture">
                <pic:pic>
                  <pic:nvPicPr>
                    <pic:cNvPr id="0" name="4744f7e9e9b30823.jpg"/>
                    <pic:cNvPicPr/>
                  </pic:nvPicPr>
                  <pic:blipFill>
                    <a:blip r:embed="rId22"/>
                    <a:stretch>
                      <a:fillRect/>
                    </a:stretch>
                  </pic:blipFill>
                  <pic:spPr>
                    <a:xfrm>
                      <a:off x="0" y="0"/>
                      <a:ext cx="5810400" cy="3873600"/>
                    </a:xfrm>
                    <a:prstGeom prst="rect"/>
                  </pic:spPr>
                </pic:pic>
              </a:graphicData>
            </a:graphic>
          </wp:inline>
        </w:drawing>
      </w:r>
    </w:p>
    <w:p>
      <w:pPr>
        <w:spacing w:before="60" w:after="0"/>
        <w:jc w:val="center"/>
      </w:pPr>
      <w:r>
        <w:rPr>
          <w:rFonts w:ascii="Calibri" w:hAnsi="Calibri" w:cs="Calibri" w:eastAsia="Calibri"/>
          <w:b w:val="0"/>
          <w:i/>
          <w:color w:val="5A6E80"/>
          <w:sz w:val="17"/>
        </w:rPr>
        <w:t>Рабочая зона офиса с кондиционированием</w:t>
      </w:r>
    </w:p>
    <w:p>
      <w:pPr>
        <w:spacing w:before="0" w:after="0"/>
      </w:pPr>
      <w:r>
        <w:br w:type="page"/>
      </w:r>
    </w:p>
    <w:p>
      <w:pPr>
        <w:keepNext w:val="1"/>
        <w:spacing w:before="0" w:after="0" w:line="240" w:lineRule="auto"/>
        <w:ind w:left="0" w:right="0" w:firstLine="0"/>
        <w:jc w:val="center"/>
      </w:pPr>
      <w:r>
        <w:drawing>
          <wp:inline xmlns:a="http://schemas.openxmlformats.org/drawingml/2006/main" xmlns:pic="http://schemas.openxmlformats.org/drawingml/2006/picture">
            <wp:extent cx="5810400" cy="3873600"/>
            <wp:docPr id="10" name="Picture 10"/>
            <wp:cNvGraphicFramePr>
              <a:graphicFrameLocks noChangeAspect="1"/>
            </wp:cNvGraphicFramePr>
            <a:graphic>
              <a:graphicData uri="http://schemas.openxmlformats.org/drawingml/2006/picture">
                <pic:pic>
                  <pic:nvPicPr>
                    <pic:cNvPr id="0" name="5917b9a31d6e9dd6.jpg"/>
                    <pic:cNvPicPr/>
                  </pic:nvPicPr>
                  <pic:blipFill>
                    <a:blip r:embed="rId23"/>
                    <a:stretch>
                      <a:fillRect/>
                    </a:stretch>
                  </pic:blipFill>
                  <pic:spPr>
                    <a:xfrm>
                      <a:off x="0" y="0"/>
                      <a:ext cx="5810400" cy="3873600"/>
                    </a:xfrm>
                    <a:prstGeom prst="rect"/>
                  </pic:spPr>
                </pic:pic>
              </a:graphicData>
            </a:graphic>
          </wp:inline>
        </w:drawing>
      </w:r>
    </w:p>
    <w:p>
      <w:pPr>
        <w:spacing w:before="60" w:after="0"/>
        <w:jc w:val="center"/>
      </w:pPr>
      <w:r>
        <w:rPr>
          <w:rFonts w:ascii="Calibri" w:hAnsi="Calibri" w:cs="Calibri" w:eastAsia="Calibri"/>
          <w:b w:val="0"/>
          <w:i/>
          <w:color w:val="5A6E80"/>
          <w:sz w:val="17"/>
        </w:rPr>
        <w:t>Офисное помещение, второй этаж</w:t>
      </w:r>
    </w:p>
    <w:p>
      <w:pPr>
        <w:keepNext w:val="1"/>
        <w:spacing w:before="280" w:after="0" w:line="240" w:lineRule="auto"/>
        <w:ind w:left="0" w:right="0" w:firstLine="0"/>
        <w:jc w:val="center"/>
      </w:pPr>
      <w:r>
        <w:drawing>
          <wp:inline xmlns:a="http://schemas.openxmlformats.org/drawingml/2006/main" xmlns:pic="http://schemas.openxmlformats.org/drawingml/2006/picture">
            <wp:extent cx="5810400" cy="3873600"/>
            <wp:docPr id="11" name="Picture 11"/>
            <wp:cNvGraphicFramePr>
              <a:graphicFrameLocks noChangeAspect="1"/>
            </wp:cNvGraphicFramePr>
            <a:graphic>
              <a:graphicData uri="http://schemas.openxmlformats.org/drawingml/2006/picture">
                <pic:pic>
                  <pic:nvPicPr>
                    <pic:cNvPr id="0" name="89b19f8951f519c0.jpg"/>
                    <pic:cNvPicPr/>
                  </pic:nvPicPr>
                  <pic:blipFill>
                    <a:blip r:embed="rId24"/>
                    <a:stretch>
                      <a:fillRect/>
                    </a:stretch>
                  </pic:blipFill>
                  <pic:spPr>
                    <a:xfrm>
                      <a:off x="0" y="0"/>
                      <a:ext cx="5810400" cy="3873600"/>
                    </a:xfrm>
                    <a:prstGeom prst="rect"/>
                  </pic:spPr>
                </pic:pic>
              </a:graphicData>
            </a:graphic>
          </wp:inline>
        </w:drawing>
      </w:r>
    </w:p>
    <w:p>
      <w:pPr>
        <w:spacing w:before="60" w:after="0"/>
        <w:jc w:val="center"/>
      </w:pPr>
      <w:r>
        <w:rPr>
          <w:rFonts w:ascii="Calibri" w:hAnsi="Calibri" w:cs="Calibri" w:eastAsia="Calibri"/>
          <w:b w:val="0"/>
          <w:i/>
          <w:color w:val="5A6E80"/>
          <w:sz w:val="17"/>
        </w:rPr>
        <w:t>Открытая рабочая зона офиса</w:t>
      </w:r>
    </w:p>
    <w:p>
      <w:pPr>
        <w:spacing w:before="0" w:after="0"/>
      </w:pPr>
      <w:r>
        <w:br w:type="page"/>
      </w:r>
    </w:p>
    <w:p>
      <w:pPr>
        <w:keepNext w:val="1"/>
        <w:spacing w:before="0" w:after="0" w:line="240" w:lineRule="auto"/>
        <w:ind w:left="0" w:right="0" w:firstLine="0"/>
        <w:jc w:val="center"/>
      </w:pPr>
      <w:r>
        <w:drawing>
          <wp:inline xmlns:a="http://schemas.openxmlformats.org/drawingml/2006/main" xmlns:pic="http://schemas.openxmlformats.org/drawingml/2006/picture">
            <wp:extent cx="5810400" cy="3873600"/>
            <wp:docPr id="12" name="Picture 12"/>
            <wp:cNvGraphicFramePr>
              <a:graphicFrameLocks noChangeAspect="1"/>
            </wp:cNvGraphicFramePr>
            <a:graphic>
              <a:graphicData uri="http://schemas.openxmlformats.org/drawingml/2006/picture">
                <pic:pic>
                  <pic:nvPicPr>
                    <pic:cNvPr id="0" name="0299022bf6d152b0.jpg"/>
                    <pic:cNvPicPr/>
                  </pic:nvPicPr>
                  <pic:blipFill>
                    <a:blip r:embed="rId25"/>
                    <a:stretch>
                      <a:fillRect/>
                    </a:stretch>
                  </pic:blipFill>
                  <pic:spPr>
                    <a:xfrm>
                      <a:off x="0" y="0"/>
                      <a:ext cx="5810400" cy="3873600"/>
                    </a:xfrm>
                    <a:prstGeom prst="rect"/>
                  </pic:spPr>
                </pic:pic>
              </a:graphicData>
            </a:graphic>
          </wp:inline>
        </w:drawing>
      </w:r>
    </w:p>
    <w:p>
      <w:pPr>
        <w:spacing w:before="60" w:after="0"/>
        <w:jc w:val="center"/>
      </w:pPr>
      <w:r>
        <w:rPr>
          <w:rFonts w:ascii="Calibri" w:hAnsi="Calibri" w:cs="Calibri" w:eastAsia="Calibri"/>
          <w:b w:val="0"/>
          <w:i/>
          <w:color w:val="5A6E80"/>
          <w:sz w:val="17"/>
        </w:rPr>
        <w:t>Кабинет с рабочими местами</w:t>
      </w:r>
    </w:p>
    <w:p>
      <w:pPr>
        <w:keepNext w:val="1"/>
        <w:spacing w:before="280" w:after="0" w:line="240" w:lineRule="auto"/>
        <w:ind w:left="0" w:right="0" w:firstLine="0"/>
        <w:jc w:val="center"/>
      </w:pPr>
      <w:r>
        <w:drawing>
          <wp:inline xmlns:a="http://schemas.openxmlformats.org/drawingml/2006/main" xmlns:pic="http://schemas.openxmlformats.org/drawingml/2006/picture">
            <wp:extent cx="5810400" cy="3873600"/>
            <wp:docPr id="13" name="Picture 13"/>
            <wp:cNvGraphicFramePr>
              <a:graphicFrameLocks noChangeAspect="1"/>
            </wp:cNvGraphicFramePr>
            <a:graphic>
              <a:graphicData uri="http://schemas.openxmlformats.org/drawingml/2006/picture">
                <pic:pic>
                  <pic:nvPicPr>
                    <pic:cNvPr id="0" name="79068d5385e7b32a.jpg"/>
                    <pic:cNvPicPr/>
                  </pic:nvPicPr>
                  <pic:blipFill>
                    <a:blip r:embed="rId26"/>
                    <a:stretch>
                      <a:fillRect/>
                    </a:stretch>
                  </pic:blipFill>
                  <pic:spPr>
                    <a:xfrm>
                      <a:off x="0" y="0"/>
                      <a:ext cx="5810400" cy="3873600"/>
                    </a:xfrm>
                    <a:prstGeom prst="rect"/>
                  </pic:spPr>
                </pic:pic>
              </a:graphicData>
            </a:graphic>
          </wp:inline>
        </w:drawing>
      </w:r>
    </w:p>
    <w:p>
      <w:pPr>
        <w:spacing w:before="60" w:after="0"/>
        <w:jc w:val="center"/>
      </w:pPr>
      <w:r>
        <w:rPr>
          <w:rFonts w:ascii="Calibri" w:hAnsi="Calibri" w:cs="Calibri" w:eastAsia="Calibri"/>
          <w:b w:val="0"/>
          <w:i/>
          <w:color w:val="5A6E80"/>
          <w:sz w:val="17"/>
        </w:rPr>
        <w:t>Зона ожидания и переговоров у окна</w:t>
      </w:r>
    </w:p>
    <w:p>
      <w:pPr>
        <w:spacing w:before="0" w:after="0"/>
      </w:pPr>
      <w:r>
        <w:br w:type="page"/>
      </w:r>
    </w:p>
    <w:p>
      <w:pPr>
        <w:keepNext w:val="1"/>
        <w:spacing w:before="0" w:after="0" w:line="240" w:lineRule="auto"/>
        <w:ind w:left="0" w:right="0" w:firstLine="0"/>
        <w:jc w:val="center"/>
      </w:pPr>
      <w:r>
        <w:drawing>
          <wp:inline xmlns:a="http://schemas.openxmlformats.org/drawingml/2006/main" xmlns:pic="http://schemas.openxmlformats.org/drawingml/2006/picture">
            <wp:extent cx="3926200" cy="2617466"/>
            <wp:docPr id="14" name="Picture 14"/>
            <wp:cNvGraphicFramePr>
              <a:graphicFrameLocks noChangeAspect="1"/>
            </wp:cNvGraphicFramePr>
            <a:graphic>
              <a:graphicData uri="http://schemas.openxmlformats.org/drawingml/2006/picture">
                <pic:pic>
                  <pic:nvPicPr>
                    <pic:cNvPr id="0" name="e99f67d4e85488bb.jpg"/>
                    <pic:cNvPicPr/>
                  </pic:nvPicPr>
                  <pic:blipFill>
                    <a:blip r:embed="rId27"/>
                    <a:stretch>
                      <a:fillRect/>
                    </a:stretch>
                  </pic:blipFill>
                  <pic:spPr>
                    <a:xfrm>
                      <a:off x="0" y="0"/>
                      <a:ext cx="3926200" cy="2617466"/>
                    </a:xfrm>
                    <a:prstGeom prst="rect"/>
                  </pic:spPr>
                </pic:pic>
              </a:graphicData>
            </a:graphic>
          </wp:inline>
        </w:drawing>
      </w:r>
    </w:p>
    <w:p>
      <w:pPr>
        <w:spacing w:before="60" w:after="0"/>
        <w:jc w:val="center"/>
      </w:pPr>
      <w:r>
        <w:rPr>
          <w:rFonts w:ascii="Calibri" w:hAnsi="Calibri" w:cs="Calibri" w:eastAsia="Calibri"/>
          <w:b w:val="0"/>
          <w:i/>
          <w:color w:val="5A6E80"/>
          <w:sz w:val="17"/>
        </w:rPr>
        <w:t>Производственный цех: стеллажи и рабочая зона</w:t>
      </w:r>
    </w:p>
    <w:p>
      <w:pPr>
        <w:keepNext w:val="1"/>
        <w:spacing w:before="280" w:after="0" w:line="240" w:lineRule="auto"/>
        <w:ind w:left="0" w:right="0" w:firstLine="0"/>
        <w:jc w:val="center"/>
      </w:pPr>
      <w:r>
        <w:drawing>
          <wp:inline xmlns:a="http://schemas.openxmlformats.org/drawingml/2006/main" xmlns:pic="http://schemas.openxmlformats.org/drawingml/2006/picture">
            <wp:extent cx="3926200" cy="2617466"/>
            <wp:docPr id="15" name="Picture 15"/>
            <wp:cNvGraphicFramePr>
              <a:graphicFrameLocks noChangeAspect="1"/>
            </wp:cNvGraphicFramePr>
            <a:graphic>
              <a:graphicData uri="http://schemas.openxmlformats.org/drawingml/2006/picture">
                <pic:pic>
                  <pic:nvPicPr>
                    <pic:cNvPr id="0" name="4cbc88930853c2c4.jpg"/>
                    <pic:cNvPicPr/>
                  </pic:nvPicPr>
                  <pic:blipFill>
                    <a:blip r:embed="rId28"/>
                    <a:stretch>
                      <a:fillRect/>
                    </a:stretch>
                  </pic:blipFill>
                  <pic:spPr>
                    <a:xfrm>
                      <a:off x="0" y="0"/>
                      <a:ext cx="3926200" cy="2617466"/>
                    </a:xfrm>
                    <a:prstGeom prst="rect"/>
                  </pic:spPr>
                </pic:pic>
              </a:graphicData>
            </a:graphic>
          </wp:inline>
        </w:drawing>
      </w:r>
    </w:p>
    <w:p>
      <w:pPr>
        <w:spacing w:before="60" w:after="0"/>
        <w:jc w:val="center"/>
      </w:pPr>
      <w:r>
        <w:rPr>
          <w:rFonts w:ascii="Calibri" w:hAnsi="Calibri" w:cs="Calibri" w:eastAsia="Calibri"/>
          <w:b w:val="0"/>
          <w:i/>
          <w:color w:val="5A6E80"/>
          <w:sz w:val="17"/>
        </w:rPr>
        <w:t>Цех: складская зона и погрузочная техника</w:t>
      </w:r>
    </w:p>
    <w:p>
      <w:pPr>
        <w:keepNext w:val="1"/>
        <w:spacing w:before="280" w:after="0" w:line="240" w:lineRule="auto"/>
        <w:ind w:left="0" w:right="0" w:firstLine="0"/>
        <w:jc w:val="center"/>
      </w:pPr>
      <w:r>
        <w:drawing>
          <wp:inline xmlns:a="http://schemas.openxmlformats.org/drawingml/2006/main" xmlns:pic="http://schemas.openxmlformats.org/drawingml/2006/picture">
            <wp:extent cx="3926200" cy="2617466"/>
            <wp:docPr id="16" name="Picture 16"/>
            <wp:cNvGraphicFramePr>
              <a:graphicFrameLocks noChangeAspect="1"/>
            </wp:cNvGraphicFramePr>
            <a:graphic>
              <a:graphicData uri="http://schemas.openxmlformats.org/drawingml/2006/picture">
                <pic:pic>
                  <pic:nvPicPr>
                    <pic:cNvPr id="0" name="be5fb29c5b21c04e.jpg"/>
                    <pic:cNvPicPr/>
                  </pic:nvPicPr>
                  <pic:blipFill>
                    <a:blip r:embed="rId29"/>
                    <a:stretch>
                      <a:fillRect/>
                    </a:stretch>
                  </pic:blipFill>
                  <pic:spPr>
                    <a:xfrm>
                      <a:off x="0" y="0"/>
                      <a:ext cx="3926200" cy="2617466"/>
                    </a:xfrm>
                    <a:prstGeom prst="rect"/>
                  </pic:spPr>
                </pic:pic>
              </a:graphicData>
            </a:graphic>
          </wp:inline>
        </w:drawing>
      </w:r>
    </w:p>
    <w:p>
      <w:pPr>
        <w:spacing w:before="60" w:after="0"/>
        <w:jc w:val="center"/>
      </w:pPr>
      <w:r>
        <w:rPr>
          <w:rFonts w:ascii="Calibri" w:hAnsi="Calibri" w:cs="Calibri" w:eastAsia="Calibri"/>
          <w:b w:val="0"/>
          <w:i/>
          <w:color w:val="5A6E80"/>
          <w:sz w:val="17"/>
        </w:rPr>
        <w:t>Антресольный этаж в производственном цехе</w:t>
      </w:r>
    </w:p>
    <w:p>
      <w:pPr>
        <w:sectPr>
          <w:headerReference w:type="default" r:id="rId11"/>
          <w:footerReference w:type="default" r:id="rId12"/>
          <w:pgSz w:w="11906" w:h="16838"/>
          <w:pgMar w:top="1077" w:right="1174" w:bottom="1134" w:left="1174" w:header="680" w:footer="680" w:gutter="0"/>
          <w:cols w:space="720"/>
          <w:docGrid w:linePitch="360"/>
        </w:sectPr>
      </w:pPr>
    </w:p>
    <w:p>
      <w:pPr>
        <w:pBdr>
          <w:bottom w:val="single" w:sz="16" w:space="1" w:color="C9A961"/>
        </w:pBdr>
        <w:spacing w:before="0" w:after="200" w:line="240" w:lineRule="auto"/>
      </w:pPr>
    </w:p>
    <w:p>
      <w:pPr>
        <w:pStyle w:val="Heading1"/>
        <w:spacing w:before="0" w:after="80"/>
      </w:pPr>
      <w:r>
        <w:rPr>
          <w:rFonts w:ascii="Calibri" w:hAnsi="Calibri" w:cs="Calibri" w:eastAsia="Calibri"/>
          <w:b/>
          <w:i w:val="0"/>
          <w:color w:val="1A3A5C"/>
          <w:sz w:val="32"/>
        </w:rPr>
        <w:t>Decimalaan 3‑5‑7‑9 и Nieuw‑Amsterdamlaan 4‑6, Utrecht</w:t>
      </w:r>
    </w:p>
    <w:tbl>
      <w:tblPr>
        <w:tblW w:type="auto" w:w="0"/>
        <w:jc w:val="left"/>
        <w:tblBorders>
          <w:top w:val="none" w:sz="0" w:space="0" w:color="auto"/>
          <w:start w:val="none" w:sz="0" w:space="0" w:color="auto"/>
          <w:bottom w:val="none" w:sz="0" w:space="0" w:color="auto"/>
          <w:end w:val="none" w:sz="0" w:space="0" w:color="auto"/>
          <w:insideH w:val="none" w:sz="0" w:space="0" w:color="auto"/>
          <w:insideV w:val="none" w:sz="0" w:space="0" w:color="auto"/>
        </w:tblBorders>
        <w:tblLayout w:type="fixed"/>
        <w:tblLook w:firstColumn="1" w:firstRow="1" w:lastColumn="0" w:lastRow="0" w:noHBand="0" w:noVBand="1" w:val="04A0"/>
      </w:tblPr>
      <w:tblGrid>
        <w:gridCol w:w="1155"/>
        <w:gridCol w:w="120"/>
        <w:gridCol w:w="1385"/>
        <w:gridCol w:w="120"/>
        <w:gridCol w:w="1466"/>
        <w:gridCol w:w="5313"/>
      </w:tblGrid>
      <w:tr>
        <w:trPr>
          <w:cantSplit w:val="1"/>
        </w:trPr>
        <w:tc>
          <w:tcPr>
            <w:tcW w:type="dxa" w:w="1155"/>
            <w:shd w:val="clear" w:color="auto" w:fill="F7EFD9"/>
            <w:noWrap w:val="1"/>
            <w:tcMar>
              <w:top w:w="60" w:type="dxa"/>
              <w:start w:w="140" w:type="dxa"/>
              <w:bottom w:w="60" w:type="dxa"/>
              <w:end w:w="140" w:type="dxa"/>
            </w:tcMar>
          </w:tcPr>
          <w:p>
            <w:pPr>
              <w:spacing w:after="0"/>
              <w:jc w:val="center"/>
            </w:pPr>
            <w:r>
              <w:rPr>
                <w:rFonts w:ascii="Calibri" w:hAnsi="Calibri" w:cs="Calibri" w:eastAsia="Calibri"/>
                <w:b/>
                <w:i w:val="0"/>
                <w:color w:val="1A3A5C"/>
                <w:sz w:val="16"/>
              </w:rPr>
              <w:t>100 % сдано</w:t>
            </w:r>
          </w:p>
        </w:tc>
        <w:tc>
          <w:tcPr>
            <w:tcW w:type="dxa" w:w="120"/>
            <w:tcMar>
              <w:top w:w="0" w:type="dxa"/>
              <w:start w:w="0" w:type="dxa"/>
              <w:bottom w:w="0" w:type="dxa"/>
              <w:end w:w="0" w:type="dxa"/>
            </w:tcMar>
          </w:tcPr>
          <w:p>
            <w:pPr>
              <w:spacing w:after="0"/>
            </w:pPr>
          </w:p>
        </w:tc>
        <w:tc>
          <w:tcPr>
            <w:tcW w:type="dxa" w:w="1385"/>
            <w:shd w:val="clear" w:color="auto" w:fill="F7EFD9"/>
            <w:noWrap w:val="1"/>
            <w:tcMar>
              <w:top w:w="60" w:type="dxa"/>
              <w:start w:w="140" w:type="dxa"/>
              <w:bottom w:w="60" w:type="dxa"/>
              <w:end w:w="140" w:type="dxa"/>
            </w:tcMar>
          </w:tcPr>
          <w:p>
            <w:pPr>
              <w:spacing w:after="0"/>
              <w:jc w:val="center"/>
            </w:pPr>
            <w:r>
              <w:rPr>
                <w:rFonts w:ascii="Calibri" w:hAnsi="Calibri" w:cs="Calibri" w:eastAsia="Calibri"/>
                <w:b/>
                <w:i w:val="0"/>
                <w:color w:val="1A3A5C"/>
                <w:sz w:val="16"/>
              </w:rPr>
              <w:t>WALT ≈ 2,4 года</w:t>
            </w:r>
          </w:p>
        </w:tc>
        <w:tc>
          <w:tcPr>
            <w:tcW w:type="dxa" w:w="120"/>
            <w:tcMar>
              <w:top w:w="0" w:type="dxa"/>
              <w:start w:w="0" w:type="dxa"/>
              <w:bottom w:w="0" w:type="dxa"/>
              <w:end w:w="0" w:type="dxa"/>
            </w:tcMar>
          </w:tcPr>
          <w:p>
            <w:pPr>
              <w:spacing w:after="0"/>
            </w:pPr>
          </w:p>
        </w:tc>
        <w:tc>
          <w:tcPr>
            <w:tcW w:type="dxa" w:w="1466"/>
            <w:shd w:val="clear" w:color="auto" w:fill="F7EFD9"/>
            <w:noWrap w:val="1"/>
            <w:tcMar>
              <w:top w:w="60" w:type="dxa"/>
              <w:start w:w="140" w:type="dxa"/>
              <w:bottom w:w="60" w:type="dxa"/>
              <w:end w:w="140" w:type="dxa"/>
            </w:tcMar>
          </w:tcPr>
          <w:p>
            <w:pPr>
              <w:spacing w:after="0"/>
              <w:jc w:val="center"/>
            </w:pPr>
            <w:r>
              <w:rPr>
                <w:rFonts w:ascii="Calibri" w:hAnsi="Calibri" w:cs="Calibri" w:eastAsia="Calibri"/>
                <w:b/>
                <w:i w:val="0"/>
                <w:color w:val="1A3A5C"/>
                <w:sz w:val="16"/>
              </w:rPr>
              <w:t>BAR к цене 4,7 %</w:t>
            </w:r>
          </w:p>
        </w:tc>
        <w:tc>
          <w:tcPr>
            <w:tcW w:type="dxa" w:w="5313"/>
            <w:tcMar>
              <w:top w:w="0" w:type="dxa"/>
              <w:start w:w="0" w:type="dxa"/>
              <w:bottom w:w="0" w:type="dxa"/>
              <w:end w:w="0" w:type="dxa"/>
            </w:tcMar>
          </w:tcPr>
          <w:p>
            <w:pPr>
              <w:spacing w:after="0"/>
            </w:pPr>
          </w:p>
        </w:tc>
      </w:tr>
    </w:tbl>
    <w:p>
      <w:pPr>
        <w:spacing w:before="200" w:after="240"/>
      </w:pPr>
      <w:r>
        <w:rPr>
          <w:rFonts w:ascii="Calibri" w:hAnsi="Calibri" w:cs="Calibri" w:eastAsia="Calibri"/>
          <w:b w:val="0"/>
          <w:i/>
          <w:color w:val="5A6E80"/>
          <w:sz w:val="20"/>
        </w:rPr>
        <w:t>3526 AH • Бизнес-зона Kanaleneiland • провинция Утрехт</w:t>
      </w:r>
    </w:p>
    <w:p>
      <w:pPr>
        <w:spacing w:before="0" w:after="200" w:line="240" w:lineRule="auto"/>
        <w:ind w:left="0" w:right="0" w:firstLine="0"/>
        <w:jc w:val="center"/>
      </w:pPr>
      <w:r>
        <w:drawing>
          <wp:inline xmlns:a="http://schemas.openxmlformats.org/drawingml/2006/main" xmlns:pic="http://schemas.openxmlformats.org/drawingml/2006/picture">
            <wp:extent cx="5810400" cy="2592000"/>
            <wp:docPr id="17" name="Picture 17"/>
            <wp:cNvGraphicFramePr>
              <a:graphicFrameLocks noChangeAspect="1"/>
            </wp:cNvGraphicFramePr>
            <a:graphic>
              <a:graphicData uri="http://schemas.openxmlformats.org/drawingml/2006/picture">
                <pic:pic>
                  <pic:nvPicPr>
                    <pic:cNvPr id="0" name="hero-zhsaeauc.jpg"/>
                    <pic:cNvPicPr/>
                  </pic:nvPicPr>
                  <pic:blipFill>
                    <a:blip r:embed="rId32"/>
                    <a:stretch>
                      <a:fillRect/>
                    </a:stretch>
                  </pic:blipFill>
                  <pic:spPr>
                    <a:xfrm>
                      <a:off x="0" y="0"/>
                      <a:ext cx="5810400" cy="2592000"/>
                    </a:xfrm>
                    <a:prstGeom prst="rect"/>
                  </pic:spPr>
                </pic:pic>
              </a:graphicData>
            </a:graphic>
          </wp:inline>
        </w:drawing>
      </w:r>
    </w:p>
    <w:tbl>
      <w:tblPr>
        <w:tblW w:type="auto" w:w="0"/>
        <w:jc w:val="left"/>
        <w:tblBorders>
          <w:top w:val="none" w:sz="0" w:space="0" w:color="auto"/>
          <w:start w:val="none" w:sz="0" w:space="0" w:color="auto"/>
          <w:bottom w:val="none" w:sz="0" w:space="0" w:color="auto"/>
          <w:end w:val="none" w:sz="0" w:space="0" w:color="auto"/>
          <w:insideH w:val="none" w:sz="0" w:space="0" w:color="auto"/>
          <w:insideV w:val="single" w:sz="12" w:space="0" w:color="FFFFFF"/>
        </w:tblBorders>
        <w:tblLayout w:type="fixed"/>
        <w:tblLook w:firstColumn="1" w:firstRow="1" w:lastColumn="0" w:lastRow="0" w:noHBand="0" w:noVBand="1" w:val="04A0"/>
      </w:tblPr>
      <w:tblGrid>
        <w:gridCol w:w="2390"/>
        <w:gridCol w:w="2390"/>
        <w:gridCol w:w="2390"/>
        <w:gridCol w:w="2390"/>
      </w:tblGrid>
      <w:tr>
        <w:trPr>
          <w:cantSplit w:val="1"/>
        </w:trPr>
        <w:tc>
          <w:tcPr>
            <w:tcW w:type="dxa" w:w="2390"/>
            <w:shd w:val="clear" w:color="auto" w:fill="F4F6F8"/>
            <w:tcMar>
              <w:top w:w="160" w:type="dxa"/>
              <w:start w:w="200" w:type="dxa"/>
              <w:bottom w:w="160" w:type="dxa"/>
              <w:end w:w="160" w:type="dxa"/>
            </w:tcMar>
          </w:tcPr>
          <w:p>
            <w:pPr>
              <w:spacing w:after="40"/>
            </w:pPr>
            <w:r>
              <w:rPr>
                <w:rFonts w:ascii="Calibri" w:hAnsi="Calibri" w:cs="Calibri" w:eastAsia="Calibri"/>
                <w:b w:val="0"/>
                <w:i w:val="0"/>
                <w:color w:val="5A6E80"/>
                <w:spacing w:val="20"/>
                <w:sz w:val="16"/>
              </w:rPr>
              <w:t>ЦЕНА</w:t>
            </w:r>
          </w:p>
          <w:p>
            <w:pPr>
              <w:spacing w:after="0"/>
            </w:pPr>
            <w:r>
              <w:rPr>
                <w:rFonts w:ascii="Calibri" w:hAnsi="Calibri" w:cs="Calibri" w:eastAsia="Calibri"/>
                <w:b/>
                <w:i w:val="0"/>
                <w:color w:val="1A3A5C"/>
                <w:sz w:val="26"/>
              </w:rPr>
              <w:t>€ 2.975.000</w:t>
            </w:r>
          </w:p>
        </w:tc>
        <w:tc>
          <w:tcPr>
            <w:tcW w:type="dxa" w:w="2390"/>
            <w:shd w:val="clear" w:color="auto" w:fill="F4F6F8"/>
            <w:tcMar>
              <w:top w:w="160" w:type="dxa"/>
              <w:start w:w="200" w:type="dxa"/>
              <w:bottom w:w="160" w:type="dxa"/>
              <w:end w:w="160" w:type="dxa"/>
            </w:tcMar>
          </w:tcPr>
          <w:p>
            <w:pPr>
              <w:spacing w:after="40"/>
            </w:pPr>
            <w:r>
              <w:rPr>
                <w:rFonts w:ascii="Calibri" w:hAnsi="Calibri" w:cs="Calibri" w:eastAsia="Calibri"/>
                <w:b w:val="0"/>
                <w:i w:val="0"/>
                <w:color w:val="5A6E80"/>
                <w:spacing w:val="20"/>
                <w:sz w:val="16"/>
              </w:rPr>
              <w:t>ДОХОД В ГОД</w:t>
            </w:r>
          </w:p>
          <w:p>
            <w:pPr>
              <w:spacing w:after="0"/>
            </w:pPr>
            <w:r>
              <w:rPr>
                <w:rFonts w:ascii="Calibri" w:hAnsi="Calibri" w:cs="Calibri" w:eastAsia="Calibri"/>
                <w:b/>
                <w:i w:val="0"/>
                <w:color w:val="1A3A5C"/>
                <w:sz w:val="26"/>
              </w:rPr>
              <w:t>€ 139.164</w:t>
            </w:r>
          </w:p>
        </w:tc>
        <w:tc>
          <w:tcPr>
            <w:tcW w:type="dxa" w:w="2390"/>
            <w:shd w:val="clear" w:color="auto" w:fill="F4F6F8"/>
            <w:tcMar>
              <w:top w:w="160" w:type="dxa"/>
              <w:start w:w="200" w:type="dxa"/>
              <w:bottom w:w="160" w:type="dxa"/>
              <w:end w:w="160" w:type="dxa"/>
            </w:tcMar>
          </w:tcPr>
          <w:p>
            <w:pPr>
              <w:spacing w:after="40"/>
            </w:pPr>
            <w:r>
              <w:rPr>
                <w:rFonts w:ascii="Calibri" w:hAnsi="Calibri" w:cs="Calibri" w:eastAsia="Calibri"/>
                <w:b w:val="0"/>
                <w:i w:val="0"/>
                <w:color w:val="5A6E80"/>
                <w:spacing w:val="20"/>
                <w:sz w:val="16"/>
              </w:rPr>
              <w:t>BAR К ЦЕНЕ ВХОДА</w:t>
            </w:r>
          </w:p>
          <w:p>
            <w:pPr>
              <w:spacing w:after="0"/>
            </w:pPr>
            <w:r>
              <w:rPr>
                <w:rFonts w:ascii="Calibri" w:hAnsi="Calibri" w:cs="Calibri" w:eastAsia="Calibri"/>
                <w:b/>
                <w:i w:val="0"/>
                <w:color w:val="1A3A5C"/>
                <w:sz w:val="26"/>
              </w:rPr>
              <w:t>4,2 %</w:t>
            </w:r>
          </w:p>
        </w:tc>
        <w:tc>
          <w:tcPr>
            <w:tcW w:type="dxa" w:w="2390"/>
            <w:shd w:val="clear" w:color="auto" w:fill="F4F6F8"/>
            <w:tcMar>
              <w:top w:w="160" w:type="dxa"/>
              <w:start w:w="200" w:type="dxa"/>
              <w:bottom w:w="160" w:type="dxa"/>
              <w:end w:w="160" w:type="dxa"/>
            </w:tcMar>
          </w:tcPr>
          <w:p>
            <w:pPr>
              <w:spacing w:after="40"/>
            </w:pPr>
            <w:r>
              <w:rPr>
                <w:rFonts w:ascii="Calibri" w:hAnsi="Calibri" w:cs="Calibri" w:eastAsia="Calibri"/>
                <w:b w:val="0"/>
                <w:i w:val="0"/>
                <w:color w:val="5A6E80"/>
                <w:spacing w:val="20"/>
                <w:sz w:val="16"/>
              </w:rPr>
              <w:t>ПЛОЩАДЬ</w:t>
            </w:r>
          </w:p>
          <w:p>
            <w:pPr>
              <w:spacing w:after="0"/>
            </w:pPr>
            <w:r>
              <w:rPr>
                <w:rFonts w:ascii="Calibri" w:hAnsi="Calibri" w:cs="Calibri" w:eastAsia="Calibri"/>
                <w:b/>
                <w:i w:val="0"/>
                <w:color w:val="1A3A5C"/>
                <w:sz w:val="26"/>
              </w:rPr>
              <w:t>2.935 м²</w:t>
            </w:r>
          </w:p>
        </w:tc>
      </w:tr>
    </w:tbl>
    <w:p>
      <w:pPr>
        <w:spacing w:before="200" w:after="200"/>
      </w:pPr>
      <w:r>
        <w:rPr>
          <w:rFonts w:ascii="Calibri" w:hAnsi="Calibri" w:cs="Calibri" w:eastAsia="Calibri"/>
          <w:b w:val="0"/>
          <w:i/>
          <w:color w:val="1A3A5C"/>
          <w:sz w:val="20"/>
        </w:rPr>
        <w:t>Полностью сданный комплекс 1965 года у Woonboulevard: низкий текущий доход, крупный потенциал роста аренды.</w:t>
      </w:r>
    </w:p>
    <w:tbl>
      <w:tblPr>
        <w:tblW w:type="auto" w:w="0"/>
        <w:jc w:val="left"/>
        <w:tblBorders>
          <w:top w:val="single" w:sz="2" w:space="0" w:color="D8D8D8"/>
          <w:start w:val="none" w:sz="0" w:space="0" w:color="auto"/>
          <w:bottom w:val="single" w:sz="2" w:space="0" w:color="D8D8D8"/>
          <w:end w:val="none" w:sz="0" w:space="0" w:color="auto"/>
          <w:insideH w:val="single" w:sz="2" w:space="0" w:color="D8D8D8"/>
          <w:insideV w:val="none" w:sz="0" w:space="0" w:color="auto"/>
        </w:tblBorders>
        <w:tblLayout w:type="fixed"/>
        <w:tblLook w:firstColumn="1" w:firstRow="1" w:lastColumn="0" w:lastRow="0" w:noHBand="0" w:noVBand="1" w:val="04A0"/>
      </w:tblPr>
      <w:tblGrid>
        <w:gridCol w:w="2900"/>
        <w:gridCol w:w="6128"/>
      </w:tblGrid>
      <w:tr>
        <w:trPr>
          <w:cantSplit w:val="1"/>
        </w:trPr>
        <w:tc>
          <w:tcPr>
            <w:tcW w:type="dxa" w:w="9028"/>
            <w:gridSpan w:val="2"/>
            <w:shd w:val="clear" w:color="auto" w:fill="EFF2F5"/>
            <w:tcMar>
              <w:top w:w="120" w:type="dxa"/>
              <w:start w:w="160" w:type="dxa"/>
              <w:bottom w:w="100" w:type="dxa"/>
              <w:end w:w="120" w:type="dxa"/>
            </w:tcMar>
          </w:tcPr>
          <w:p>
            <w:pPr>
              <w:keepNext w:val="1"/>
              <w:keepLines w:val="1"/>
              <w:spacing w:after="0"/>
            </w:pPr>
            <w:r>
              <w:rPr>
                <w:rFonts w:ascii="Calibri" w:hAnsi="Calibri" w:cs="Calibri" w:eastAsia="Calibri"/>
                <w:b/>
                <w:i w:val="0"/>
                <w:color w:val="1A3A5C"/>
                <w:spacing w:val="20"/>
                <w:sz w:val="17"/>
              </w:rPr>
              <w:t>ФИНАНСЫ</w:t>
            </w:r>
          </w:p>
        </w:tc>
      </w:tr>
      <w:tr>
        <w:trPr>
          <w:cantSplit w:val="1"/>
        </w:trPr>
        <w:tc>
          <w:tcPr>
            <w:tcW w:type="dxa" w:w="2900"/>
            <w:shd w:val="clear" w:color="auto" w:fill="FAFAFA"/>
            <w:tcMar>
              <w:top w:w="100" w:type="dxa"/>
              <w:start w:w="160" w:type="dxa"/>
              <w:bottom w:w="100" w:type="dxa"/>
              <w:end w:w="120" w:type="dxa"/>
            </w:tcMar>
          </w:tcPr>
          <w:p>
            <w:pPr>
              <w:keepNext w:val="1"/>
              <w:spacing w:after="0"/>
            </w:pPr>
            <w:r>
              <w:rPr>
                <w:rFonts w:ascii="Calibri" w:hAnsi="Calibri" w:cs="Calibri" w:eastAsia="Calibri"/>
                <w:b/>
                <w:i w:val="0"/>
                <w:color w:val="1A3A5C"/>
                <w:sz w:val="19"/>
              </w:rPr>
              <w:t>Цена</w:t>
            </w:r>
          </w:p>
        </w:tc>
        <w:tc>
          <w:tcPr>
            <w:tcW w:type="dxa" w:w="6128"/>
            <w:tcMar>
              <w:top w:w="100" w:type="dxa"/>
              <w:start w:w="100" w:type="dxa"/>
              <w:bottom w:w="100" w:type="dxa"/>
              <w:end w:w="120" w:type="dxa"/>
            </w:tcMar>
          </w:tcPr>
          <w:p>
            <w:pPr>
              <w:keepNext w:val="1"/>
              <w:spacing w:after="0"/>
            </w:pPr>
            <w:r>
              <w:rPr>
                <w:rFonts w:ascii="Calibri" w:hAnsi="Calibri" w:cs="Calibri" w:eastAsia="Calibri"/>
                <w:b w:val="0"/>
                <w:i w:val="0"/>
                <w:color w:val="2C2C2C"/>
                <w:sz w:val="19"/>
              </w:rPr>
              <w:t>€ 2.975.000 k.k.</w:t>
            </w:r>
          </w:p>
        </w:tc>
      </w:tr>
      <w:tr>
        <w:trPr>
          <w:cantSplit w:val="1"/>
        </w:trPr>
        <w:tc>
          <w:tcPr>
            <w:tcW w:type="dxa" w:w="2900"/>
            <w:shd w:val="clear" w:color="auto" w:fill="FAFAFA"/>
            <w:tcMar>
              <w:top w:w="100" w:type="dxa"/>
              <w:start w:w="160" w:type="dxa"/>
              <w:bottom w:w="100" w:type="dxa"/>
              <w:end w:w="120" w:type="dxa"/>
            </w:tcMar>
          </w:tcPr>
          <w:p>
            <w:pPr>
              <w:keepNext w:val="1"/>
              <w:spacing w:after="0"/>
            </w:pPr>
            <w:r>
              <w:rPr>
                <w:rFonts w:ascii="Calibri" w:hAnsi="Calibri" w:cs="Calibri" w:eastAsia="Calibri"/>
                <w:b/>
                <w:i w:val="0"/>
                <w:color w:val="1A3A5C"/>
                <w:sz w:val="19"/>
              </w:rPr>
              <w:t>Цена входа (с k.k.)</w:t>
            </w:r>
          </w:p>
        </w:tc>
        <w:tc>
          <w:tcPr>
            <w:tcW w:type="dxa" w:w="6128"/>
            <w:tcMar>
              <w:top w:w="100" w:type="dxa"/>
              <w:start w:w="100" w:type="dxa"/>
              <w:bottom w:w="100" w:type="dxa"/>
              <w:end w:w="120" w:type="dxa"/>
            </w:tcMar>
          </w:tcPr>
          <w:p>
            <w:pPr>
              <w:keepNext w:val="1"/>
              <w:spacing w:after="0"/>
            </w:pPr>
            <w:r>
              <w:rPr>
                <w:rFonts w:ascii="Calibri" w:hAnsi="Calibri" w:cs="Calibri" w:eastAsia="Calibri"/>
                <w:b w:val="0"/>
                <w:i w:val="0"/>
                <w:color w:val="2C2C2C"/>
                <w:sz w:val="19"/>
              </w:rPr>
              <w:t>≈ € 3.320.100 — включая overdrachtsbelasting 10,4 % и расходы по сделке 1,2 %</w:t>
            </w:r>
          </w:p>
        </w:tc>
      </w:tr>
      <w:tr>
        <w:trPr>
          <w:cantSplit w:val="1"/>
        </w:trPr>
        <w:tc>
          <w:tcPr>
            <w:tcW w:type="dxa" w:w="2900"/>
            <w:shd w:val="clear" w:color="auto" w:fill="FAFAFA"/>
            <w:tcMar>
              <w:top w:w="100" w:type="dxa"/>
              <w:start w:w="160" w:type="dxa"/>
              <w:bottom w:w="100" w:type="dxa"/>
              <w:end w:w="120" w:type="dxa"/>
            </w:tcMar>
          </w:tcPr>
          <w:p>
            <w:pPr>
              <w:spacing w:after="0"/>
            </w:pPr>
            <w:r>
              <w:rPr>
                <w:rFonts w:ascii="Calibri" w:hAnsi="Calibri" w:cs="Calibri" w:eastAsia="Calibri"/>
                <w:b/>
                <w:i w:val="0"/>
                <w:color w:val="1A3A5C"/>
                <w:sz w:val="19"/>
              </w:rPr>
              <w:t>Доход от аренды</w:t>
            </w:r>
          </w:p>
        </w:tc>
        <w:tc>
          <w:tcPr>
            <w:tcW w:type="dxa" w:w="6128"/>
            <w:tcMar>
              <w:top w:w="100" w:type="dxa"/>
              <w:start w:w="100" w:type="dxa"/>
              <w:bottom w:w="100" w:type="dxa"/>
              <w:end w:w="120" w:type="dxa"/>
            </w:tcMar>
          </w:tcPr>
          <w:p>
            <w:pPr>
              <w:spacing w:after="0"/>
            </w:pPr>
            <w:r>
              <w:rPr>
                <w:rFonts w:ascii="Calibri" w:hAnsi="Calibri" w:cs="Calibri" w:eastAsia="Calibri"/>
                <w:b w:val="0"/>
                <w:i w:val="0"/>
                <w:color w:val="2C2C2C"/>
                <w:sz w:val="19"/>
              </w:rPr>
              <w:t>€ 139.164 в год</w:t>
            </w:r>
          </w:p>
        </w:tc>
      </w:tr>
      <w:tr>
        <w:trPr>
          <w:cantSplit w:val="1"/>
        </w:trPr>
        <w:tc>
          <w:tcPr>
            <w:tcW w:type="dxa" w:w="2900"/>
            <w:shd w:val="clear" w:color="auto" w:fill="FAFAFA"/>
            <w:tcMar>
              <w:top w:w="100" w:type="dxa"/>
              <w:start w:w="160" w:type="dxa"/>
              <w:bottom w:w="100" w:type="dxa"/>
              <w:end w:w="120" w:type="dxa"/>
            </w:tcMar>
          </w:tcPr>
          <w:p>
            <w:pPr>
              <w:spacing w:after="0"/>
            </w:pPr>
            <w:r>
              <w:rPr>
                <w:rFonts w:ascii="Calibri" w:hAnsi="Calibri" w:cs="Calibri" w:eastAsia="Calibri"/>
                <w:b/>
                <w:i w:val="0"/>
                <w:color w:val="1A3A5C"/>
                <w:sz w:val="19"/>
              </w:rPr>
              <w:t>Рыночная арендная стоимость</w:t>
            </w:r>
          </w:p>
        </w:tc>
        <w:tc>
          <w:tcPr>
            <w:tcW w:type="dxa" w:w="6128"/>
            <w:tcMar>
              <w:top w:w="100" w:type="dxa"/>
              <w:start w:w="100" w:type="dxa"/>
              <w:bottom w:w="100" w:type="dxa"/>
              <w:end w:w="120" w:type="dxa"/>
            </w:tcMar>
          </w:tcPr>
          <w:p>
            <w:pPr>
              <w:spacing w:after="0"/>
            </w:pPr>
            <w:r>
              <w:rPr>
                <w:rFonts w:ascii="Calibri" w:hAnsi="Calibri" w:cs="Calibri" w:eastAsia="Calibri"/>
                <w:b w:val="0"/>
                <w:i w:val="0"/>
                <w:color w:val="2C2C2C"/>
                <w:sz w:val="19"/>
              </w:rPr>
              <w:t>€ 225.000 в год — BAR по листингу (от рыночной аренды) ≈ 7,5 %; это потенциал, а не текущий доход</w:t>
            </w:r>
          </w:p>
        </w:tc>
      </w:tr>
      <w:tr>
        <w:trPr>
          <w:cantSplit w:val="1"/>
        </w:trPr>
        <w:tc>
          <w:tcPr>
            <w:tcW w:type="dxa" w:w="2900"/>
            <w:shd w:val="clear" w:color="auto" w:fill="FAFAFA"/>
            <w:tcMar>
              <w:top w:w="100" w:type="dxa"/>
              <w:start w:w="160" w:type="dxa"/>
              <w:bottom w:w="100" w:type="dxa"/>
              <w:end w:w="120" w:type="dxa"/>
            </w:tcMar>
          </w:tcPr>
          <w:p>
            <w:pPr>
              <w:spacing w:after="0"/>
            </w:pPr>
            <w:r>
              <w:rPr>
                <w:rFonts w:ascii="Calibri" w:hAnsi="Calibri" w:cs="Calibri" w:eastAsia="Calibri"/>
                <w:b/>
                <w:i w:val="0"/>
                <w:color w:val="1A3A5C"/>
                <w:sz w:val="19"/>
              </w:rPr>
              <w:t>Ставка аренды</w:t>
            </w:r>
          </w:p>
        </w:tc>
        <w:tc>
          <w:tcPr>
            <w:tcW w:type="dxa" w:w="6128"/>
            <w:tcMar>
              <w:top w:w="100" w:type="dxa"/>
              <w:start w:w="100" w:type="dxa"/>
              <w:bottom w:w="100" w:type="dxa"/>
              <w:end w:w="120" w:type="dxa"/>
            </w:tcMar>
          </w:tcPr>
          <w:p>
            <w:pPr>
              <w:spacing w:after="0"/>
            </w:pPr>
            <w:r>
              <w:rPr>
                <w:rFonts w:ascii="Calibri" w:hAnsi="Calibri" w:cs="Calibri" w:eastAsia="Calibri"/>
                <w:b w:val="0"/>
                <w:i w:val="0"/>
                <w:color w:val="2C2C2C"/>
                <w:sz w:val="19"/>
              </w:rPr>
              <w:t>≈ € 47/м² в год</w:t>
            </w:r>
          </w:p>
        </w:tc>
      </w:tr>
      <w:tr>
        <w:trPr>
          <w:cantSplit w:val="1"/>
        </w:trPr>
        <w:tc>
          <w:tcPr>
            <w:tcW w:type="dxa" w:w="2900"/>
            <w:shd w:val="clear" w:color="auto" w:fill="FAFAFA"/>
            <w:tcMar>
              <w:top w:w="100" w:type="dxa"/>
              <w:start w:w="160" w:type="dxa"/>
              <w:bottom w:w="100" w:type="dxa"/>
              <w:end w:w="120" w:type="dxa"/>
            </w:tcMar>
          </w:tcPr>
          <w:p>
            <w:pPr>
              <w:spacing w:after="0"/>
            </w:pPr>
            <w:r>
              <w:rPr>
                <w:rFonts w:ascii="Calibri" w:hAnsi="Calibri" w:cs="Calibri" w:eastAsia="Calibri"/>
                <w:b/>
                <w:i w:val="0"/>
                <w:color w:val="1A3A5C"/>
                <w:sz w:val="19"/>
              </w:rPr>
              <w:t>Цена за м²</w:t>
            </w:r>
          </w:p>
        </w:tc>
        <w:tc>
          <w:tcPr>
            <w:tcW w:type="dxa" w:w="6128"/>
            <w:tcMar>
              <w:top w:w="100" w:type="dxa"/>
              <w:start w:w="100" w:type="dxa"/>
              <w:bottom w:w="100" w:type="dxa"/>
              <w:end w:w="120" w:type="dxa"/>
            </w:tcMar>
          </w:tcPr>
          <w:p>
            <w:pPr>
              <w:spacing w:after="0"/>
            </w:pPr>
            <w:r>
              <w:rPr>
                <w:rFonts w:ascii="Calibri" w:hAnsi="Calibri" w:cs="Calibri" w:eastAsia="Calibri"/>
                <w:b w:val="0"/>
                <w:i w:val="0"/>
                <w:color w:val="2C2C2C"/>
                <w:sz w:val="19"/>
              </w:rPr>
              <w:t>≈ € 1.014/м²</w:t>
            </w:r>
          </w:p>
        </w:tc>
      </w:tr>
      <w:tr>
        <w:trPr>
          <w:cantSplit w:val="1"/>
        </w:trPr>
        <w:tc>
          <w:tcPr>
            <w:tcW w:type="dxa" w:w="2900"/>
            <w:shd w:val="clear" w:color="auto" w:fill="FAFAFA"/>
            <w:tcMar>
              <w:top w:w="100" w:type="dxa"/>
              <w:start w:w="160" w:type="dxa"/>
              <w:bottom w:w="100" w:type="dxa"/>
              <w:end w:w="120" w:type="dxa"/>
            </w:tcMar>
          </w:tcPr>
          <w:p>
            <w:pPr>
              <w:spacing w:after="0"/>
            </w:pPr>
            <w:r>
              <w:rPr>
                <w:rFonts w:ascii="Calibri" w:hAnsi="Calibri" w:cs="Calibri" w:eastAsia="Calibri"/>
                <w:b/>
                <w:i w:val="0"/>
                <w:color w:val="1A3A5C"/>
                <w:sz w:val="19"/>
              </w:rPr>
              <w:t>BAR к цене</w:t>
            </w:r>
          </w:p>
        </w:tc>
        <w:tc>
          <w:tcPr>
            <w:tcW w:type="dxa" w:w="6128"/>
            <w:tcMar>
              <w:top w:w="100" w:type="dxa"/>
              <w:start w:w="100" w:type="dxa"/>
              <w:bottom w:w="100" w:type="dxa"/>
              <w:end w:w="120" w:type="dxa"/>
            </w:tcMar>
          </w:tcPr>
          <w:p>
            <w:pPr>
              <w:spacing w:after="0"/>
            </w:pPr>
            <w:r>
              <w:rPr>
                <w:rFonts w:ascii="Calibri" w:hAnsi="Calibri" w:cs="Calibri" w:eastAsia="Calibri"/>
                <w:b w:val="0"/>
                <w:i w:val="0"/>
                <w:color w:val="2C2C2C"/>
                <w:sz w:val="19"/>
              </w:rPr>
              <w:t>4,7 %</w:t>
            </w:r>
          </w:p>
        </w:tc>
      </w:tr>
      <w:tr>
        <w:trPr>
          <w:cantSplit w:val="1"/>
        </w:trPr>
        <w:tc>
          <w:tcPr>
            <w:tcW w:type="dxa" w:w="2900"/>
            <w:shd w:val="clear" w:color="auto" w:fill="FAFAFA"/>
            <w:tcMar>
              <w:top w:w="100" w:type="dxa"/>
              <w:start w:w="160" w:type="dxa"/>
              <w:bottom w:w="100" w:type="dxa"/>
              <w:end w:w="120" w:type="dxa"/>
            </w:tcMar>
          </w:tcPr>
          <w:p>
            <w:pPr>
              <w:spacing w:after="0"/>
            </w:pPr>
            <w:r>
              <w:rPr>
                <w:rFonts w:ascii="Calibri" w:hAnsi="Calibri" w:cs="Calibri" w:eastAsia="Calibri"/>
                <w:b/>
                <w:i w:val="0"/>
                <w:color w:val="1A3A5C"/>
                <w:sz w:val="19"/>
              </w:rPr>
              <w:t>BAR к цене входа</w:t>
            </w:r>
          </w:p>
        </w:tc>
        <w:tc>
          <w:tcPr>
            <w:tcW w:type="dxa" w:w="6128"/>
            <w:tcMar>
              <w:top w:w="100" w:type="dxa"/>
              <w:start w:w="100" w:type="dxa"/>
              <w:bottom w:w="100" w:type="dxa"/>
              <w:end w:w="120" w:type="dxa"/>
            </w:tcMar>
          </w:tcPr>
          <w:p>
            <w:pPr>
              <w:spacing w:after="0"/>
            </w:pPr>
            <w:r>
              <w:rPr>
                <w:rFonts w:ascii="Calibri" w:hAnsi="Calibri" w:cs="Calibri" w:eastAsia="Calibri"/>
                <w:b w:val="0"/>
                <w:i w:val="0"/>
                <w:color w:val="2C2C2C"/>
                <w:sz w:val="19"/>
              </w:rPr>
              <w:t>4,2 %</w:t>
            </w:r>
          </w:p>
        </w:tc>
      </w:tr>
      <w:tr>
        <w:trPr>
          <w:cantSplit w:val="1"/>
        </w:trPr>
        <w:tc>
          <w:tcPr>
            <w:tcW w:type="dxa" w:w="2900"/>
            <w:shd w:val="clear" w:color="auto" w:fill="FAFAFA"/>
            <w:tcMar>
              <w:top w:w="100" w:type="dxa"/>
              <w:start w:w="160" w:type="dxa"/>
              <w:bottom w:w="100" w:type="dxa"/>
              <w:end w:w="120" w:type="dxa"/>
            </w:tcMar>
          </w:tcPr>
          <w:p>
            <w:pPr>
              <w:spacing w:after="0"/>
            </w:pPr>
            <w:r>
              <w:rPr>
                <w:rFonts w:ascii="Calibri" w:hAnsi="Calibri" w:cs="Calibri" w:eastAsia="Calibri"/>
                <w:b/>
                <w:i w:val="0"/>
                <w:color w:val="1A3A5C"/>
                <w:sz w:val="19"/>
              </w:rPr>
              <w:t>NAR к цене входа</w:t>
            </w:r>
          </w:p>
        </w:tc>
        <w:tc>
          <w:tcPr>
            <w:tcW w:type="dxa" w:w="6128"/>
            <w:tcMar>
              <w:top w:w="100" w:type="dxa"/>
              <w:start w:w="100" w:type="dxa"/>
              <w:bottom w:w="100" w:type="dxa"/>
              <w:end w:w="120" w:type="dxa"/>
            </w:tcMar>
          </w:tcPr>
          <w:p>
            <w:pPr>
              <w:spacing w:after="0"/>
            </w:pPr>
            <w:r>
              <w:rPr>
                <w:rFonts w:ascii="Calibri" w:hAnsi="Calibri" w:cs="Calibri" w:eastAsia="Calibri"/>
                <w:b w:val="0"/>
                <w:i w:val="0"/>
                <w:color w:val="2C2C2C"/>
                <w:sz w:val="19"/>
              </w:rPr>
              <w:t>2,9 % (при эксплуатационных расходах 30,0 % от аренды)</w:t>
            </w:r>
          </w:p>
        </w:tc>
      </w:tr>
      <w:tr>
        <w:trPr>
          <w:cantSplit w:val="1"/>
        </w:trPr>
        <w:tc>
          <w:tcPr>
            <w:tcW w:type="dxa" w:w="2900"/>
            <w:shd w:val="clear" w:color="auto" w:fill="FAFAFA"/>
            <w:tcMar>
              <w:top w:w="100" w:type="dxa"/>
              <w:start w:w="160" w:type="dxa"/>
              <w:bottom w:w="100" w:type="dxa"/>
              <w:end w:w="120" w:type="dxa"/>
            </w:tcMar>
          </w:tcPr>
          <w:p>
            <w:pPr>
              <w:spacing w:after="0"/>
            </w:pPr>
            <w:r>
              <w:rPr>
                <w:rFonts w:ascii="Calibri" w:hAnsi="Calibri" w:cs="Calibri" w:eastAsia="Calibri"/>
                <w:b/>
                <w:i w:val="0"/>
                <w:color w:val="1A3A5C"/>
                <w:sz w:val="19"/>
              </w:rPr>
              <w:t>Сценарий: Выход на рыночную арендную стоимость</w:t>
            </w:r>
          </w:p>
        </w:tc>
        <w:tc>
          <w:tcPr>
            <w:tcW w:type="dxa" w:w="6128"/>
            <w:tcMar>
              <w:top w:w="100" w:type="dxa"/>
              <w:start w:w="100" w:type="dxa"/>
              <w:bottom w:w="100" w:type="dxa"/>
              <w:end w:w="120" w:type="dxa"/>
            </w:tcMar>
          </w:tcPr>
          <w:p>
            <w:pPr>
              <w:spacing w:after="0"/>
            </w:pPr>
            <w:r>
              <w:rPr>
                <w:rFonts w:ascii="Calibri" w:hAnsi="Calibri" w:cs="Calibri" w:eastAsia="Calibri"/>
                <w:b w:val="0"/>
                <w:i w:val="0"/>
                <w:color w:val="2C2C2C"/>
                <w:sz w:val="19"/>
              </w:rPr>
              <w:t>доход € 225.000 в год — BAR к цене входа ≈ 6,8 %</w:t>
            </w:r>
          </w:p>
        </w:tc>
      </w:tr>
      <w:tr>
        <w:trPr>
          <w:cantSplit w:val="1"/>
        </w:trPr>
        <w:tc>
          <w:tcPr>
            <w:tcW w:type="dxa" w:w="9028"/>
            <w:gridSpan w:val="2"/>
            <w:shd w:val="clear" w:color="auto" w:fill="EFF2F5"/>
            <w:tcMar>
              <w:top w:w="120" w:type="dxa"/>
              <w:start w:w="160" w:type="dxa"/>
              <w:bottom w:w="100" w:type="dxa"/>
              <w:end w:w="120" w:type="dxa"/>
            </w:tcMar>
          </w:tcPr>
          <w:p>
            <w:pPr>
              <w:keepNext w:val="1"/>
              <w:keepLines w:val="1"/>
              <w:spacing w:after="0"/>
            </w:pPr>
            <w:r>
              <w:rPr>
                <w:rFonts w:ascii="Calibri" w:hAnsi="Calibri" w:cs="Calibri" w:eastAsia="Calibri"/>
                <w:b/>
                <w:i w:val="0"/>
                <w:color w:val="1A3A5C"/>
                <w:spacing w:val="20"/>
                <w:sz w:val="17"/>
              </w:rPr>
              <w:t>ОБЪЕКТ</w:t>
            </w:r>
          </w:p>
        </w:tc>
      </w:tr>
      <w:tr>
        <w:trPr>
          <w:cantSplit w:val="1"/>
        </w:trPr>
        <w:tc>
          <w:tcPr>
            <w:tcW w:type="dxa" w:w="2900"/>
            <w:shd w:val="clear" w:color="auto" w:fill="FAFAFA"/>
            <w:tcMar>
              <w:top w:w="100" w:type="dxa"/>
              <w:start w:w="160" w:type="dxa"/>
              <w:bottom w:w="100" w:type="dxa"/>
              <w:end w:w="120" w:type="dxa"/>
            </w:tcMar>
          </w:tcPr>
          <w:p>
            <w:pPr>
              <w:keepNext w:val="1"/>
              <w:spacing w:after="0"/>
            </w:pPr>
            <w:r>
              <w:rPr>
                <w:rFonts w:ascii="Calibri" w:hAnsi="Calibri" w:cs="Calibri" w:eastAsia="Calibri"/>
                <w:b/>
                <w:i w:val="0"/>
                <w:color w:val="1A3A5C"/>
                <w:sz w:val="19"/>
              </w:rPr>
              <w:t>Общая площадь</w:t>
            </w:r>
          </w:p>
        </w:tc>
        <w:tc>
          <w:tcPr>
            <w:tcW w:type="dxa" w:w="6128"/>
            <w:tcMar>
              <w:top w:w="100" w:type="dxa"/>
              <w:start w:w="100" w:type="dxa"/>
              <w:bottom w:w="100" w:type="dxa"/>
              <w:end w:w="120" w:type="dxa"/>
            </w:tcMar>
          </w:tcPr>
          <w:p>
            <w:pPr>
              <w:keepNext w:val="1"/>
              <w:spacing w:after="0"/>
            </w:pPr>
            <w:r>
              <w:rPr>
                <w:rFonts w:ascii="Calibri" w:hAnsi="Calibri" w:cs="Calibri" w:eastAsia="Calibri"/>
                <w:b w:val="0"/>
                <w:i w:val="0"/>
                <w:color w:val="2C2C2C"/>
                <w:sz w:val="19"/>
              </w:rPr>
              <w:t>≈ 2.935 м² (разбивка по адресам в листинге не приводится)</w:t>
            </w:r>
          </w:p>
        </w:tc>
      </w:tr>
      <w:tr>
        <w:trPr>
          <w:cantSplit w:val="1"/>
        </w:trPr>
        <w:tc>
          <w:tcPr>
            <w:tcW w:type="dxa" w:w="2900"/>
            <w:shd w:val="clear" w:color="auto" w:fill="FAFAFA"/>
            <w:tcMar>
              <w:top w:w="100" w:type="dxa"/>
              <w:start w:w="160" w:type="dxa"/>
              <w:bottom w:w="100" w:type="dxa"/>
              <w:end w:w="120" w:type="dxa"/>
            </w:tcMar>
          </w:tcPr>
          <w:p>
            <w:pPr>
              <w:keepNext w:val="1"/>
              <w:spacing w:after="0"/>
            </w:pPr>
            <w:r>
              <w:rPr>
                <w:rFonts w:ascii="Calibri" w:hAnsi="Calibri" w:cs="Calibri" w:eastAsia="Calibri"/>
                <w:b/>
                <w:i w:val="0"/>
                <w:color w:val="1A3A5C"/>
                <w:sz w:val="19"/>
              </w:rPr>
              <w:t>Площадь участка</w:t>
            </w:r>
          </w:p>
        </w:tc>
        <w:tc>
          <w:tcPr>
            <w:tcW w:type="dxa" w:w="6128"/>
            <w:tcMar>
              <w:top w:w="100" w:type="dxa"/>
              <w:start w:w="100" w:type="dxa"/>
              <w:bottom w:w="100" w:type="dxa"/>
              <w:end w:w="120" w:type="dxa"/>
            </w:tcMar>
          </w:tcPr>
          <w:p>
            <w:pPr>
              <w:keepNext w:val="1"/>
              <w:spacing w:after="0"/>
            </w:pPr>
            <w:r>
              <w:rPr>
                <w:rFonts w:ascii="Calibri" w:hAnsi="Calibri" w:cs="Calibri" w:eastAsia="Calibri"/>
                <w:b w:val="0"/>
                <w:i w:val="0"/>
                <w:color w:val="2C2C2C"/>
                <w:sz w:val="19"/>
              </w:rPr>
              <w:t>2.597 м² (собственная земля)</w:t>
            </w:r>
          </w:p>
        </w:tc>
      </w:tr>
      <w:tr>
        <w:trPr>
          <w:cantSplit w:val="1"/>
        </w:trPr>
        <w:tc>
          <w:tcPr>
            <w:tcW w:type="dxa" w:w="2900"/>
            <w:shd w:val="clear" w:color="auto" w:fill="FAFAFA"/>
            <w:tcMar>
              <w:top w:w="100" w:type="dxa"/>
              <w:start w:w="160" w:type="dxa"/>
              <w:bottom w:w="100" w:type="dxa"/>
              <w:end w:w="120" w:type="dxa"/>
            </w:tcMar>
          </w:tcPr>
          <w:p>
            <w:pPr>
              <w:spacing w:after="0"/>
            </w:pPr>
            <w:r>
              <w:rPr>
                <w:rFonts w:ascii="Calibri" w:hAnsi="Calibri" w:cs="Calibri" w:eastAsia="Calibri"/>
                <w:b/>
                <w:i w:val="0"/>
                <w:color w:val="1A3A5C"/>
                <w:sz w:val="19"/>
              </w:rPr>
              <w:t>Тип объекта</w:t>
            </w:r>
          </w:p>
        </w:tc>
        <w:tc>
          <w:tcPr>
            <w:tcW w:type="dxa" w:w="6128"/>
            <w:tcMar>
              <w:top w:w="100" w:type="dxa"/>
              <w:start w:w="100" w:type="dxa"/>
              <w:bottom w:w="100" w:type="dxa"/>
              <w:end w:w="120" w:type="dxa"/>
            </w:tcMar>
          </w:tcPr>
          <w:p>
            <w:pPr>
              <w:spacing w:after="0"/>
            </w:pPr>
            <w:r>
              <w:rPr>
                <w:rFonts w:ascii="Calibri" w:hAnsi="Calibri" w:cs="Calibri" w:eastAsia="Calibri"/>
                <w:b w:val="0"/>
                <w:i w:val="0"/>
                <w:color w:val="2C2C2C"/>
                <w:sz w:val="19"/>
              </w:rPr>
              <w:t>инвестиционный: несколько производственно-складских блоков и служебное жильё (bedrijfswoning)</w:t>
            </w:r>
          </w:p>
        </w:tc>
      </w:tr>
      <w:tr>
        <w:trPr>
          <w:cantSplit w:val="1"/>
        </w:trPr>
        <w:tc>
          <w:tcPr>
            <w:tcW w:type="dxa" w:w="2900"/>
            <w:shd w:val="clear" w:color="auto" w:fill="FAFAFA"/>
            <w:tcMar>
              <w:top w:w="100" w:type="dxa"/>
              <w:start w:w="160" w:type="dxa"/>
              <w:bottom w:w="100" w:type="dxa"/>
              <w:end w:w="120" w:type="dxa"/>
            </w:tcMar>
          </w:tcPr>
          <w:p>
            <w:pPr>
              <w:spacing w:after="0"/>
            </w:pPr>
            <w:r>
              <w:rPr>
                <w:rFonts w:ascii="Calibri" w:hAnsi="Calibri" w:cs="Calibri" w:eastAsia="Calibri"/>
                <w:b/>
                <w:i w:val="0"/>
                <w:color w:val="1A3A5C"/>
                <w:sz w:val="19"/>
              </w:rPr>
              <w:t>Год постройки</w:t>
            </w:r>
          </w:p>
        </w:tc>
        <w:tc>
          <w:tcPr>
            <w:tcW w:type="dxa" w:w="6128"/>
            <w:tcMar>
              <w:top w:w="100" w:type="dxa"/>
              <w:start w:w="100" w:type="dxa"/>
              <w:bottom w:w="100" w:type="dxa"/>
              <w:end w:w="120" w:type="dxa"/>
            </w:tcMar>
          </w:tcPr>
          <w:p>
            <w:pPr>
              <w:spacing w:after="0"/>
            </w:pPr>
            <w:r>
              <w:rPr>
                <w:rFonts w:ascii="Calibri" w:hAnsi="Calibri" w:cs="Calibri" w:eastAsia="Calibri"/>
                <w:b w:val="0"/>
                <w:i w:val="0"/>
                <w:color w:val="2C2C2C"/>
                <w:sz w:val="19"/>
              </w:rPr>
              <w:t>1965</w:t>
            </w:r>
          </w:p>
        </w:tc>
      </w:tr>
      <w:tr>
        <w:trPr>
          <w:cantSplit w:val="1"/>
        </w:trPr>
        <w:tc>
          <w:tcPr>
            <w:tcW w:type="dxa" w:w="2900"/>
            <w:shd w:val="clear" w:color="auto" w:fill="FAFAFA"/>
            <w:tcMar>
              <w:top w:w="100" w:type="dxa"/>
              <w:start w:w="160" w:type="dxa"/>
              <w:bottom w:w="100" w:type="dxa"/>
              <w:end w:w="120" w:type="dxa"/>
            </w:tcMar>
          </w:tcPr>
          <w:p>
            <w:pPr>
              <w:spacing w:after="0"/>
            </w:pPr>
            <w:r>
              <w:rPr>
                <w:rFonts w:ascii="Calibri" w:hAnsi="Calibri" w:cs="Calibri" w:eastAsia="Calibri"/>
                <w:b/>
                <w:i w:val="0"/>
                <w:color w:val="1A3A5C"/>
                <w:sz w:val="19"/>
              </w:rPr>
              <w:t>Энергетический класс</w:t>
            </w:r>
          </w:p>
        </w:tc>
        <w:tc>
          <w:tcPr>
            <w:tcW w:type="dxa" w:w="6128"/>
            <w:tcMar>
              <w:top w:w="100" w:type="dxa"/>
              <w:start w:w="100" w:type="dxa"/>
              <w:bottom w:w="100" w:type="dxa"/>
              <w:end w:w="120" w:type="dxa"/>
            </w:tcMar>
          </w:tcPr>
          <w:p>
            <w:pPr>
              <w:spacing w:after="0"/>
            </w:pPr>
            <w:r>
              <w:rPr>
                <w:rFonts w:ascii="Calibri" w:hAnsi="Calibri" w:cs="Calibri" w:eastAsia="Calibri"/>
                <w:b w:val="0"/>
                <w:i w:val="0"/>
                <w:color w:val="2C2C2C"/>
                <w:sz w:val="19"/>
              </w:rPr>
              <w:t>не предоставлен (niet beschikbaar)</w:t>
            </w:r>
          </w:p>
        </w:tc>
      </w:tr>
      <w:tr>
        <w:trPr>
          <w:cantSplit w:val="1"/>
        </w:trPr>
        <w:tc>
          <w:tcPr>
            <w:tcW w:type="dxa" w:w="2900"/>
            <w:shd w:val="clear" w:color="auto" w:fill="FAFAFA"/>
            <w:tcMar>
              <w:top w:w="100" w:type="dxa"/>
              <w:start w:w="160" w:type="dxa"/>
              <w:bottom w:w="100" w:type="dxa"/>
              <w:end w:w="120" w:type="dxa"/>
            </w:tcMar>
          </w:tcPr>
          <w:p>
            <w:pPr>
              <w:spacing w:after="0"/>
            </w:pPr>
            <w:r>
              <w:rPr>
                <w:rFonts w:ascii="Calibri" w:hAnsi="Calibri" w:cs="Calibri" w:eastAsia="Calibri"/>
                <w:b/>
                <w:i w:val="0"/>
                <w:color w:val="1A3A5C"/>
                <w:sz w:val="19"/>
              </w:rPr>
              <w:t>Право на землю</w:t>
            </w:r>
          </w:p>
        </w:tc>
        <w:tc>
          <w:tcPr>
            <w:tcW w:type="dxa" w:w="6128"/>
            <w:tcMar>
              <w:top w:w="100" w:type="dxa"/>
              <w:start w:w="100" w:type="dxa"/>
              <w:bottom w:w="100" w:type="dxa"/>
              <w:end w:w="120" w:type="dxa"/>
            </w:tcMar>
          </w:tcPr>
          <w:p>
            <w:pPr>
              <w:spacing w:after="0"/>
            </w:pPr>
            <w:r>
              <w:rPr>
                <w:rFonts w:ascii="Calibri" w:hAnsi="Calibri" w:cs="Calibri" w:eastAsia="Calibri"/>
                <w:b w:val="0"/>
                <w:i w:val="0"/>
                <w:color w:val="2C2C2C"/>
                <w:sz w:val="19"/>
              </w:rPr>
              <w:t>полная собственность (volle eigendom)</w:t>
            </w:r>
          </w:p>
        </w:tc>
      </w:tr>
      <w:tr>
        <w:trPr>
          <w:cantSplit w:val="1"/>
        </w:trPr>
        <w:tc>
          <w:tcPr>
            <w:tcW w:type="dxa" w:w="2900"/>
            <w:shd w:val="clear" w:color="auto" w:fill="FAFAFA"/>
            <w:tcMar>
              <w:top w:w="100" w:type="dxa"/>
              <w:start w:w="160" w:type="dxa"/>
              <w:bottom w:w="100" w:type="dxa"/>
              <w:end w:w="120" w:type="dxa"/>
            </w:tcMar>
          </w:tcPr>
          <w:p>
            <w:pPr>
              <w:spacing w:after="0"/>
            </w:pPr>
            <w:r>
              <w:rPr>
                <w:rFonts w:ascii="Calibri" w:hAnsi="Calibri" w:cs="Calibri" w:eastAsia="Calibri"/>
                <w:b/>
                <w:i w:val="0"/>
                <w:color w:val="1A3A5C"/>
                <w:sz w:val="19"/>
              </w:rPr>
              <w:t>Свободная высота</w:t>
            </w:r>
          </w:p>
        </w:tc>
        <w:tc>
          <w:tcPr>
            <w:tcW w:type="dxa" w:w="6128"/>
            <w:tcMar>
              <w:top w:w="100" w:type="dxa"/>
              <w:start w:w="100" w:type="dxa"/>
              <w:bottom w:w="100" w:type="dxa"/>
              <w:end w:w="120" w:type="dxa"/>
            </w:tcMar>
          </w:tcPr>
          <w:p>
            <w:pPr>
              <w:spacing w:after="0"/>
            </w:pPr>
            <w:r>
              <w:rPr>
                <w:rFonts w:ascii="Calibri" w:hAnsi="Calibri" w:cs="Calibri" w:eastAsia="Calibri"/>
                <w:b w:val="0"/>
                <w:i w:val="0"/>
                <w:color w:val="2C2C2C"/>
                <w:sz w:val="19"/>
              </w:rPr>
              <w:t>в листинге не указано</w:t>
            </w:r>
          </w:p>
        </w:tc>
      </w:tr>
      <w:tr>
        <w:trPr>
          <w:cantSplit w:val="1"/>
        </w:trPr>
        <w:tc>
          <w:tcPr>
            <w:tcW w:type="dxa" w:w="2900"/>
            <w:shd w:val="clear" w:color="auto" w:fill="FAFAFA"/>
            <w:tcMar>
              <w:top w:w="100" w:type="dxa"/>
              <w:start w:w="160" w:type="dxa"/>
              <w:bottom w:w="100" w:type="dxa"/>
              <w:end w:w="120" w:type="dxa"/>
            </w:tcMar>
          </w:tcPr>
          <w:p>
            <w:pPr>
              <w:spacing w:after="0"/>
            </w:pPr>
            <w:r>
              <w:rPr>
                <w:rFonts w:ascii="Calibri" w:hAnsi="Calibri" w:cs="Calibri" w:eastAsia="Calibri"/>
                <w:b/>
                <w:i w:val="0"/>
                <w:color w:val="1A3A5C"/>
                <w:sz w:val="19"/>
              </w:rPr>
              <w:t>Несущая способность пола</w:t>
            </w:r>
          </w:p>
        </w:tc>
        <w:tc>
          <w:tcPr>
            <w:tcW w:type="dxa" w:w="6128"/>
            <w:tcMar>
              <w:top w:w="100" w:type="dxa"/>
              <w:start w:w="100" w:type="dxa"/>
              <w:bottom w:w="100" w:type="dxa"/>
              <w:end w:w="120" w:type="dxa"/>
            </w:tcMar>
          </w:tcPr>
          <w:p>
            <w:pPr>
              <w:spacing w:after="0"/>
            </w:pPr>
            <w:r>
              <w:rPr>
                <w:rFonts w:ascii="Calibri" w:hAnsi="Calibri" w:cs="Calibri" w:eastAsia="Calibri"/>
                <w:b w:val="0"/>
                <w:i w:val="0"/>
                <w:color w:val="2C2C2C"/>
                <w:sz w:val="19"/>
              </w:rPr>
              <w:t>в листинге не указано</w:t>
            </w:r>
          </w:p>
        </w:tc>
      </w:tr>
      <w:tr>
        <w:trPr>
          <w:cantSplit w:val="1"/>
        </w:trPr>
        <w:tc>
          <w:tcPr>
            <w:tcW w:type="dxa" w:w="2900"/>
            <w:shd w:val="clear" w:color="auto" w:fill="FAFAFA"/>
            <w:tcMar>
              <w:top w:w="100" w:type="dxa"/>
              <w:start w:w="160" w:type="dxa"/>
              <w:bottom w:w="100" w:type="dxa"/>
              <w:end w:w="120" w:type="dxa"/>
            </w:tcMar>
          </w:tcPr>
          <w:p>
            <w:pPr>
              <w:spacing w:after="0"/>
            </w:pPr>
            <w:r>
              <w:rPr>
                <w:rFonts w:ascii="Calibri" w:hAnsi="Calibri" w:cs="Calibri" w:eastAsia="Calibri"/>
                <w:b/>
                <w:i w:val="0"/>
                <w:color w:val="1A3A5C"/>
                <w:sz w:val="19"/>
              </w:rPr>
              <w:t>Парковка</w:t>
            </w:r>
          </w:p>
        </w:tc>
        <w:tc>
          <w:tcPr>
            <w:tcW w:type="dxa" w:w="6128"/>
            <w:tcMar>
              <w:top w:w="100" w:type="dxa"/>
              <w:start w:w="100" w:type="dxa"/>
              <w:bottom w:w="100" w:type="dxa"/>
              <w:end w:w="120" w:type="dxa"/>
            </w:tcMar>
          </w:tcPr>
          <w:p>
            <w:pPr>
              <w:spacing w:after="0"/>
            </w:pPr>
            <w:r>
              <w:rPr>
                <w:rFonts w:ascii="Calibri" w:hAnsi="Calibri" w:cs="Calibri" w:eastAsia="Calibri"/>
                <w:b w:val="0"/>
                <w:i w:val="0"/>
                <w:color w:val="2C2C2C"/>
                <w:sz w:val="19"/>
              </w:rPr>
              <w:t>в листинге не указано</w:t>
            </w:r>
          </w:p>
        </w:tc>
      </w:tr>
      <w:tr>
        <w:trPr>
          <w:cantSplit w:val="1"/>
        </w:trPr>
        <w:tc>
          <w:tcPr>
            <w:tcW w:type="dxa" w:w="2900"/>
            <w:shd w:val="clear" w:color="auto" w:fill="FAFAFA"/>
            <w:tcMar>
              <w:top w:w="100" w:type="dxa"/>
              <w:start w:w="160" w:type="dxa"/>
              <w:bottom w:w="100" w:type="dxa"/>
              <w:end w:w="120" w:type="dxa"/>
            </w:tcMar>
          </w:tcPr>
          <w:p>
            <w:pPr>
              <w:spacing w:after="0"/>
            </w:pPr>
            <w:r>
              <w:rPr>
                <w:rFonts w:ascii="Calibri" w:hAnsi="Calibri" w:cs="Calibri" w:eastAsia="Calibri"/>
                <w:b/>
                <w:i w:val="0"/>
                <w:color w:val="1A3A5C"/>
                <w:sz w:val="19"/>
              </w:rPr>
              <w:t>Арендаторы</w:t>
            </w:r>
          </w:p>
        </w:tc>
        <w:tc>
          <w:tcPr>
            <w:tcW w:type="dxa" w:w="6128"/>
            <w:tcMar>
              <w:top w:w="100" w:type="dxa"/>
              <w:start w:w="100" w:type="dxa"/>
              <w:bottom w:w="100" w:type="dxa"/>
              <w:end w:w="120" w:type="dxa"/>
            </w:tcMar>
          </w:tcPr>
          <w:p>
            <w:pPr>
              <w:spacing w:after="0"/>
            </w:pPr>
            <w:r>
              <w:rPr>
                <w:rFonts w:ascii="Calibri" w:hAnsi="Calibri" w:cs="Calibri" w:eastAsia="Calibri"/>
                <w:b w:val="0"/>
                <w:i w:val="0"/>
                <w:color w:val="2C2C2C"/>
                <w:sz w:val="19"/>
              </w:rPr>
              <w:t>7 арендаторов</w:t>
            </w:r>
          </w:p>
        </w:tc>
      </w:tr>
      <w:tr>
        <w:trPr>
          <w:cantSplit w:val="1"/>
        </w:trPr>
        <w:tc>
          <w:tcPr>
            <w:tcW w:type="dxa" w:w="2900"/>
            <w:shd w:val="clear" w:color="auto" w:fill="FAFAFA"/>
            <w:tcMar>
              <w:top w:w="100" w:type="dxa"/>
              <w:start w:w="160" w:type="dxa"/>
              <w:bottom w:w="100" w:type="dxa"/>
              <w:end w:w="120" w:type="dxa"/>
            </w:tcMar>
          </w:tcPr>
          <w:p>
            <w:pPr>
              <w:spacing w:after="0"/>
            </w:pPr>
            <w:r>
              <w:rPr>
                <w:rFonts w:ascii="Calibri" w:hAnsi="Calibri" w:cs="Calibri" w:eastAsia="Calibri"/>
                <w:b/>
                <w:i w:val="0"/>
                <w:color w:val="1A3A5C"/>
                <w:sz w:val="19"/>
              </w:rPr>
              <w:t>Заполняемость</w:t>
            </w:r>
          </w:p>
        </w:tc>
        <w:tc>
          <w:tcPr>
            <w:tcW w:type="dxa" w:w="6128"/>
            <w:tcMar>
              <w:top w:w="100" w:type="dxa"/>
              <w:start w:w="100" w:type="dxa"/>
              <w:bottom w:w="100" w:type="dxa"/>
              <w:end w:w="120" w:type="dxa"/>
            </w:tcMar>
          </w:tcPr>
          <w:p>
            <w:pPr>
              <w:spacing w:after="0"/>
            </w:pPr>
            <w:r>
              <w:rPr>
                <w:rFonts w:ascii="Calibri" w:hAnsi="Calibri" w:cs="Calibri" w:eastAsia="Calibri"/>
                <w:b w:val="0"/>
                <w:i w:val="0"/>
                <w:color w:val="2C2C2C"/>
                <w:sz w:val="19"/>
              </w:rPr>
              <w:t>100 %</w:t>
            </w:r>
          </w:p>
        </w:tc>
      </w:tr>
      <w:tr>
        <w:trPr>
          <w:cantSplit w:val="1"/>
        </w:trPr>
        <w:tc>
          <w:tcPr>
            <w:tcW w:type="dxa" w:w="2900"/>
            <w:shd w:val="clear" w:color="auto" w:fill="FAFAFA"/>
            <w:tcMar>
              <w:top w:w="100" w:type="dxa"/>
              <w:start w:w="160" w:type="dxa"/>
              <w:bottom w:w="100" w:type="dxa"/>
              <w:end w:w="120" w:type="dxa"/>
            </w:tcMar>
          </w:tcPr>
          <w:p>
            <w:pPr>
              <w:spacing w:after="0"/>
            </w:pPr>
            <w:r>
              <w:rPr>
                <w:rFonts w:ascii="Calibri" w:hAnsi="Calibri" w:cs="Calibri" w:eastAsia="Calibri"/>
                <w:b/>
                <w:i w:val="0"/>
                <w:color w:val="1A3A5C"/>
                <w:sz w:val="19"/>
              </w:rPr>
              <w:t>Назначение (bestemming)</w:t>
            </w:r>
          </w:p>
        </w:tc>
        <w:tc>
          <w:tcPr>
            <w:tcW w:type="dxa" w:w="6128"/>
            <w:tcMar>
              <w:top w:w="100" w:type="dxa"/>
              <w:start w:w="100" w:type="dxa"/>
              <w:bottom w:w="100" w:type="dxa"/>
              <w:end w:w="120" w:type="dxa"/>
            </w:tcMar>
          </w:tcPr>
          <w:p>
            <w:pPr>
              <w:spacing w:after="0"/>
            </w:pPr>
            <w:r>
              <w:rPr>
                <w:rFonts w:ascii="Calibri" w:hAnsi="Calibri" w:cs="Calibri" w:eastAsia="Calibri"/>
                <w:b w:val="0"/>
                <w:i w:val="0"/>
                <w:color w:val="2C2C2C"/>
                <w:sz w:val="19"/>
              </w:rPr>
              <w:t>Bedrijventerrein‑2, экологические категории 1–3.1</w:t>
            </w:r>
          </w:p>
        </w:tc>
      </w:tr>
      <w:tr>
        <w:trPr>
          <w:cantSplit w:val="1"/>
        </w:trPr>
        <w:tc>
          <w:tcPr>
            <w:tcW w:type="dxa" w:w="2900"/>
            <w:shd w:val="clear" w:color="auto" w:fill="FAFAFA"/>
            <w:tcMar>
              <w:top w:w="100" w:type="dxa"/>
              <w:start w:w="160" w:type="dxa"/>
              <w:bottom w:w="100" w:type="dxa"/>
              <w:end w:w="120" w:type="dxa"/>
            </w:tcMar>
          </w:tcPr>
          <w:p>
            <w:pPr>
              <w:spacing w:after="0"/>
            </w:pPr>
            <w:r>
              <w:rPr>
                <w:rFonts w:ascii="Calibri" w:hAnsi="Calibri" w:cs="Calibri" w:eastAsia="Calibri"/>
                <w:b/>
                <w:i w:val="0"/>
                <w:color w:val="1A3A5C"/>
                <w:sz w:val="19"/>
              </w:rPr>
              <w:t>Передача</w:t>
            </w:r>
          </w:p>
        </w:tc>
        <w:tc>
          <w:tcPr>
            <w:tcW w:type="dxa" w:w="6128"/>
            <w:tcMar>
              <w:top w:w="100" w:type="dxa"/>
              <w:start w:w="100" w:type="dxa"/>
              <w:bottom w:w="100" w:type="dxa"/>
              <w:end w:w="120" w:type="dxa"/>
            </w:tcMar>
          </w:tcPr>
          <w:p>
            <w:pPr>
              <w:spacing w:after="0"/>
            </w:pPr>
            <w:r>
              <w:rPr>
                <w:rFonts w:ascii="Calibri" w:hAnsi="Calibri" w:cs="Calibri" w:eastAsia="Calibri"/>
                <w:b w:val="0"/>
                <w:i w:val="0"/>
                <w:color w:val="2C2C2C"/>
                <w:sz w:val="19"/>
              </w:rPr>
              <w:t>по согласованию (in overleg)</w:t>
            </w:r>
          </w:p>
        </w:tc>
      </w:tr>
      <w:tr>
        <w:trPr>
          <w:cantSplit w:val="1"/>
        </w:trPr>
        <w:tc>
          <w:tcPr>
            <w:tcW w:type="dxa" w:w="2900"/>
            <w:shd w:val="clear" w:color="auto" w:fill="FAFAFA"/>
            <w:tcMar>
              <w:top w:w="100" w:type="dxa"/>
              <w:start w:w="160" w:type="dxa"/>
              <w:bottom w:w="100" w:type="dxa"/>
              <w:end w:w="120" w:type="dxa"/>
            </w:tcMar>
          </w:tcPr>
          <w:p>
            <w:pPr>
              <w:spacing w:after="0"/>
            </w:pPr>
            <w:r>
              <w:rPr>
                <w:rFonts w:ascii="Calibri" w:hAnsi="Calibri" w:cs="Calibri" w:eastAsia="Calibri"/>
                <w:b/>
                <w:i w:val="0"/>
                <w:color w:val="1A3A5C"/>
                <w:sz w:val="19"/>
              </w:rPr>
              <w:t>Ссылка</w:t>
            </w:r>
          </w:p>
        </w:tc>
        <w:tc>
          <w:tcPr>
            <w:tcW w:type="dxa" w:w="6128"/>
            <w:tcMar>
              <w:top w:w="100" w:type="dxa"/>
              <w:start w:w="100" w:type="dxa"/>
              <w:bottom w:w="100" w:type="dxa"/>
              <w:end w:w="120" w:type="dxa"/>
            </w:tcMar>
          </w:tcPr>
          <w:p>
            <w:pPr>
              <w:spacing w:after="0"/>
            </w:pPr>
            <w:hyperlink r:id="rId33">
              <w:r>
                <w:rPr>
                  <w:rFonts w:ascii="Calibri" w:hAnsi="Calibri" w:cs="Calibri" w:eastAsia="Calibri"/>
                  <w:b w:val="0"/>
                  <w:i w:val="0"/>
                  <w:color w:val="1A3A5C"/>
                  <w:sz w:val="19"/>
                  <w:u w:val="single"/>
                </w:rPr>
                <w:t>https://www.fundainbusiness.nl/en/belegging/utrecht/object-43068622-decimalaan-3/</w:t>
              </w:r>
            </w:hyperlink>
          </w:p>
        </w:tc>
      </w:tr>
    </w:tbl>
    <w:p>
      <w:pPr>
        <w:spacing w:before="0" w:after="0"/>
      </w:pPr>
    </w:p>
    <w:tbl>
      <w:tblPr>
        <w:tblW w:type="auto" w:w="0"/>
        <w:tblBorders>
          <w:top w:val="single" w:sz="4" w:space="0" w:color="C9A961"/>
          <w:start w:val="single" w:sz="18" w:space="0" w:color="C9A961"/>
          <w:bottom w:val="single" w:sz="4" w:space="0" w:color="C9A961"/>
          <w:end w:val="single" w:sz="4" w:space="0" w:color="C9A961"/>
          <w:insideH w:val="none" w:sz="0" w:space="0" w:color="auto"/>
          <w:insideV w:val="none" w:sz="0" w:space="0" w:color="auto"/>
        </w:tblBorders>
        <w:tblLayout w:type="fixed"/>
        <w:tblLook w:firstColumn="1" w:firstRow="1" w:lastColumn="0" w:lastRow="0" w:noHBand="0" w:noVBand="1" w:val="04A0"/>
      </w:tblPr>
      <w:tblGrid>
        <w:gridCol w:w="9558"/>
      </w:tblGrid>
      <w:tr>
        <w:tc>
          <w:tcPr>
            <w:tcW w:type="dxa" w:w="9558"/>
            <w:shd w:val="clear" w:color="auto" w:fill="F5F1E8"/>
            <w:tcMar>
              <w:top w:w="160" w:type="dxa"/>
              <w:start w:w="240" w:type="dxa"/>
              <w:bottom w:w="160" w:type="dxa"/>
              <w:end w:w="240" w:type="dxa"/>
            </w:tcMar>
          </w:tcPr>
          <w:p>
            <w:pPr>
              <w:spacing w:after="140"/>
            </w:pPr>
            <w:r>
              <w:rPr>
                <w:rFonts w:ascii="Calibri" w:hAnsi="Calibri" w:cs="Calibri" w:eastAsia="Calibri"/>
                <w:b/>
                <w:i w:val="0"/>
                <w:color w:val="1A3A5C"/>
                <w:spacing w:val="24"/>
                <w:sz w:val="21"/>
              </w:rPr>
              <w:t>О ГОРОДЕ И РАЙОНЕ</w:t>
            </w:r>
          </w:p>
          <w:p>
            <w:pPr>
              <w:keepNext w:val="1"/>
              <w:spacing w:after="100"/>
            </w:pPr>
            <w:r>
              <w:rPr>
                <w:rFonts w:ascii="Calibri" w:hAnsi="Calibri" w:cs="Calibri" w:eastAsia="Calibri"/>
                <w:b/>
                <w:i w:val="0"/>
                <w:color w:val="C9A961"/>
                <w:sz w:val="20"/>
              </w:rPr>
              <w:t xml:space="preserve">▪  </w:t>
            </w:r>
            <w:r>
              <w:rPr>
                <w:rFonts w:ascii="Calibri" w:hAnsi="Calibri" w:cs="Calibri" w:eastAsia="Calibri"/>
                <w:b/>
                <w:i w:val="0"/>
                <w:color w:val="1A3A5C"/>
                <w:sz w:val="20"/>
              </w:rPr>
              <w:t>Utrecht — бизнес-зона Kanaleneiland</w:t>
            </w:r>
          </w:p>
          <w:p>
            <w:pPr>
              <w:spacing w:before="0" w:after="120"/>
              <w:jc w:val="both"/>
            </w:pPr>
            <w:r>
              <w:rPr>
                <w:rFonts w:ascii="Calibri" w:hAnsi="Calibri" w:cs="Calibri" w:eastAsia="Calibri"/>
                <w:b w:val="0"/>
                <w:i w:val="0"/>
                <w:color w:val="2C2C2C"/>
                <w:sz w:val="20"/>
              </w:rPr>
              <w:t>Утрехт (Utrecht) — четвёртый по величине город Нидерландов и административный центр одноимённой провинции; население муниципалитета составляет около 378.100 человек (по данным Centraal Bureau voor de Statistiek, CBS StatLine, на 1 января 2026 года). Город расположен в географическом центре страны и является ключевым транспортным узлом: здесь сходятся федеральные трассы A2, A12, A27 и A28, а центральный вокзал Utrecht Centraal — крупнейший железнодорожный узел Нидерландов.</w:t>
            </w:r>
          </w:p>
          <w:p>
            <w:pPr>
              <w:spacing w:before="0" w:after="0"/>
              <w:jc w:val="both"/>
            </w:pPr>
            <w:r>
              <w:rPr>
                <w:rFonts w:ascii="Calibri" w:hAnsi="Calibri" w:cs="Calibri" w:eastAsia="Calibri"/>
                <w:b w:val="0"/>
                <w:i w:val="0"/>
                <w:color w:val="2C2C2C"/>
                <w:sz w:val="20"/>
              </w:rPr>
              <w:t>Объект находится в бизнес-зоне Kanaleneiland (Bedrijvengebied Kanaleneiland) на юго-западе города — территории смешанного использования с производственными предприятиями и объектами периферийной розничной торговли (perifere detailhandelsvestiging, PDV). Комплекс расположен непосредственно у Woonboulevard Utrecht — крупнейшего мебельного бульвара страны, где в пешей доступности работают около 69 магазинов (по данным Woonboulevard Utrecht), включая IKEA, Trendhopper, CarpetRight, KVIK и Auping Plaza. Локация обладает высокой видимостью, находится рядом со съездами с A2 и A12 и имеет хорошую связь с центром Утрехта; поблизости — остановки общественного транспорта и супермаркеты.</w:t>
            </w:r>
          </w:p>
        </w:tc>
      </w:tr>
    </w:tbl>
    <w:p>
      <w:pPr>
        <w:spacing w:before="0" w:after="0" w:line="240" w:lineRule="auto"/>
      </w:pPr>
      <w:r>
        <w:rPr>
          <w:rFonts w:ascii="Calibri" w:hAnsi="Calibri" w:cs="Calibri" w:eastAsia="Calibri"/>
          <w:b w:val="0"/>
          <w:i w:val="0"/>
          <w:color w:val="2C2C2C"/>
          <w:sz w:val="12"/>
        </w:rPr>
      </w:r>
    </w:p>
    <w:tbl>
      <w:tblPr>
        <w:tblW w:type="auto" w:w="0"/>
        <w:tblBorders>
          <w:top w:val="single" w:sz="4" w:space="0" w:color="DDE3EA"/>
          <w:start w:val="single" w:sz="18" w:space="0" w:color="C9A961"/>
          <w:bottom w:val="single" w:sz="4" w:space="0" w:color="DDE3EA"/>
          <w:end w:val="single" w:sz="4" w:space="0" w:color="DDE3EA"/>
          <w:insideH w:val="none" w:sz="0" w:space="0" w:color="auto"/>
          <w:insideV w:val="none" w:sz="0" w:space="0" w:color="auto"/>
        </w:tblBorders>
        <w:tblLayout w:type="fixed"/>
        <w:tblLook w:firstColumn="1" w:firstRow="1" w:lastColumn="0" w:lastRow="0" w:noHBand="0" w:noVBand="1" w:val="04A0"/>
      </w:tblPr>
      <w:tblGrid>
        <w:gridCol w:w="9558"/>
      </w:tblGrid>
      <w:tr>
        <w:tc>
          <w:tcPr>
            <w:tcW w:type="dxa" w:w="9558"/>
            <w:shd w:val="clear" w:color="auto" w:fill="FFFFFF"/>
            <w:tcMar>
              <w:top w:w="160" w:type="dxa"/>
              <w:start w:w="240" w:type="dxa"/>
              <w:bottom w:w="160" w:type="dxa"/>
              <w:end w:w="240" w:type="dxa"/>
            </w:tcMar>
          </w:tcPr>
          <w:p>
            <w:pPr>
              <w:spacing w:after="140"/>
            </w:pPr>
            <w:r>
              <w:rPr>
                <w:rFonts w:ascii="Calibri" w:hAnsi="Calibri" w:cs="Calibri" w:eastAsia="Calibri"/>
                <w:b/>
                <w:i w:val="0"/>
                <w:color w:val="1A3A5C"/>
                <w:spacing w:val="24"/>
                <w:sz w:val="21"/>
              </w:rPr>
              <w:t>ОПИСАНИЕ ОБЪЕКТА</w:t>
            </w:r>
          </w:p>
          <w:p>
            <w:pPr>
              <w:spacing w:before="0" w:after="120"/>
              <w:jc w:val="both"/>
            </w:pPr>
            <w:r>
              <w:rPr>
                <w:rFonts w:ascii="Calibri" w:hAnsi="Calibri" w:cs="Calibri" w:eastAsia="Calibri"/>
                <w:b w:val="0"/>
                <w:i w:val="0"/>
                <w:color w:val="2C2C2C"/>
                <w:sz w:val="20"/>
              </w:rPr>
              <w:t>Комплекс сложился как типичная застройка бизнес-зоны Kanaleneiland: здание 1965 года разделено на несколько самостоятельных арендных блоков со своими въездами, к которым относятся и адреса по Nieuw‑Amsterdamlaan. Продавец предлагает лот целиком и в арендованном состоянии (volledig verhuurde staat): покупатель приобретает не отдельное помещение, а сложившийся арендный поток из семи договоров и участок под ним.</w:t>
            </w:r>
          </w:p>
          <w:p>
            <w:pPr>
              <w:spacing w:before="0" w:after="120"/>
              <w:jc w:val="both"/>
            </w:pPr>
            <w:r>
              <w:rPr>
                <w:rFonts w:ascii="Calibri" w:hAnsi="Calibri" w:cs="Calibri" w:eastAsia="Calibri"/>
                <w:b w:val="0"/>
                <w:i w:val="0"/>
                <w:color w:val="2C2C2C"/>
                <w:sz w:val="20"/>
              </w:rPr>
              <w:t>Экономика сделки построена на разрыве между фактическим и рыночным уровнем аренды: действующие договоры примерно на 38 % ниже рыночной оценки арендной платы, что соответствует потенциалу роста дохода примерно на 62 %. Отсюда и расхождение показателей доходности: цифра, заявленная в листинге, посчитана от рыночной аренды и описывает потенциал, тогда как фактический арендный поток даёт заметно более низкую доходность к цене и к цене входа (значения — в таблице выше).</w:t>
            </w:r>
          </w:p>
          <w:p>
            <w:pPr>
              <w:spacing w:before="0" w:after="0"/>
              <w:jc w:val="both"/>
            </w:pPr>
            <w:r>
              <w:rPr>
                <w:rFonts w:ascii="Calibri" w:hAnsi="Calibri" w:cs="Calibri" w:eastAsia="Calibri"/>
                <w:b w:val="0"/>
                <w:i w:val="0"/>
                <w:color w:val="2C2C2C"/>
                <w:sz w:val="20"/>
              </w:rPr>
              <w:t>Короткий средневзвешенный срок аренды делает этот потенциал достижимым в обозримой перспективе, но он же означает, что доход не защищён длинными договорами: горизонт, в котором ставки можно привести к рынку, одновременно является горизонтом риска простоя. Продавец дополнительно указывает потенциал новой застройки участка — это ожидание, а не оформленное право. Объект рассчитан на инвестора с компетенцией в локальном управлении активами, готового к пересдаче в аренду и капитальным затратам, а не на пассивное владение.</w:t>
            </w:r>
          </w:p>
        </w:tc>
      </w:tr>
    </w:tbl>
    <w:p>
      <w:pPr>
        <w:spacing w:before="0" w:after="0" w:line="240" w:lineRule="auto"/>
      </w:pPr>
      <w:r>
        <w:rPr>
          <w:rFonts w:ascii="Calibri" w:hAnsi="Calibri" w:cs="Calibri" w:eastAsia="Calibri"/>
          <w:b w:val="0"/>
          <w:i w:val="0"/>
          <w:color w:val="2C2C2C"/>
          <w:sz w:val="12"/>
        </w:rPr>
      </w:r>
    </w:p>
    <w:tbl>
      <w:tblPr>
        <w:tblW w:type="auto" w:w="0"/>
        <w:tblBorders>
          <w:top w:val="single" w:sz="4" w:space="0" w:color="DDE3EA"/>
          <w:start w:val="single" w:sz="18" w:space="0" w:color="C9A961"/>
          <w:bottom w:val="single" w:sz="4" w:space="0" w:color="DDE3EA"/>
          <w:end w:val="single" w:sz="4" w:space="0" w:color="DDE3EA"/>
          <w:insideH w:val="none" w:sz="0" w:space="0" w:color="auto"/>
          <w:insideV w:val="none" w:sz="0" w:space="0" w:color="auto"/>
        </w:tblBorders>
        <w:tblLayout w:type="fixed"/>
        <w:tblLook w:firstColumn="1" w:firstRow="1" w:lastColumn="0" w:lastRow="0" w:noHBand="0" w:noVBand="1" w:val="04A0"/>
      </w:tblPr>
      <w:tblGrid>
        <w:gridCol w:w="9558"/>
      </w:tblGrid>
      <w:tr>
        <w:tc>
          <w:tcPr>
            <w:tcW w:type="dxa" w:w="9558"/>
            <w:shd w:val="clear" w:color="auto" w:fill="FFFFFF"/>
            <w:tcMar>
              <w:top w:w="160" w:type="dxa"/>
              <w:start w:w="240" w:type="dxa"/>
              <w:bottom w:w="160" w:type="dxa"/>
              <w:end w:w="240" w:type="dxa"/>
            </w:tcMar>
          </w:tcPr>
          <w:p>
            <w:pPr>
              <w:spacing w:after="140"/>
            </w:pPr>
            <w:r>
              <w:rPr>
                <w:rFonts w:ascii="Calibri" w:hAnsi="Calibri" w:cs="Calibri" w:eastAsia="Calibri"/>
                <w:b/>
                <w:i w:val="0"/>
                <w:color w:val="1A3A5C"/>
                <w:spacing w:val="24"/>
                <w:sz w:val="21"/>
              </w:rPr>
              <w:t>ПЛАНИРОВКА</w:t>
            </w:r>
          </w:p>
          <w:p>
            <w:pPr>
              <w:keepNext w:val="1"/>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val="0"/>
                <w:i w:val="0"/>
                <w:color w:val="2C2C2C"/>
                <w:sz w:val="20"/>
              </w:rPr>
              <w:t>Decimalaan 3, 5, 7 и 9 — производственно-складские и коммерческие блоки с самостоятельными въездами</w:t>
            </w:r>
          </w:p>
          <w:p>
            <w:pPr>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val="0"/>
                <w:i w:val="0"/>
                <w:color w:val="2C2C2C"/>
                <w:sz w:val="20"/>
              </w:rPr>
              <w:t>Nieuw‑Amsterdamlaan 4 и 6 — дополнительные помещения комплекса</w:t>
            </w:r>
          </w:p>
          <w:p>
            <w:pPr>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val="0"/>
                <w:i w:val="0"/>
                <w:color w:val="2C2C2C"/>
                <w:sz w:val="20"/>
              </w:rPr>
              <w:t>Служебное жильё (bedrijfswoning) в составе объекта</w:t>
            </w:r>
          </w:p>
          <w:p>
            <w:pPr>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val="0"/>
                <w:i w:val="0"/>
                <w:color w:val="2C2C2C"/>
                <w:sz w:val="20"/>
              </w:rPr>
              <w:t>В отдельных блоках есть витринные части и офисно-бытовые вставки (по фотографиям листинга); их площади отдельно не выделены</w:t>
            </w:r>
          </w:p>
          <w:p>
            <w:pPr>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val="0"/>
                <w:i w:val="0"/>
                <w:color w:val="2C2C2C"/>
                <w:sz w:val="20"/>
              </w:rPr>
              <w:t>Разбивка площадей по адресам и блокам в листинге не приводится — обмер NEN2580 и поэтажные планы предоставляются по запросу</w:t>
            </w:r>
          </w:p>
        </w:tc>
      </w:tr>
    </w:tbl>
    <w:p>
      <w:pPr>
        <w:spacing w:before="0" w:after="0" w:line="240" w:lineRule="auto"/>
      </w:pPr>
      <w:r>
        <w:rPr>
          <w:rFonts w:ascii="Calibri" w:hAnsi="Calibri" w:cs="Calibri" w:eastAsia="Calibri"/>
          <w:b w:val="0"/>
          <w:i w:val="0"/>
          <w:color w:val="2C2C2C"/>
          <w:sz w:val="12"/>
        </w:rPr>
      </w:r>
    </w:p>
    <w:tbl>
      <w:tblPr>
        <w:tblW w:type="auto" w:w="0"/>
        <w:tblBorders>
          <w:top w:val="single" w:sz="4" w:space="0" w:color="DDE3EA"/>
          <w:start w:val="single" w:sz="18" w:space="0" w:color="C9A961"/>
          <w:bottom w:val="single" w:sz="4" w:space="0" w:color="DDE3EA"/>
          <w:end w:val="single" w:sz="4" w:space="0" w:color="DDE3EA"/>
          <w:insideH w:val="none" w:sz="0" w:space="0" w:color="auto"/>
          <w:insideV w:val="none" w:sz="0" w:space="0" w:color="auto"/>
        </w:tblBorders>
        <w:tblLayout w:type="fixed"/>
        <w:tblLook w:firstColumn="1" w:firstRow="1" w:lastColumn="0" w:lastRow="0" w:noHBand="0" w:noVBand="1" w:val="04A0"/>
      </w:tblPr>
      <w:tblGrid>
        <w:gridCol w:w="9558"/>
      </w:tblGrid>
      <w:tr>
        <w:tc>
          <w:tcPr>
            <w:tcW w:type="dxa" w:w="9558"/>
            <w:shd w:val="clear" w:color="auto" w:fill="FFFFFF"/>
            <w:tcMar>
              <w:top w:w="160" w:type="dxa"/>
              <w:start w:w="240" w:type="dxa"/>
              <w:bottom w:w="160" w:type="dxa"/>
              <w:end w:w="240" w:type="dxa"/>
            </w:tcMar>
          </w:tcPr>
          <w:p>
            <w:pPr>
              <w:spacing w:after="140"/>
            </w:pPr>
            <w:r>
              <w:rPr>
                <w:rFonts w:ascii="Calibri" w:hAnsi="Calibri" w:cs="Calibri" w:eastAsia="Calibri"/>
                <w:b/>
                <w:i w:val="0"/>
                <w:color w:val="1A3A5C"/>
                <w:spacing w:val="24"/>
                <w:sz w:val="21"/>
              </w:rPr>
              <w:t>ТЕХНИЧЕСКИЕ ХАРАКТЕРИСТИКИ</w:t>
            </w:r>
          </w:p>
          <w:p>
            <w:pPr>
              <w:keepNext w:val="1"/>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val="0"/>
                <w:i w:val="0"/>
                <w:color w:val="2C2C2C"/>
                <w:sz w:val="20"/>
              </w:rPr>
              <w:t>Свободная высота, несущая способность пола и параметры ворот в листинге не указаны — уточняются при осмотре</w:t>
            </w:r>
          </w:p>
          <w:p>
            <w:pPr>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val="0"/>
                <w:i w:val="0"/>
                <w:color w:val="2C2C2C"/>
                <w:sz w:val="20"/>
              </w:rPr>
              <w:t>Инженерные системы (отопление, электроснабжение, вентиляция), состояние кровли и несущих конструкций в листинге не раскрыты</w:t>
            </w:r>
          </w:p>
          <w:p>
            <w:pPr>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val="0"/>
                <w:i w:val="0"/>
                <w:color w:val="2C2C2C"/>
                <w:sz w:val="20"/>
              </w:rPr>
              <w:t>Строительное досье (bouwdossier) предоставляется по запросу при серьёзном интересе — по нему проверяются конструктив, перестройки и разрешения</w:t>
            </w:r>
          </w:p>
          <w:p>
            <w:pPr>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val="0"/>
                <w:i w:val="0"/>
                <w:color w:val="2C2C2C"/>
                <w:sz w:val="20"/>
              </w:rPr>
              <w:t>Сведения о ремонтах и модернизации блоков после постройки в листинге отсутствуют</w:t>
            </w:r>
          </w:p>
          <w:p>
            <w:pPr>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val="0"/>
                <w:i w:val="0"/>
                <w:color w:val="2C2C2C"/>
                <w:sz w:val="20"/>
              </w:rPr>
              <w:t>Энергетический сертификат (energielabel) не предоставлен; расчёта полезной площади (gebruiksoppervlakte) по функциям в листинге нет</w:t>
            </w:r>
          </w:p>
        </w:tc>
      </w:tr>
    </w:tbl>
    <w:p>
      <w:pPr>
        <w:spacing w:before="0" w:after="0" w:line="240" w:lineRule="auto"/>
      </w:pPr>
      <w:r>
        <w:rPr>
          <w:rFonts w:ascii="Calibri" w:hAnsi="Calibri" w:cs="Calibri" w:eastAsia="Calibri"/>
          <w:b w:val="0"/>
          <w:i w:val="0"/>
          <w:color w:val="2C2C2C"/>
          <w:sz w:val="12"/>
        </w:rPr>
      </w:r>
    </w:p>
    <w:tbl>
      <w:tblPr>
        <w:tblW w:type="auto" w:w="0"/>
        <w:tblBorders>
          <w:top w:val="single" w:sz="4" w:space="0" w:color="DDE3EA"/>
          <w:start w:val="single" w:sz="18" w:space="0" w:color="C9A961"/>
          <w:bottom w:val="single" w:sz="4" w:space="0" w:color="DDE3EA"/>
          <w:end w:val="single" w:sz="4" w:space="0" w:color="DDE3EA"/>
          <w:insideH w:val="none" w:sz="0" w:space="0" w:color="auto"/>
          <w:insideV w:val="none" w:sz="0" w:space="0" w:color="auto"/>
        </w:tblBorders>
        <w:tblLayout w:type="fixed"/>
        <w:tblLook w:firstColumn="1" w:firstRow="1" w:lastColumn="0" w:lastRow="0" w:noHBand="0" w:noVBand="1" w:val="04A0"/>
      </w:tblPr>
      <w:tblGrid>
        <w:gridCol w:w="9558"/>
      </w:tblGrid>
      <w:tr>
        <w:tc>
          <w:tcPr>
            <w:tcW w:type="dxa" w:w="9558"/>
            <w:shd w:val="clear" w:color="auto" w:fill="FFFFFF"/>
            <w:tcMar>
              <w:top w:w="160" w:type="dxa"/>
              <w:start w:w="240" w:type="dxa"/>
              <w:bottom w:w="160" w:type="dxa"/>
              <w:end w:w="240" w:type="dxa"/>
            </w:tcMar>
          </w:tcPr>
          <w:p>
            <w:pPr>
              <w:spacing w:after="140"/>
            </w:pPr>
            <w:r>
              <w:rPr>
                <w:rFonts w:ascii="Calibri" w:hAnsi="Calibri" w:cs="Calibri" w:eastAsia="Calibri"/>
                <w:b/>
                <w:i w:val="0"/>
                <w:color w:val="1A3A5C"/>
                <w:spacing w:val="24"/>
                <w:sz w:val="21"/>
              </w:rPr>
              <w:t>АРЕНДА И АРЕНДАТОРЫ</w:t>
            </w:r>
          </w:p>
          <w:p>
            <w:pPr>
              <w:keepNext w:val="1"/>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val="0"/>
                <w:i w:val="0"/>
                <w:color w:val="2C2C2C"/>
                <w:sz w:val="20"/>
              </w:rPr>
              <w:t>Арендаторов: 7, заполняемость 100 % (volledig verhuurde staat)</w:t>
            </w:r>
          </w:p>
          <w:p>
            <w:pPr>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val="0"/>
                <w:i w:val="0"/>
                <w:color w:val="2C2C2C"/>
                <w:sz w:val="20"/>
              </w:rPr>
              <w:t>Текущий валовой доход: € 139.164 в год без НДС и эксплуатационных платежей (servicekosten); сдача с НДС 21 %</w:t>
            </w:r>
          </w:p>
          <w:p>
            <w:pPr>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val="0"/>
                <w:i w:val="0"/>
                <w:color w:val="2C2C2C"/>
                <w:sz w:val="20"/>
              </w:rPr>
              <w:t>Рыночная арендная стоимость по листингу: € 225.000 в год — оценка, а не заключённые договоры</w:t>
            </w:r>
          </w:p>
          <w:p>
            <w:pPr>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val="0"/>
                <w:i w:val="0"/>
                <w:color w:val="2C2C2C"/>
                <w:sz w:val="20"/>
              </w:rPr>
              <w:t>Три разные доходности: BAR по листингу 7,5 % — от рыночной аренды € 225.000, это потенциал; BAR к цене ≈ 4,7 % и BAR к цене входа ≈ 4,2 % — от фактического дохода € 139.164</w:t>
            </w:r>
          </w:p>
          <w:p>
            <w:pPr>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val="0"/>
                <w:i w:val="0"/>
                <w:color w:val="2C2C2C"/>
                <w:sz w:val="20"/>
              </w:rPr>
              <w:t>Разрыв к рыночной оценке: текущая аренда ниже на 38 %, полный выход на рыночный уровень означает рост дохода примерно на 62 % (+ € 85.836 в год)</w:t>
            </w:r>
          </w:p>
          <w:p>
            <w:pPr>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val="0"/>
                <w:i w:val="0"/>
                <w:color w:val="2C2C2C"/>
                <w:sz w:val="20"/>
              </w:rPr>
              <w:t>Средневзвешенный оставшийся срок аренды (WALT) ≈ 2,4 года — договоры подходят к пересмотру в короткой перспективе</w:t>
            </w:r>
          </w:p>
          <w:p>
            <w:pPr>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val="0"/>
                <w:i w:val="0"/>
                <w:color w:val="2C2C2C"/>
                <w:sz w:val="20"/>
              </w:rPr>
              <w:t>Договоры заключены преимущественно в письменной форме; арендная ведомость (huurlijst) предоставляется по запросу</w:t>
            </w:r>
          </w:p>
        </w:tc>
      </w:tr>
    </w:tbl>
    <w:p>
      <w:pPr>
        <w:spacing w:before="0" w:after="0" w:line="240" w:lineRule="auto"/>
      </w:pPr>
      <w:r>
        <w:rPr>
          <w:rFonts w:ascii="Calibri" w:hAnsi="Calibri" w:cs="Calibri" w:eastAsia="Calibri"/>
          <w:b w:val="0"/>
          <w:i w:val="0"/>
          <w:color w:val="2C2C2C"/>
          <w:sz w:val="12"/>
        </w:rPr>
      </w:r>
    </w:p>
    <w:tbl>
      <w:tblPr>
        <w:tblW w:type="auto" w:w="0"/>
        <w:tblBorders>
          <w:top w:val="single" w:sz="4" w:space="0" w:color="DDE3EA"/>
          <w:start w:val="single" w:sz="18" w:space="0" w:color="C9A961"/>
          <w:bottom w:val="single" w:sz="4" w:space="0" w:color="DDE3EA"/>
          <w:end w:val="single" w:sz="4" w:space="0" w:color="DDE3EA"/>
          <w:insideH w:val="none" w:sz="0" w:space="0" w:color="auto"/>
          <w:insideV w:val="none" w:sz="0" w:space="0" w:color="auto"/>
        </w:tblBorders>
        <w:tblLayout w:type="fixed"/>
        <w:tblLook w:firstColumn="1" w:firstRow="1" w:lastColumn="0" w:lastRow="0" w:noHBand="0" w:noVBand="1" w:val="04A0"/>
      </w:tblPr>
      <w:tblGrid>
        <w:gridCol w:w="9558"/>
      </w:tblGrid>
      <w:tr>
        <w:tc>
          <w:tcPr>
            <w:tcW w:type="dxa" w:w="9558"/>
            <w:shd w:val="clear" w:color="auto" w:fill="FFFFFF"/>
            <w:tcMar>
              <w:top w:w="160" w:type="dxa"/>
              <w:start w:w="240" w:type="dxa"/>
              <w:bottom w:w="160" w:type="dxa"/>
              <w:end w:w="240" w:type="dxa"/>
            </w:tcMar>
          </w:tcPr>
          <w:p>
            <w:pPr>
              <w:spacing w:after="140"/>
            </w:pPr>
            <w:r>
              <w:rPr>
                <w:rFonts w:ascii="Calibri" w:hAnsi="Calibri" w:cs="Calibri" w:eastAsia="Calibri"/>
                <w:b/>
                <w:i w:val="0"/>
                <w:color w:val="1A3A5C"/>
                <w:spacing w:val="24"/>
                <w:sz w:val="21"/>
              </w:rPr>
              <w:t>УЧАСТОК, КАДАСТР И НАЗНАЧЕНИЕ</w:t>
            </w:r>
          </w:p>
          <w:p>
            <w:pPr>
              <w:keepNext w:val="1"/>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val="0"/>
                <w:i w:val="0"/>
                <w:color w:val="2C2C2C"/>
                <w:sz w:val="20"/>
              </w:rPr>
              <w:t>Кадастровые данные: муниципалитет Utrecht, секция R, номера 221, 370, 371 и 548 — четыре участка</w:t>
            </w:r>
          </w:p>
          <w:p>
            <w:pPr>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val="0"/>
                <w:i w:val="0"/>
                <w:color w:val="2C2C2C"/>
                <w:sz w:val="20"/>
              </w:rPr>
              <w:t>Вещное право: полная собственность (volle eigendom)</w:t>
            </w:r>
          </w:p>
          <w:p>
            <w:pPr>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val="0"/>
                <w:i w:val="0"/>
                <w:color w:val="2C2C2C"/>
                <w:sz w:val="20"/>
              </w:rPr>
              <w:t>Действующий план землепользования: «Actualisering diverse gebieden» от 31‑10‑2013; с 01‑01‑2024 он входит во временную часть плана среды обитания (omgevingsplan)</w:t>
            </w:r>
          </w:p>
          <w:p>
            <w:pPr>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val="0"/>
                <w:i w:val="0"/>
                <w:color w:val="2C2C2C"/>
                <w:sz w:val="20"/>
              </w:rPr>
              <w:t>Назначение (bestemming): Bedrijventerrein‑2 — предприятия экологических категорий 1–3.1</w:t>
            </w:r>
          </w:p>
          <w:p>
            <w:pPr>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val="0"/>
                <w:i w:val="0"/>
                <w:color w:val="2C2C2C"/>
                <w:sz w:val="20"/>
              </w:rPr>
              <w:t>Территория: бизнес-зона и зона периферийной розничной торговли (PDV)</w:t>
            </w:r>
          </w:p>
          <w:p>
            <w:pPr>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val="0"/>
                <w:i w:val="0"/>
                <w:color w:val="2C2C2C"/>
                <w:sz w:val="20"/>
              </w:rPr>
              <w:t>Кадастровые выписки и кадастровая карта предоставляются по запросу</w:t>
            </w:r>
          </w:p>
        </w:tc>
      </w:tr>
    </w:tbl>
    <w:p>
      <w:pPr>
        <w:spacing w:before="0" w:after="0" w:line="240" w:lineRule="auto"/>
      </w:pPr>
      <w:r>
        <w:rPr>
          <w:rFonts w:ascii="Calibri" w:hAnsi="Calibri" w:cs="Calibri" w:eastAsia="Calibri"/>
          <w:b w:val="0"/>
          <w:i w:val="0"/>
          <w:color w:val="2C2C2C"/>
          <w:sz w:val="12"/>
        </w:rPr>
      </w:r>
    </w:p>
    <w:tbl>
      <w:tblPr>
        <w:tblW w:type="auto" w:w="0"/>
        <w:tblBorders>
          <w:top w:val="single" w:sz="4" w:space="0" w:color="DDE3EA"/>
          <w:start w:val="single" w:sz="18" w:space="0" w:color="C9A961"/>
          <w:bottom w:val="single" w:sz="4" w:space="0" w:color="DDE3EA"/>
          <w:end w:val="single" w:sz="4" w:space="0" w:color="DDE3EA"/>
          <w:insideH w:val="none" w:sz="0" w:space="0" w:color="auto"/>
          <w:insideV w:val="none" w:sz="0" w:space="0" w:color="auto"/>
        </w:tblBorders>
        <w:tblLayout w:type="fixed"/>
        <w:tblLook w:firstColumn="1" w:firstRow="1" w:lastColumn="0" w:lastRow="0" w:noHBand="0" w:noVBand="1" w:val="04A0"/>
      </w:tblPr>
      <w:tblGrid>
        <w:gridCol w:w="9558"/>
      </w:tblGrid>
      <w:tr>
        <w:tc>
          <w:tcPr>
            <w:tcW w:type="dxa" w:w="9558"/>
            <w:shd w:val="clear" w:color="auto" w:fill="FFFFFF"/>
            <w:tcMar>
              <w:top w:w="160" w:type="dxa"/>
              <w:start w:w="240" w:type="dxa"/>
              <w:bottom w:w="160" w:type="dxa"/>
              <w:end w:w="240" w:type="dxa"/>
            </w:tcMar>
          </w:tcPr>
          <w:p>
            <w:pPr>
              <w:spacing w:after="140"/>
            </w:pPr>
            <w:r>
              <w:rPr>
                <w:rFonts w:ascii="Calibri" w:hAnsi="Calibri" w:cs="Calibri" w:eastAsia="Calibri"/>
                <w:b/>
                <w:i w:val="0"/>
                <w:color w:val="1A3A5C"/>
                <w:spacing w:val="24"/>
                <w:sz w:val="21"/>
              </w:rPr>
              <w:t>РАСПОЛОЖЕНИЕ И ДОСТУПНОСТЬ</w:t>
            </w:r>
          </w:p>
          <w:p>
            <w:pPr>
              <w:keepNext w:val="1"/>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val="0"/>
                <w:i w:val="0"/>
                <w:color w:val="2C2C2C"/>
                <w:sz w:val="20"/>
              </w:rPr>
              <w:t>Бизнес-зона Kanaleneiland на юго-западе Утрехта</w:t>
            </w:r>
          </w:p>
          <w:p>
            <w:pPr>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val="0"/>
                <w:i w:val="0"/>
                <w:color w:val="2C2C2C"/>
                <w:sz w:val="20"/>
              </w:rPr>
              <w:t>Непосредственное соседство с Woonboulevard Utrecht (около 69 магазинов (по данным Woonboulevard Utrecht), крупнейший мебельный бульвар Нидерландов)</w:t>
            </w:r>
          </w:p>
          <w:p>
            <w:pPr>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val="0"/>
                <w:i w:val="0"/>
                <w:color w:val="2C2C2C"/>
                <w:sz w:val="20"/>
              </w:rPr>
              <w:t>Близость к съездам с федеральных трасс A2 и A12</w:t>
            </w:r>
          </w:p>
          <w:p>
            <w:pPr>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val="0"/>
                <w:i w:val="0"/>
                <w:color w:val="2C2C2C"/>
                <w:sz w:val="20"/>
              </w:rPr>
              <w:t>Хорошая связь с центром Утрехта</w:t>
            </w:r>
          </w:p>
          <w:p>
            <w:pPr>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val="0"/>
                <w:i w:val="0"/>
                <w:color w:val="2C2C2C"/>
                <w:sz w:val="20"/>
              </w:rPr>
              <w:t>Остановки общественного транспорта и супермаркеты — в непосредственной близости</w:t>
            </w:r>
          </w:p>
          <w:p>
            <w:pPr>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val="0"/>
                <w:i w:val="0"/>
                <w:color w:val="2C2C2C"/>
                <w:sz w:val="20"/>
              </w:rPr>
              <w:t>Высокая видимость объекта для проезжающего транспорта</w:t>
            </w:r>
          </w:p>
        </w:tc>
      </w:tr>
    </w:tbl>
    <w:p>
      <w:pPr>
        <w:spacing w:before="0" w:after="0" w:line="240" w:lineRule="auto"/>
      </w:pPr>
      <w:r>
        <w:rPr>
          <w:rFonts w:ascii="Calibri" w:hAnsi="Calibri" w:cs="Calibri" w:eastAsia="Calibri"/>
          <w:b w:val="0"/>
          <w:i w:val="0"/>
          <w:color w:val="2C2C2C"/>
          <w:sz w:val="12"/>
        </w:rPr>
      </w:r>
    </w:p>
    <w:tbl>
      <w:tblPr>
        <w:tblW w:type="auto" w:w="0"/>
        <w:tblBorders>
          <w:top w:val="single" w:sz="4" w:space="0" w:color="DDE3EA"/>
          <w:start w:val="single" w:sz="18" w:space="0" w:color="C9A961"/>
          <w:bottom w:val="single" w:sz="4" w:space="0" w:color="DDE3EA"/>
          <w:end w:val="single" w:sz="4" w:space="0" w:color="DDE3EA"/>
          <w:insideH w:val="none" w:sz="0" w:space="0" w:color="auto"/>
          <w:insideV w:val="none" w:sz="0" w:space="0" w:color="auto"/>
        </w:tblBorders>
        <w:tblLayout w:type="fixed"/>
        <w:tblLook w:firstColumn="1" w:firstRow="1" w:lastColumn="0" w:lastRow="0" w:noHBand="0" w:noVBand="1" w:val="04A0"/>
      </w:tblPr>
      <w:tblGrid>
        <w:gridCol w:w="9558"/>
      </w:tblGrid>
      <w:tr>
        <w:tc>
          <w:tcPr>
            <w:tcW w:type="dxa" w:w="9558"/>
            <w:shd w:val="clear" w:color="auto" w:fill="FFFFFF"/>
            <w:tcMar>
              <w:top w:w="160" w:type="dxa"/>
              <w:start w:w="240" w:type="dxa"/>
              <w:bottom w:w="160" w:type="dxa"/>
              <w:end w:w="240" w:type="dxa"/>
            </w:tcMar>
          </w:tcPr>
          <w:p>
            <w:pPr>
              <w:spacing w:after="140"/>
            </w:pPr>
            <w:r>
              <w:rPr>
                <w:rFonts w:ascii="Calibri" w:hAnsi="Calibri" w:cs="Calibri" w:eastAsia="Calibri"/>
                <w:b/>
                <w:i w:val="0"/>
                <w:color w:val="1A3A5C"/>
                <w:spacing w:val="24"/>
                <w:sz w:val="21"/>
              </w:rPr>
              <w:t>ОСОБЕННОСТИ И СТАТУС</w:t>
            </w:r>
          </w:p>
          <w:p>
            <w:pPr>
              <w:keepNext w:val="1"/>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val="0"/>
                <w:i w:val="0"/>
                <w:color w:val="2C2C2C"/>
                <w:sz w:val="20"/>
              </w:rPr>
              <w:t>Объект передаётся полностью в арендованном состоянии (volledig verhuurde staat)</w:t>
            </w:r>
          </w:p>
          <w:p>
            <w:pPr>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val="0"/>
                <w:i w:val="0"/>
                <w:color w:val="2C2C2C"/>
                <w:sz w:val="20"/>
              </w:rPr>
              <w:t>Продавец заявляет потенциал новой застройки участка</w:t>
            </w:r>
          </w:p>
          <w:p>
            <w:pPr>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val="0"/>
                <w:i w:val="0"/>
                <w:color w:val="2C2C2C"/>
                <w:sz w:val="20"/>
              </w:rPr>
              <w:t>Передача: по согласованию (in overleg)</w:t>
            </w:r>
          </w:p>
          <w:p>
            <w:pPr>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val="0"/>
                <w:i w:val="0"/>
                <w:color w:val="2C2C2C"/>
                <w:sz w:val="20"/>
              </w:rPr>
              <w:t>Энергетический класс не предоставлен</w:t>
            </w:r>
          </w:p>
          <w:p>
            <w:pPr>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val="0"/>
                <w:i w:val="0"/>
                <w:color w:val="2C2C2C"/>
                <w:sz w:val="20"/>
              </w:rPr>
              <w:t>При серьёзном интересе предоставляются: справки о назначении и использовании, информация о состоянии почвы, решение по Закону об охране почв (WBB), строительное досье, арендные ведомости, кадастровые выписки и карта, документы о праве собственности, обмер NEN2580, начисление налога на недвижимость (OZB), поэтажные планы и форма данных объекта</w:t>
            </w:r>
          </w:p>
          <w:p>
            <w:pPr>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val="0"/>
                <w:i w:val="0"/>
                <w:color w:val="2C2C2C"/>
                <w:sz w:val="20"/>
              </w:rPr>
              <w:t>Брокер: Brecheisen Bedrijfsmakelaars, тел. 030‑2331116</w:t>
            </w:r>
          </w:p>
        </w:tc>
      </w:tr>
    </w:tbl>
    <w:p>
      <w:pPr>
        <w:spacing w:before="0" w:after="0" w:line="240" w:lineRule="auto"/>
      </w:pPr>
      <w:r>
        <w:rPr>
          <w:rFonts w:ascii="Calibri" w:hAnsi="Calibri" w:cs="Calibri" w:eastAsia="Calibri"/>
          <w:b w:val="0"/>
          <w:i w:val="0"/>
          <w:color w:val="2C2C2C"/>
          <w:sz w:val="12"/>
        </w:rPr>
      </w:r>
    </w:p>
    <w:tbl>
      <w:tblPr>
        <w:tblW w:type="auto" w:w="0"/>
        <w:tblBorders>
          <w:top w:val="single" w:sz="4" w:space="0" w:color="DDE3EA"/>
          <w:start w:val="single" w:sz="18" w:space="0" w:color="1A3A5C"/>
          <w:bottom w:val="single" w:sz="4" w:space="0" w:color="DDE3EA"/>
          <w:end w:val="single" w:sz="4" w:space="0" w:color="DDE3EA"/>
          <w:insideH w:val="none" w:sz="0" w:space="0" w:color="auto"/>
          <w:insideV w:val="none" w:sz="0" w:space="0" w:color="auto"/>
        </w:tblBorders>
        <w:tblLayout w:type="fixed"/>
        <w:tblLook w:firstColumn="1" w:firstRow="1" w:lastColumn="0" w:lastRow="0" w:noHBand="0" w:noVBand="1" w:val="04A0"/>
      </w:tblPr>
      <w:tblGrid>
        <w:gridCol w:w="9558"/>
      </w:tblGrid>
      <w:tr>
        <w:tc>
          <w:tcPr>
            <w:tcW w:type="dxa" w:w="9558"/>
            <w:shd w:val="clear" w:color="auto" w:fill="F4F7FA"/>
            <w:tcMar>
              <w:top w:w="160" w:type="dxa"/>
              <w:start w:w="240" w:type="dxa"/>
              <w:bottom w:w="160" w:type="dxa"/>
              <w:end w:w="240" w:type="dxa"/>
            </w:tcMar>
          </w:tcPr>
          <w:p>
            <w:pPr>
              <w:spacing w:after="140"/>
            </w:pPr>
            <w:r>
              <w:rPr>
                <w:rFonts w:ascii="Calibri" w:hAnsi="Calibri" w:cs="Calibri" w:eastAsia="Calibri"/>
                <w:b/>
                <w:i w:val="0"/>
                <w:color w:val="1A3A5C"/>
                <w:spacing w:val="24"/>
                <w:sz w:val="21"/>
              </w:rPr>
              <w:t>КЛЮЧЕВЫЕ РИСКИ И ПРОВЕРКИ</w:t>
            </w:r>
          </w:p>
          <w:p>
            <w:pPr>
              <w:keepNext w:val="1"/>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i w:val="0"/>
                <w:color w:val="1A3A5C"/>
                <w:sz w:val="20"/>
              </w:rPr>
              <w:t>База заявленной доходности</w:t>
            </w:r>
            <w:r>
              <w:rPr>
                <w:rFonts w:ascii="Calibri" w:hAnsi="Calibri" w:cs="Calibri" w:eastAsia="Calibri"/>
                <w:b w:val="0"/>
                <w:i w:val="0"/>
                <w:color w:val="2C2C2C"/>
                <w:sz w:val="20"/>
              </w:rPr>
              <w:t xml:space="preserve"> — </w:t>
            </w:r>
            <w:r>
              <w:rPr>
                <w:rFonts w:ascii="Calibri" w:hAnsi="Calibri" w:cs="Calibri" w:eastAsia="Calibri"/>
                <w:b w:val="0"/>
                <w:i w:val="0"/>
                <w:color w:val="2C2C2C"/>
                <w:sz w:val="20"/>
              </w:rPr>
              <w:t>Разделять три показателя и не смешивать их: BAR по листингу 7,5 % посчитан от рыночной аренды € 225.000 и описывает потенциал, тогда как фактический доход € 139.164 даёт BAR к цене ≈ 4,7 % и BAR к цене входа ≈ 4,2 % (цена входа включает налог на переход права, overdrachtsbelasting, 10,4 % и расходы по сделке). Запросить арендную ведомость (huurlijst) по каждому помещению — площадь, срок, ставка, эксплуатационные платежи (servicekosten), обеспечение — и письменное обоснование оценки € 225.000 от продавца либо независимого оценщика (taxateur). Считать разрыв между текущей доходностью и цифрой листинга сценарием роста дохода, а не текущим результатом.</w:t>
            </w:r>
          </w:p>
          <w:p>
            <w:pPr>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i w:val="0"/>
                <w:color w:val="1A3A5C"/>
                <w:sz w:val="20"/>
              </w:rPr>
              <w:t>Рыночность арендной ставки</w:t>
            </w:r>
            <w:r>
              <w:rPr>
                <w:rFonts w:ascii="Calibri" w:hAnsi="Calibri" w:cs="Calibri" w:eastAsia="Calibri"/>
                <w:b w:val="0"/>
                <w:i w:val="0"/>
                <w:color w:val="2C2C2C"/>
                <w:sz w:val="20"/>
              </w:rPr>
              <w:t xml:space="preserve"> — </w:t>
            </w:r>
            <w:r>
              <w:rPr>
                <w:rFonts w:ascii="Calibri" w:hAnsi="Calibri" w:cs="Calibri" w:eastAsia="Calibri"/>
                <w:b w:val="0"/>
                <w:i w:val="0"/>
                <w:color w:val="2C2C2C"/>
                <w:sz w:val="20"/>
              </w:rPr>
              <w:t>Текущая аренда составляет ≈ € 47/м² в год при заявленном рыночном уровне ≈ € 77/м² в год; для сравнения, верхний уровень ставок (tophuur) по производственно-складским помещениям (bedrijfsruimte) в Утрехте — € 95/м² в год (по данным Utrecht Monitor, 2025 год), но он относится к современным объектам в лучших локациях, тогда как здесь постройка 1965 года. Запросить разбивку рыночной оценки по помещениям — производственный зал (hal), витринная часть, офис, антресоль, служебное жильё (bedrijfswoning): часть площадей приходится на верхние уровни и антресоли, которые сдаются кратно дешевле зала. Подтвердить оценку 3–5 сопоставимыми состоявшимися сделками по Kanaleneiland и Woonboulevard, а не только запрашиваемыми ставками в объявлениях.</w:t>
            </w:r>
          </w:p>
          <w:p>
            <w:pPr>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i w:val="0"/>
                <w:color w:val="1A3A5C"/>
                <w:sz w:val="20"/>
              </w:rPr>
              <w:t>Срок аренды (WALT), вакансия и стоимость пересдачи</w:t>
            </w:r>
            <w:r>
              <w:rPr>
                <w:rFonts w:ascii="Calibri" w:hAnsi="Calibri" w:cs="Calibri" w:eastAsia="Calibri"/>
                <w:b w:val="0"/>
                <w:i w:val="0"/>
                <w:color w:val="2C2C2C"/>
                <w:sz w:val="20"/>
              </w:rPr>
              <w:t xml:space="preserve"> — </w:t>
            </w:r>
            <w:r>
              <w:rPr>
                <w:rFonts w:ascii="Calibri" w:hAnsi="Calibri" w:cs="Calibri" w:eastAsia="Calibri"/>
                <w:b w:val="0"/>
                <w:i w:val="0"/>
                <w:color w:val="2C2C2C"/>
                <w:sz w:val="20"/>
              </w:rPr>
              <w:t>WALT 2,4 года при семи арендаторах означает, что основная часть договоров подходит к пересмотру в горизонте 2–3 лет: это одновременно окно для приведения ставок к рынку (+ € 85.836 в год, то есть рост дохода примерно на 62 %) и главный риск дохода. Проверить график истечения договоров по годам и концентрацию дохода — долю крупнейшего арендатора в общей аренде. Запросить рыночную сводку по производственно-складскому сегменту Утрехта (уровень вакансии, поглощение, средний срок экспозиции) на дату сделки с указанием источника и даты, а не ориентироваться на оценку продавца. Заложить в модель полную стоимость пересдачи в аренду: простой между договорами, арендные каникулы (huurvrije periode), брокерскую комиссию за сдачу (verhuurcourtage) и капитальные затраты на доведение помещений до состояния, за которое платят рыночную ставку.</w:t>
            </w:r>
          </w:p>
          <w:p>
            <w:pPr>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i w:val="0"/>
                <w:color w:val="1A3A5C"/>
                <w:sz w:val="20"/>
              </w:rPr>
              <w:t>Кредитное качество арендаторов и условия договоров</w:t>
            </w:r>
            <w:r>
              <w:rPr>
                <w:rFonts w:ascii="Calibri" w:hAnsi="Calibri" w:cs="Calibri" w:eastAsia="Calibri"/>
                <w:b w:val="0"/>
                <w:i w:val="0"/>
                <w:color w:val="2C2C2C"/>
                <w:sz w:val="20"/>
              </w:rPr>
              <w:t xml:space="preserve"> — </w:t>
            </w:r>
            <w:r>
              <w:rPr>
                <w:rFonts w:ascii="Calibri" w:hAnsi="Calibri" w:cs="Calibri" w:eastAsia="Calibri"/>
                <w:b w:val="0"/>
                <w:i w:val="0"/>
                <w:color w:val="2C2C2C"/>
                <w:sz w:val="20"/>
              </w:rPr>
              <w:t>По каждому арендатору запросить выписку из торгового реестра (uittreksel KvK), депонированную годовую отчётность и платёжную историю, а также гарантийный депозит (waarborgsom) или банковские гарантии — автосервисы часто представлены небольшими компаниями с ограниченной ответственностью (BV) и тонким капиталом. Проверить редакцию типового договора ROZ, механизм индексации (индекс потребительских цен, дата пересмотра, наличие пропущенных индексаций), условия досрочного расторжения, а также правовой режим: автосервис с приёмом клиентов может квалифицироваться как ремесленное предприятие по ст. 7:290 Гражданского кодекса Нидерландов (ambachtsbedrijf, защита 5 + 5 лет), а служебное жильё (bedrijfswoning) при отдельной сдаче попадает под режим жилой аренды с защитой нанимателя (huurbescherming). Отдельно подтвердить, по всем ли договорам применена опция аренды с НДС (btw-belaste verhuur), требующая не менее 90 % облагаемого использования у арендатора: освобождённое использование служебного жилья даёт пропорциональный вычет (pro rata) и риск корректировки ранее вычтенного НДС (herziening) по прошлым вложениям.</w:t>
            </w:r>
          </w:p>
          <w:p>
            <w:pPr>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i w:val="0"/>
                <w:color w:val="1A3A5C"/>
                <w:sz w:val="20"/>
              </w:rPr>
              <w:t>Состояние почвы и решение WBB</w:t>
            </w:r>
            <w:r>
              <w:rPr>
                <w:rFonts w:ascii="Calibri" w:hAnsi="Calibri" w:cs="Calibri" w:eastAsia="Calibri"/>
                <w:b w:val="0"/>
                <w:i w:val="0"/>
                <w:color w:val="2C2C2C"/>
                <w:sz w:val="20"/>
              </w:rPr>
              <w:t xml:space="preserve"> — </w:t>
            </w:r>
            <w:r>
              <w:rPr>
                <w:rFonts w:ascii="Calibri" w:hAnsi="Calibri" w:cs="Calibri" w:eastAsia="Calibri"/>
                <w:b w:val="0"/>
                <w:i w:val="0"/>
                <w:color w:val="2C2C2C"/>
                <w:sz w:val="20"/>
              </w:rPr>
              <w:t>Наличие решения по Закону об охране почв (Wet bodembescherming, WBB) в перечне документов указывает на квалифицированный случай загрязнения. Сам закон отменён с 01‑01‑2024 вместе с введением Закона о среде обитания (Omgevingswet), но по решениям о серьёзности и срочности (ernst/spoed), принятым до этой даты, действует переходное право, включая обязанность санации (saneringsplicht) для промышленных территорий, — то есть обязанность может перейти к покупателю. Запросить само решение, историческое исследование (NEN 5725) и предварительное либо углублённое обследование почвы (NEN 5740), статус санации и последующего контроля (nazorg), регистрацию ограничения в публичном реестре (WKPB). По арендаторам-автосервисам отдельно проверить историю подземных резервуаров (ondergrondse tanks) с сертификатом ликвидации (KIWA/BOOT), мойки (wasplaats) и маслоотделителя (olieafscheider).</w:t>
            </w:r>
          </w:p>
          <w:p>
            <w:pPr>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i w:val="0"/>
                <w:color w:val="1A3A5C"/>
                <w:sz w:val="20"/>
              </w:rPr>
              <w:t>Наличие асбеста</w:t>
            </w:r>
            <w:r>
              <w:rPr>
                <w:rFonts w:ascii="Calibri" w:hAnsi="Calibri" w:cs="Calibri" w:eastAsia="Calibri"/>
                <w:b w:val="0"/>
                <w:i w:val="0"/>
                <w:color w:val="2C2C2C"/>
                <w:sz w:val="20"/>
              </w:rPr>
              <w:t xml:space="preserve"> — </w:t>
            </w:r>
            <w:r>
              <w:rPr>
                <w:rFonts w:ascii="Calibri" w:hAnsi="Calibri" w:cs="Calibri" w:eastAsia="Calibri"/>
                <w:b w:val="0"/>
                <w:i w:val="0"/>
                <w:color w:val="2C2C2C"/>
                <w:sz w:val="20"/>
              </w:rPr>
              <w:t>Год постройки 1965 — до запрета 1994 года, поэтому вероятность асбеста в кровле, облицовке, вентиляции и технических помещениях высокая. Запросить инвентаризацию асбеста (asbestinventarisatie) типа A и план управления (beheersplan); учесть, что перед реконструкцией или сносом обязательна инвентаризация типа B, а при асбестовой кровле страховщики часто ограничивают покрытие. Параллельно запросить многолетний план обслуживания (MJOP) и заключения по несущим конструкциям, кровле, электрике и вентиляции: при цене ≈ € 1.014/м² скрытые капитальные затраты быстро съедают выигрыш от приведения ставок к рынку.</w:t>
            </w:r>
          </w:p>
          <w:p>
            <w:pPr>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i w:val="0"/>
                <w:color w:val="1A3A5C"/>
                <w:sz w:val="20"/>
              </w:rPr>
              <w:t>Энергетическая маркировка (energielabel)</w:t>
            </w:r>
            <w:r>
              <w:rPr>
                <w:rFonts w:ascii="Calibri" w:hAnsi="Calibri" w:cs="Calibri" w:eastAsia="Calibri"/>
                <w:b w:val="0"/>
                <w:i w:val="0"/>
                <w:color w:val="2C2C2C"/>
                <w:sz w:val="20"/>
              </w:rPr>
              <w:t xml:space="preserve"> — </w:t>
            </w:r>
            <w:r>
              <w:rPr>
                <w:rFonts w:ascii="Calibri" w:hAnsi="Calibri" w:cs="Calibri" w:eastAsia="Calibri"/>
                <w:b w:val="0"/>
                <w:i w:val="0"/>
                <w:color w:val="2C2C2C"/>
                <w:sz w:val="20"/>
              </w:rPr>
              <w:t>Энергетический сертификат не предоставлен, хотя действующий сертификат обязателен при продаже и сдаче нежилого объекта. Запросить сертификат либо расчёт консультанта по энергоэффективности (EP-adviseur). Проверить применимость запрета эксплуатировать офис без класса не ниже C (действует с 01‑01‑2023): запрет не применяется, если офисная функция занимает менее 50 % полезной площади здания (gebruiksoppervlakte) или менее 100 м², и при преобладании производственно-складских площадей исключение здесь вероятно, но должно подтверждаться расчётом площади по функциям, а не допущением. Учесть, что офисные вставки в отдельных блоках могут переводить конкретное здание в сферу действия запрета, и заложить бюджет на дальнейшее ужесточение требований к нежилому фонду.</w:t>
            </w:r>
          </w:p>
          <w:p>
            <w:pPr>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i w:val="0"/>
                <w:color w:val="1A3A5C"/>
                <w:sz w:val="20"/>
              </w:rPr>
              <w:t>План землепользования и кадастр</w:t>
            </w:r>
            <w:r>
              <w:rPr>
                <w:rFonts w:ascii="Calibri" w:hAnsi="Calibri" w:cs="Calibri" w:eastAsia="Calibri"/>
                <w:b w:val="0"/>
                <w:i w:val="0"/>
                <w:color w:val="2C2C2C"/>
                <w:sz w:val="20"/>
              </w:rPr>
              <w:t xml:space="preserve"> — </w:t>
            </w:r>
            <w:r>
              <w:rPr>
                <w:rFonts w:ascii="Calibri" w:hAnsi="Calibri" w:cs="Calibri" w:eastAsia="Calibri"/>
                <w:b w:val="0"/>
                <w:i w:val="0"/>
                <w:color w:val="2C2C2C"/>
                <w:sz w:val="20"/>
              </w:rPr>
              <w:t>Назначение — Bedrijventerrein‑2, категории 1–3.1 по плану «Actualisering diverse gebieden» от 31‑10‑2013, который с 01‑01‑2024 вошёл во временную часть плана среды обитания (omgevingsplan); муниципалитет обязан привести его к постоянному варианту к 2032 году, поэтому потенциал новой застройки — это ожидание, а не право. Проверить в цифровой системе среды обитания (DSO, «Regels op de kaart») процент застройки, высоту, нормы парковки и статус служебного жилья (bedrijfswoning) — действующее право или переходное право (overgangsrecht), а также позицию Утрехта по зоне у Woonboulevard: смена функции потребует изменения omgevingsplan, зонирования по экологическим категориям (milieuzonering), шумовых расчётов и санации почвы. По четырём участкам (Utrecht, секция R, номера 221, 370, 371 и 548) заказать кадастровые выписки и проверку обременений (hypothecaire recherche): сервитуты, право застройки (opstalrecht), качественные обязательства (kwalitatieve verplichtingen), публично-правовые ограничения и соответствие фактической застройки и парковки границам участков.</w:t>
            </w:r>
          </w:p>
        </w:tc>
      </w:tr>
    </w:tbl>
    <w:p>
      <w:pPr>
        <w:spacing w:before="0" w:after="0"/>
      </w:pPr>
      <w:r>
        <w:br w:type="page"/>
      </w:r>
    </w:p>
    <w:p>
      <w:pPr>
        <w:keepNext w:val="1"/>
        <w:spacing w:before="0" w:after="0" w:line="240" w:lineRule="auto"/>
        <w:ind w:left="0" w:right="0" w:firstLine="0"/>
        <w:jc w:val="center"/>
      </w:pPr>
      <w:r>
        <w:drawing>
          <wp:inline xmlns:a="http://schemas.openxmlformats.org/drawingml/2006/main" xmlns:pic="http://schemas.openxmlformats.org/drawingml/2006/picture">
            <wp:extent cx="5810400" cy="3195719"/>
            <wp:docPr id="18" name="Picture 18"/>
            <wp:cNvGraphicFramePr>
              <a:graphicFrameLocks noChangeAspect="1"/>
            </wp:cNvGraphicFramePr>
            <a:graphic>
              <a:graphicData uri="http://schemas.openxmlformats.org/drawingml/2006/picture">
                <pic:pic>
                  <pic:nvPicPr>
                    <pic:cNvPr id="0" name="decimalaan-3-utrecht-google.png"/>
                    <pic:cNvPicPr/>
                  </pic:nvPicPr>
                  <pic:blipFill>
                    <a:blip r:embed="rId34"/>
                    <a:stretch>
                      <a:fillRect/>
                    </a:stretch>
                  </pic:blipFill>
                  <pic:spPr>
                    <a:xfrm>
                      <a:off x="0" y="0"/>
                      <a:ext cx="5810400" cy="3195719"/>
                    </a:xfrm>
                    <a:prstGeom prst="rect"/>
                  </pic:spPr>
                </pic:pic>
              </a:graphicData>
            </a:graphic>
          </wp:inline>
        </w:drawing>
      </w:r>
    </w:p>
    <w:p>
      <w:pPr>
        <w:spacing w:before="60" w:after="0"/>
        <w:jc w:val="center"/>
      </w:pPr>
      <w:r>
        <w:rPr>
          <w:rFonts w:ascii="Calibri" w:hAnsi="Calibri" w:cs="Calibri" w:eastAsia="Calibri"/>
          <w:b w:val="0"/>
          <w:i/>
          <w:color w:val="5A6E80"/>
          <w:sz w:val="17"/>
        </w:rPr>
        <w:t>Расположение объекта: Utrecht</w:t>
      </w:r>
    </w:p>
    <w:p>
      <w:pPr>
        <w:keepNext w:val="1"/>
        <w:spacing w:before="280" w:after="0" w:line="240" w:lineRule="auto"/>
        <w:ind w:left="0" w:right="0" w:firstLine="0"/>
        <w:jc w:val="center"/>
      </w:pPr>
      <w:r>
        <w:drawing>
          <wp:inline xmlns:a="http://schemas.openxmlformats.org/drawingml/2006/main" xmlns:pic="http://schemas.openxmlformats.org/drawingml/2006/picture">
            <wp:extent cx="5810400" cy="3638338"/>
            <wp:docPr id="19" name="Picture 19"/>
            <wp:cNvGraphicFramePr>
              <a:graphicFrameLocks noChangeAspect="1"/>
            </wp:cNvGraphicFramePr>
            <a:graphic>
              <a:graphicData uri="http://schemas.openxmlformats.org/drawingml/2006/picture">
                <pic:pic>
                  <pic:nvPicPr>
                    <pic:cNvPr id="0" name="0447443954be3d4a.jpg"/>
                    <pic:cNvPicPr/>
                  </pic:nvPicPr>
                  <pic:blipFill>
                    <a:blip r:embed="rId35"/>
                    <a:stretch>
                      <a:fillRect/>
                    </a:stretch>
                  </pic:blipFill>
                  <pic:spPr>
                    <a:xfrm>
                      <a:off x="0" y="0"/>
                      <a:ext cx="5810400" cy="3638338"/>
                    </a:xfrm>
                    <a:prstGeom prst="rect"/>
                  </pic:spPr>
                </pic:pic>
              </a:graphicData>
            </a:graphic>
          </wp:inline>
        </w:drawing>
      </w:r>
    </w:p>
    <w:p>
      <w:pPr>
        <w:spacing w:before="60" w:after="0"/>
        <w:jc w:val="center"/>
      </w:pPr>
      <w:r>
        <w:rPr>
          <w:rFonts w:ascii="Calibri" w:hAnsi="Calibri" w:cs="Calibri" w:eastAsia="Calibri"/>
          <w:b w:val="0"/>
          <w:i/>
          <w:color w:val="5A6E80"/>
          <w:sz w:val="17"/>
        </w:rPr>
        <w:t>Аэрофотоснимок: красным контуром показан весь лот — все блоки комплекса и участок под ними</w:t>
      </w:r>
    </w:p>
    <w:p>
      <w:pPr>
        <w:spacing w:before="0" w:after="0"/>
      </w:pPr>
      <w:r>
        <w:br w:type="page"/>
      </w:r>
    </w:p>
    <w:p>
      <w:pPr>
        <w:keepNext w:val="1"/>
        <w:spacing w:before="0" w:after="0" w:line="240" w:lineRule="auto"/>
        <w:ind w:left="0" w:right="0" w:firstLine="0"/>
        <w:jc w:val="center"/>
      </w:pPr>
      <w:r>
        <w:drawing>
          <wp:inline xmlns:a="http://schemas.openxmlformats.org/drawingml/2006/main" xmlns:pic="http://schemas.openxmlformats.org/drawingml/2006/picture">
            <wp:extent cx="5497466" cy="4123100"/>
            <wp:docPr id="20" name="Picture 20"/>
            <wp:cNvGraphicFramePr>
              <a:graphicFrameLocks noChangeAspect="1"/>
            </wp:cNvGraphicFramePr>
            <a:graphic>
              <a:graphicData uri="http://schemas.openxmlformats.org/drawingml/2006/picture">
                <pic:pic>
                  <pic:nvPicPr>
                    <pic:cNvPr id="0" name="5e049c4648178a5a.jpg"/>
                    <pic:cNvPicPr/>
                  </pic:nvPicPr>
                  <pic:blipFill>
                    <a:blip r:embed="rId36"/>
                    <a:stretch>
                      <a:fillRect/>
                    </a:stretch>
                  </pic:blipFill>
                  <pic:spPr>
                    <a:xfrm>
                      <a:off x="0" y="0"/>
                      <a:ext cx="5497466" cy="4123100"/>
                    </a:xfrm>
                    <a:prstGeom prst="rect"/>
                  </pic:spPr>
                </pic:pic>
              </a:graphicData>
            </a:graphic>
          </wp:inline>
        </w:drawing>
      </w:r>
    </w:p>
    <w:p>
      <w:pPr>
        <w:spacing w:before="60" w:after="0"/>
        <w:jc w:val="center"/>
      </w:pPr>
      <w:r>
        <w:rPr>
          <w:rFonts w:ascii="Calibri" w:hAnsi="Calibri" w:cs="Calibri" w:eastAsia="Calibri"/>
          <w:b w:val="0"/>
          <w:i/>
          <w:color w:val="5A6E80"/>
          <w:sz w:val="17"/>
        </w:rPr>
        <w:t>Проезд вдоль комплекса: у каждого арендованного блока свой въезд</w:t>
      </w:r>
    </w:p>
    <w:p>
      <w:pPr>
        <w:keepNext w:val="1"/>
        <w:spacing w:before="280" w:after="0" w:line="240" w:lineRule="auto"/>
        <w:ind w:left="0" w:right="0" w:firstLine="0"/>
        <w:jc w:val="center"/>
      </w:pPr>
      <w:r>
        <w:drawing>
          <wp:inline xmlns:a="http://schemas.openxmlformats.org/drawingml/2006/main" xmlns:pic="http://schemas.openxmlformats.org/drawingml/2006/picture">
            <wp:extent cx="5497466" cy="4123100"/>
            <wp:docPr id="21" name="Picture 21"/>
            <wp:cNvGraphicFramePr>
              <a:graphicFrameLocks noChangeAspect="1"/>
            </wp:cNvGraphicFramePr>
            <a:graphic>
              <a:graphicData uri="http://schemas.openxmlformats.org/drawingml/2006/picture">
                <pic:pic>
                  <pic:nvPicPr>
                    <pic:cNvPr id="0" name="1d94d98cb45008ba.jpg"/>
                    <pic:cNvPicPr/>
                  </pic:nvPicPr>
                  <pic:blipFill>
                    <a:blip r:embed="rId37"/>
                    <a:stretch>
                      <a:fillRect/>
                    </a:stretch>
                  </pic:blipFill>
                  <pic:spPr>
                    <a:xfrm>
                      <a:off x="0" y="0"/>
                      <a:ext cx="5497466" cy="4123100"/>
                    </a:xfrm>
                    <a:prstGeom prst="rect"/>
                  </pic:spPr>
                </pic:pic>
              </a:graphicData>
            </a:graphic>
          </wp:inline>
        </w:drawing>
      </w:r>
    </w:p>
    <w:p>
      <w:pPr>
        <w:spacing w:before="60" w:after="0"/>
        <w:jc w:val="center"/>
      </w:pPr>
      <w:r>
        <w:rPr>
          <w:rFonts w:ascii="Calibri" w:hAnsi="Calibri" w:cs="Calibri" w:eastAsia="Calibri"/>
          <w:b w:val="0"/>
          <w:i/>
          <w:color w:val="5A6E80"/>
          <w:sz w:val="17"/>
        </w:rPr>
        <w:t>Один из арендованных блоков: витринная часть и отдельный вход</w:t>
      </w:r>
    </w:p>
    <w:p>
      <w:pPr>
        <w:spacing w:before="0" w:after="0"/>
      </w:pPr>
      <w:r>
        <w:br w:type="page"/>
      </w:r>
    </w:p>
    <w:p>
      <w:pPr>
        <w:keepNext w:val="1"/>
        <w:spacing w:before="0" w:after="0" w:line="240" w:lineRule="auto"/>
        <w:ind w:left="0" w:right="0" w:firstLine="0"/>
        <w:jc w:val="center"/>
      </w:pPr>
      <w:r>
        <w:drawing>
          <wp:inline xmlns:a="http://schemas.openxmlformats.org/drawingml/2006/main" xmlns:pic="http://schemas.openxmlformats.org/drawingml/2006/picture">
            <wp:extent cx="5497466" cy="4123100"/>
            <wp:docPr id="22" name="Picture 22"/>
            <wp:cNvGraphicFramePr>
              <a:graphicFrameLocks noChangeAspect="1"/>
            </wp:cNvGraphicFramePr>
            <a:graphic>
              <a:graphicData uri="http://schemas.openxmlformats.org/drawingml/2006/picture">
                <pic:pic>
                  <pic:nvPicPr>
                    <pic:cNvPr id="0" name="0df1601791fb6674.jpg"/>
                    <pic:cNvPicPr/>
                  </pic:nvPicPr>
                  <pic:blipFill>
                    <a:blip r:embed="rId38"/>
                    <a:stretch>
                      <a:fillRect/>
                    </a:stretch>
                  </pic:blipFill>
                  <pic:spPr>
                    <a:xfrm>
                      <a:off x="0" y="0"/>
                      <a:ext cx="5497466" cy="4123100"/>
                    </a:xfrm>
                    <a:prstGeom prst="rect"/>
                  </pic:spPr>
                </pic:pic>
              </a:graphicData>
            </a:graphic>
          </wp:inline>
        </w:drawing>
      </w:r>
    </w:p>
    <w:p>
      <w:pPr>
        <w:spacing w:before="60" w:after="0"/>
        <w:jc w:val="center"/>
      </w:pPr>
      <w:r>
        <w:rPr>
          <w:rFonts w:ascii="Calibri" w:hAnsi="Calibri" w:cs="Calibri" w:eastAsia="Calibri"/>
          <w:b w:val="0"/>
          <w:i/>
          <w:color w:val="5A6E80"/>
          <w:sz w:val="17"/>
        </w:rPr>
        <w:t>Арендованный блок с секционными воротами</w:t>
      </w:r>
    </w:p>
    <w:p>
      <w:pPr>
        <w:keepNext w:val="1"/>
        <w:spacing w:before="280" w:after="0" w:line="240" w:lineRule="auto"/>
        <w:ind w:left="0" w:right="0" w:firstLine="0"/>
        <w:jc w:val="center"/>
      </w:pPr>
      <w:r>
        <w:drawing>
          <wp:inline xmlns:a="http://schemas.openxmlformats.org/drawingml/2006/main" xmlns:pic="http://schemas.openxmlformats.org/drawingml/2006/picture">
            <wp:extent cx="5497466" cy="4123100"/>
            <wp:docPr id="23" name="Picture 23"/>
            <wp:cNvGraphicFramePr>
              <a:graphicFrameLocks noChangeAspect="1"/>
            </wp:cNvGraphicFramePr>
            <a:graphic>
              <a:graphicData uri="http://schemas.openxmlformats.org/drawingml/2006/picture">
                <pic:pic>
                  <pic:nvPicPr>
                    <pic:cNvPr id="0" name="c0555d5dc4bb36fc.jpg"/>
                    <pic:cNvPicPr/>
                  </pic:nvPicPr>
                  <pic:blipFill>
                    <a:blip r:embed="rId39"/>
                    <a:stretch>
                      <a:fillRect/>
                    </a:stretch>
                  </pic:blipFill>
                  <pic:spPr>
                    <a:xfrm>
                      <a:off x="0" y="0"/>
                      <a:ext cx="5497466" cy="4123100"/>
                    </a:xfrm>
                    <a:prstGeom prst="rect"/>
                  </pic:spPr>
                </pic:pic>
              </a:graphicData>
            </a:graphic>
          </wp:inline>
        </w:drawing>
      </w:r>
    </w:p>
    <w:p>
      <w:pPr>
        <w:spacing w:before="60" w:after="0"/>
        <w:jc w:val="center"/>
      </w:pPr>
      <w:r>
        <w:rPr>
          <w:rFonts w:ascii="Calibri" w:hAnsi="Calibri" w:cs="Calibri" w:eastAsia="Calibri"/>
          <w:b w:val="0"/>
          <w:i/>
          <w:color w:val="5A6E80"/>
          <w:sz w:val="17"/>
        </w:rPr>
        <w:t>Производственный зал в одном из арендованных блоков</w:t>
      </w:r>
    </w:p>
    <w:p>
      <w:pPr>
        <w:spacing w:before="0" w:after="0"/>
      </w:pPr>
      <w:r>
        <w:br w:type="page"/>
      </w:r>
    </w:p>
    <w:p>
      <w:pPr>
        <w:keepNext w:val="1"/>
        <w:spacing w:before="0" w:after="0" w:line="240" w:lineRule="auto"/>
        <w:ind w:left="0" w:right="0" w:firstLine="0"/>
        <w:jc w:val="center"/>
      </w:pPr>
      <w:r>
        <w:drawing>
          <wp:inline xmlns:a="http://schemas.openxmlformats.org/drawingml/2006/main" xmlns:pic="http://schemas.openxmlformats.org/drawingml/2006/picture">
            <wp:extent cx="5497466" cy="4123100"/>
            <wp:docPr id="24" name="Picture 24"/>
            <wp:cNvGraphicFramePr>
              <a:graphicFrameLocks noChangeAspect="1"/>
            </wp:cNvGraphicFramePr>
            <a:graphic>
              <a:graphicData uri="http://schemas.openxmlformats.org/drawingml/2006/picture">
                <pic:pic>
                  <pic:nvPicPr>
                    <pic:cNvPr id="0" name="83dc3dbcb09772df.jpg"/>
                    <pic:cNvPicPr/>
                  </pic:nvPicPr>
                  <pic:blipFill>
                    <a:blip r:embed="rId40"/>
                    <a:stretch>
                      <a:fillRect/>
                    </a:stretch>
                  </pic:blipFill>
                  <pic:spPr>
                    <a:xfrm>
                      <a:off x="0" y="0"/>
                      <a:ext cx="5497466" cy="4123100"/>
                    </a:xfrm>
                    <a:prstGeom prst="rect"/>
                  </pic:spPr>
                </pic:pic>
              </a:graphicData>
            </a:graphic>
          </wp:inline>
        </w:drawing>
      </w:r>
    </w:p>
    <w:p>
      <w:pPr>
        <w:spacing w:before="60" w:after="0"/>
        <w:jc w:val="center"/>
      </w:pPr>
      <w:r>
        <w:rPr>
          <w:rFonts w:ascii="Calibri" w:hAnsi="Calibri" w:cs="Calibri" w:eastAsia="Calibri"/>
          <w:b w:val="0"/>
          <w:i/>
          <w:color w:val="5A6E80"/>
          <w:sz w:val="17"/>
        </w:rPr>
        <w:t>Арендованный блок, оборудованный под автосервис: подъёмники</w:t>
      </w:r>
    </w:p>
    <w:p>
      <w:pPr>
        <w:keepNext w:val="1"/>
        <w:spacing w:before="280" w:after="0" w:line="240" w:lineRule="auto"/>
        <w:ind w:left="0" w:right="0" w:firstLine="0"/>
        <w:jc w:val="center"/>
      </w:pPr>
      <w:r>
        <w:drawing>
          <wp:inline xmlns:a="http://schemas.openxmlformats.org/drawingml/2006/main" xmlns:pic="http://schemas.openxmlformats.org/drawingml/2006/picture">
            <wp:extent cx="5497466" cy="4123100"/>
            <wp:docPr id="25" name="Picture 25"/>
            <wp:cNvGraphicFramePr>
              <a:graphicFrameLocks noChangeAspect="1"/>
            </wp:cNvGraphicFramePr>
            <a:graphic>
              <a:graphicData uri="http://schemas.openxmlformats.org/drawingml/2006/picture">
                <pic:pic>
                  <pic:nvPicPr>
                    <pic:cNvPr id="0" name="cfc2d55de4b54a18.jpg"/>
                    <pic:cNvPicPr/>
                  </pic:nvPicPr>
                  <pic:blipFill>
                    <a:blip r:embed="rId41"/>
                    <a:stretch>
                      <a:fillRect/>
                    </a:stretch>
                  </pic:blipFill>
                  <pic:spPr>
                    <a:xfrm>
                      <a:off x="0" y="0"/>
                      <a:ext cx="5497466" cy="4123100"/>
                    </a:xfrm>
                    <a:prstGeom prst="rect"/>
                  </pic:spPr>
                </pic:pic>
              </a:graphicData>
            </a:graphic>
          </wp:inline>
        </w:drawing>
      </w:r>
    </w:p>
    <w:p>
      <w:pPr>
        <w:spacing w:before="60" w:after="0"/>
        <w:jc w:val="center"/>
      </w:pPr>
      <w:r>
        <w:rPr>
          <w:rFonts w:ascii="Calibri" w:hAnsi="Calibri" w:cs="Calibri" w:eastAsia="Calibri"/>
          <w:b w:val="0"/>
          <w:i/>
          <w:color w:val="5A6E80"/>
          <w:sz w:val="17"/>
        </w:rPr>
        <w:t>Помещение в состоянии под отделку в одном из блоков</w:t>
      </w:r>
    </w:p>
    <w:p>
      <w:pPr>
        <w:spacing w:before="0" w:after="0"/>
      </w:pPr>
      <w:r>
        <w:br w:type="page"/>
      </w:r>
    </w:p>
    <w:p>
      <w:pPr>
        <w:keepNext w:val="1"/>
        <w:spacing w:before="0" w:after="0" w:line="240" w:lineRule="auto"/>
        <w:ind w:left="0" w:right="0" w:firstLine="0"/>
        <w:jc w:val="center"/>
      </w:pPr>
      <w:r>
        <w:drawing>
          <wp:inline xmlns:a="http://schemas.openxmlformats.org/drawingml/2006/main" xmlns:pic="http://schemas.openxmlformats.org/drawingml/2006/picture">
            <wp:extent cx="5497466" cy="4123100"/>
            <wp:docPr id="26" name="Picture 26"/>
            <wp:cNvGraphicFramePr>
              <a:graphicFrameLocks noChangeAspect="1"/>
            </wp:cNvGraphicFramePr>
            <a:graphic>
              <a:graphicData uri="http://schemas.openxmlformats.org/drawingml/2006/picture">
                <pic:pic>
                  <pic:nvPicPr>
                    <pic:cNvPr id="0" name="108fd5877ed1eaa0.jpg"/>
                    <pic:cNvPicPr/>
                  </pic:nvPicPr>
                  <pic:blipFill>
                    <a:blip r:embed="rId42"/>
                    <a:stretch>
                      <a:fillRect/>
                    </a:stretch>
                  </pic:blipFill>
                  <pic:spPr>
                    <a:xfrm>
                      <a:off x="0" y="0"/>
                      <a:ext cx="5497466" cy="4123100"/>
                    </a:xfrm>
                    <a:prstGeom prst="rect"/>
                  </pic:spPr>
                </pic:pic>
              </a:graphicData>
            </a:graphic>
          </wp:inline>
        </w:drawing>
      </w:r>
    </w:p>
    <w:p>
      <w:pPr>
        <w:spacing w:before="60" w:after="0"/>
        <w:jc w:val="center"/>
      </w:pPr>
      <w:r>
        <w:rPr>
          <w:rFonts w:ascii="Calibri" w:hAnsi="Calibri" w:cs="Calibri" w:eastAsia="Calibri"/>
          <w:b w:val="0"/>
          <w:i/>
          <w:color w:val="5A6E80"/>
          <w:sz w:val="17"/>
        </w:rPr>
        <w:t>Бытовая зона с кухней в одном из арендованных блоков</w:t>
      </w:r>
    </w:p>
    <w:p>
      <w:pPr>
        <w:keepNext w:val="1"/>
        <w:spacing w:before="280" w:after="0" w:line="240" w:lineRule="auto"/>
        <w:ind w:left="0" w:right="0" w:firstLine="0"/>
        <w:jc w:val="center"/>
      </w:pPr>
      <w:r>
        <w:drawing>
          <wp:inline xmlns:a="http://schemas.openxmlformats.org/drawingml/2006/main" xmlns:pic="http://schemas.openxmlformats.org/drawingml/2006/picture">
            <wp:extent cx="5497466" cy="4123100"/>
            <wp:docPr id="27" name="Picture 27"/>
            <wp:cNvGraphicFramePr>
              <a:graphicFrameLocks noChangeAspect="1"/>
            </wp:cNvGraphicFramePr>
            <a:graphic>
              <a:graphicData uri="http://schemas.openxmlformats.org/drawingml/2006/picture">
                <pic:pic>
                  <pic:nvPicPr>
                    <pic:cNvPr id="0" name="80ddbd869be6fc0e.jpg"/>
                    <pic:cNvPicPr/>
                  </pic:nvPicPr>
                  <pic:blipFill>
                    <a:blip r:embed="rId43"/>
                    <a:stretch>
                      <a:fillRect/>
                    </a:stretch>
                  </pic:blipFill>
                  <pic:spPr>
                    <a:xfrm>
                      <a:off x="0" y="0"/>
                      <a:ext cx="5497466" cy="4123100"/>
                    </a:xfrm>
                    <a:prstGeom prst="rect"/>
                  </pic:spPr>
                </pic:pic>
              </a:graphicData>
            </a:graphic>
          </wp:inline>
        </w:drawing>
      </w:r>
    </w:p>
    <w:p>
      <w:pPr>
        <w:spacing w:before="60" w:after="0"/>
        <w:jc w:val="center"/>
      </w:pPr>
      <w:r>
        <w:rPr>
          <w:rFonts w:ascii="Calibri" w:hAnsi="Calibri" w:cs="Calibri" w:eastAsia="Calibri"/>
          <w:b w:val="0"/>
          <w:i/>
          <w:color w:val="5A6E80"/>
          <w:sz w:val="17"/>
        </w:rPr>
        <w:t>Офисно-бытовая вставка в составе одного из блоков</w:t>
      </w:r>
    </w:p>
    <w:p>
      <w:pPr>
        <w:spacing w:before="0" w:after="0"/>
      </w:pPr>
      <w:r>
        <w:br w:type="page"/>
      </w:r>
    </w:p>
    <w:p>
      <w:pPr>
        <w:keepNext w:val="1"/>
        <w:spacing w:before="0" w:after="0" w:line="240" w:lineRule="auto"/>
        <w:ind w:left="0" w:right="0" w:firstLine="0"/>
        <w:jc w:val="center"/>
      </w:pPr>
      <w:r>
        <w:drawing>
          <wp:inline xmlns:a="http://schemas.openxmlformats.org/drawingml/2006/main" xmlns:pic="http://schemas.openxmlformats.org/drawingml/2006/picture">
            <wp:extent cx="5497466" cy="4123100"/>
            <wp:docPr id="28" name="Picture 28"/>
            <wp:cNvGraphicFramePr>
              <a:graphicFrameLocks noChangeAspect="1"/>
            </wp:cNvGraphicFramePr>
            <a:graphic>
              <a:graphicData uri="http://schemas.openxmlformats.org/drawingml/2006/picture">
                <pic:pic>
                  <pic:nvPicPr>
                    <pic:cNvPr id="0" name="84725cda3d35d071.jpg"/>
                    <pic:cNvPicPr/>
                  </pic:nvPicPr>
                  <pic:blipFill>
                    <a:blip r:embed="rId44"/>
                    <a:stretch>
                      <a:fillRect/>
                    </a:stretch>
                  </pic:blipFill>
                  <pic:spPr>
                    <a:xfrm>
                      <a:off x="0" y="0"/>
                      <a:ext cx="5497466" cy="4123100"/>
                    </a:xfrm>
                    <a:prstGeom prst="rect"/>
                  </pic:spPr>
                </pic:pic>
              </a:graphicData>
            </a:graphic>
          </wp:inline>
        </w:drawing>
      </w:r>
    </w:p>
    <w:p>
      <w:pPr>
        <w:spacing w:before="60" w:after="0"/>
        <w:jc w:val="center"/>
      </w:pPr>
      <w:r>
        <w:rPr>
          <w:rFonts w:ascii="Calibri" w:hAnsi="Calibri" w:cs="Calibri" w:eastAsia="Calibri"/>
          <w:b w:val="0"/>
          <w:i/>
          <w:color w:val="5A6E80"/>
          <w:sz w:val="17"/>
        </w:rPr>
        <w:t>Внутренний проезд и подсобная зона комплекса</w:t>
      </w:r>
    </w:p>
    <w:p>
      <w:pPr>
        <w:keepNext w:val="1"/>
        <w:spacing w:before="280" w:after="0" w:line="240" w:lineRule="auto"/>
        <w:ind w:left="0" w:right="0" w:firstLine="0"/>
        <w:jc w:val="center"/>
      </w:pPr>
      <w:r>
        <w:drawing>
          <wp:inline xmlns:a="http://schemas.openxmlformats.org/drawingml/2006/main" xmlns:pic="http://schemas.openxmlformats.org/drawingml/2006/picture">
            <wp:extent cx="5497466" cy="4123100"/>
            <wp:docPr id="29" name="Picture 29"/>
            <wp:cNvGraphicFramePr>
              <a:graphicFrameLocks noChangeAspect="1"/>
            </wp:cNvGraphicFramePr>
            <a:graphic>
              <a:graphicData uri="http://schemas.openxmlformats.org/drawingml/2006/picture">
                <pic:pic>
                  <pic:nvPicPr>
                    <pic:cNvPr id="0" name="007e961632bebfaf.jpg"/>
                    <pic:cNvPicPr/>
                  </pic:nvPicPr>
                  <pic:blipFill>
                    <a:blip r:embed="rId45"/>
                    <a:stretch>
                      <a:fillRect/>
                    </a:stretch>
                  </pic:blipFill>
                  <pic:spPr>
                    <a:xfrm>
                      <a:off x="0" y="0"/>
                      <a:ext cx="5497466" cy="4123100"/>
                    </a:xfrm>
                    <a:prstGeom prst="rect"/>
                  </pic:spPr>
                </pic:pic>
              </a:graphicData>
            </a:graphic>
          </wp:inline>
        </w:drawing>
      </w:r>
    </w:p>
    <w:p>
      <w:pPr>
        <w:spacing w:before="60" w:after="0"/>
        <w:jc w:val="center"/>
      </w:pPr>
      <w:r>
        <w:rPr>
          <w:rFonts w:ascii="Calibri" w:hAnsi="Calibri" w:cs="Calibri" w:eastAsia="Calibri"/>
          <w:b w:val="0"/>
          <w:i/>
          <w:color w:val="5A6E80"/>
          <w:sz w:val="17"/>
        </w:rPr>
        <w:t>Мастерская в одном из арендованных блоков</w:t>
      </w:r>
    </w:p>
    <w:p>
      <w:pPr>
        <w:spacing w:before="0" w:after="0"/>
      </w:pPr>
      <w:r>
        <w:br w:type="page"/>
      </w:r>
    </w:p>
    <w:p>
      <w:pPr>
        <w:keepNext w:val="1"/>
        <w:spacing w:before="0" w:after="0" w:line="240" w:lineRule="auto"/>
        <w:ind w:left="0" w:right="0" w:firstLine="0"/>
        <w:jc w:val="center"/>
      </w:pPr>
      <w:r>
        <w:drawing>
          <wp:inline xmlns:a="http://schemas.openxmlformats.org/drawingml/2006/main" xmlns:pic="http://schemas.openxmlformats.org/drawingml/2006/picture">
            <wp:extent cx="3489955" cy="2617466"/>
            <wp:docPr id="30" name="Picture 30"/>
            <wp:cNvGraphicFramePr>
              <a:graphicFrameLocks noChangeAspect="1"/>
            </wp:cNvGraphicFramePr>
            <a:graphic>
              <a:graphicData uri="http://schemas.openxmlformats.org/drawingml/2006/picture">
                <pic:pic>
                  <pic:nvPicPr>
                    <pic:cNvPr id="0" name="5e55147b7d1392c3.jpg"/>
                    <pic:cNvPicPr/>
                  </pic:nvPicPr>
                  <pic:blipFill>
                    <a:blip r:embed="rId46"/>
                    <a:stretch>
                      <a:fillRect/>
                    </a:stretch>
                  </pic:blipFill>
                  <pic:spPr>
                    <a:xfrm>
                      <a:off x="0" y="0"/>
                      <a:ext cx="3489955" cy="2617466"/>
                    </a:xfrm>
                    <a:prstGeom prst="rect"/>
                  </pic:spPr>
                </pic:pic>
              </a:graphicData>
            </a:graphic>
          </wp:inline>
        </w:drawing>
      </w:r>
    </w:p>
    <w:p>
      <w:pPr>
        <w:spacing w:before="60" w:after="0"/>
        <w:jc w:val="center"/>
      </w:pPr>
      <w:r>
        <w:rPr>
          <w:rFonts w:ascii="Calibri" w:hAnsi="Calibri" w:cs="Calibri" w:eastAsia="Calibri"/>
          <w:b w:val="0"/>
          <w:i/>
          <w:color w:val="5A6E80"/>
          <w:sz w:val="17"/>
        </w:rPr>
        <w:t>Зал с автомобильным подъёмником в арендованном блоке</w:t>
      </w:r>
    </w:p>
    <w:p>
      <w:pPr>
        <w:keepNext w:val="1"/>
        <w:spacing w:before="280" w:after="0" w:line="240" w:lineRule="auto"/>
        <w:ind w:left="0" w:right="0" w:firstLine="0"/>
        <w:jc w:val="center"/>
      </w:pPr>
      <w:r>
        <w:drawing>
          <wp:inline xmlns:a="http://schemas.openxmlformats.org/drawingml/2006/main" xmlns:pic="http://schemas.openxmlformats.org/drawingml/2006/picture">
            <wp:extent cx="3489955" cy="2617466"/>
            <wp:docPr id="31" name="Picture 31"/>
            <wp:cNvGraphicFramePr>
              <a:graphicFrameLocks noChangeAspect="1"/>
            </wp:cNvGraphicFramePr>
            <a:graphic>
              <a:graphicData uri="http://schemas.openxmlformats.org/drawingml/2006/picture">
                <pic:pic>
                  <pic:nvPicPr>
                    <pic:cNvPr id="0" name="82a5f22bc889b161.jpg"/>
                    <pic:cNvPicPr/>
                  </pic:nvPicPr>
                  <pic:blipFill>
                    <a:blip r:embed="rId47"/>
                    <a:stretch>
                      <a:fillRect/>
                    </a:stretch>
                  </pic:blipFill>
                  <pic:spPr>
                    <a:xfrm>
                      <a:off x="0" y="0"/>
                      <a:ext cx="3489955" cy="2617466"/>
                    </a:xfrm>
                    <a:prstGeom prst="rect"/>
                  </pic:spPr>
                </pic:pic>
              </a:graphicData>
            </a:graphic>
          </wp:inline>
        </w:drawing>
      </w:r>
    </w:p>
    <w:p>
      <w:pPr>
        <w:spacing w:before="60" w:after="0"/>
        <w:jc w:val="center"/>
      </w:pPr>
      <w:r>
        <w:rPr>
          <w:rFonts w:ascii="Calibri" w:hAnsi="Calibri" w:cs="Calibri" w:eastAsia="Calibri"/>
          <w:b w:val="0"/>
          <w:i/>
          <w:color w:val="5A6E80"/>
          <w:sz w:val="17"/>
        </w:rPr>
        <w:t>Складской блок комплекса</w:t>
      </w:r>
    </w:p>
    <w:p>
      <w:pPr>
        <w:keepNext w:val="1"/>
        <w:spacing w:before="280" w:after="0" w:line="240" w:lineRule="auto"/>
        <w:ind w:left="0" w:right="0" w:firstLine="0"/>
        <w:jc w:val="center"/>
      </w:pPr>
      <w:r>
        <w:drawing>
          <wp:inline xmlns:a="http://schemas.openxmlformats.org/drawingml/2006/main" xmlns:pic="http://schemas.openxmlformats.org/drawingml/2006/picture">
            <wp:extent cx="3489955" cy="2617466"/>
            <wp:docPr id="32" name="Picture 32"/>
            <wp:cNvGraphicFramePr>
              <a:graphicFrameLocks noChangeAspect="1"/>
            </wp:cNvGraphicFramePr>
            <a:graphic>
              <a:graphicData uri="http://schemas.openxmlformats.org/drawingml/2006/picture">
                <pic:pic>
                  <pic:nvPicPr>
                    <pic:cNvPr id="0" name="d12f5f3ef7c23f8f.jpg"/>
                    <pic:cNvPicPr/>
                  </pic:nvPicPr>
                  <pic:blipFill>
                    <a:blip r:embed="rId48"/>
                    <a:stretch>
                      <a:fillRect/>
                    </a:stretch>
                  </pic:blipFill>
                  <pic:spPr>
                    <a:xfrm>
                      <a:off x="0" y="0"/>
                      <a:ext cx="3489955" cy="2617466"/>
                    </a:xfrm>
                    <a:prstGeom prst="rect"/>
                  </pic:spPr>
                </pic:pic>
              </a:graphicData>
            </a:graphic>
          </wp:inline>
        </w:drawing>
      </w:r>
    </w:p>
    <w:p>
      <w:pPr>
        <w:spacing w:before="60" w:after="0"/>
        <w:jc w:val="center"/>
      </w:pPr>
      <w:r>
        <w:rPr>
          <w:rFonts w:ascii="Calibri" w:hAnsi="Calibri" w:cs="Calibri" w:eastAsia="Calibri"/>
          <w:b w:val="0"/>
          <w:i/>
          <w:color w:val="5A6E80"/>
          <w:sz w:val="17"/>
        </w:rPr>
        <w:t>Сервисный бокс в одном из арендованных блоков</w:t>
      </w:r>
    </w:p>
    <w:p>
      <w:pPr>
        <w:sectPr>
          <w:headerReference w:type="default" r:id="rId30"/>
          <w:footerReference w:type="default" r:id="rId31"/>
          <w:pgSz w:w="11906" w:h="16838"/>
          <w:pgMar w:top="1077" w:right="1174" w:bottom="1134" w:left="1174" w:header="680" w:footer="680" w:gutter="0"/>
          <w:cols w:space="720"/>
          <w:docGrid w:linePitch="360"/>
        </w:sectPr>
      </w:pPr>
    </w:p>
    <w:p>
      <w:pPr>
        <w:pBdr>
          <w:bottom w:val="single" w:sz="16" w:space="1" w:color="C9A961"/>
        </w:pBdr>
        <w:spacing w:before="0" w:after="200" w:line="240" w:lineRule="auto"/>
      </w:pPr>
    </w:p>
    <w:p>
      <w:pPr>
        <w:pStyle w:val="Heading1"/>
        <w:spacing w:before="0" w:after="80"/>
      </w:pPr>
      <w:r>
        <w:rPr>
          <w:rFonts w:ascii="Calibri" w:hAnsi="Calibri" w:cs="Calibri" w:eastAsia="Calibri"/>
          <w:b/>
          <w:i w:val="0"/>
          <w:color w:val="1A3A5C"/>
          <w:sz w:val="32"/>
        </w:rPr>
        <w:t>Archimedesbaan 11 и 7‑9, Nieuwegein</w:t>
      </w:r>
    </w:p>
    <w:tbl>
      <w:tblPr>
        <w:tblW w:type="auto" w:w="0"/>
        <w:jc w:val="left"/>
        <w:tblBorders>
          <w:top w:val="none" w:sz="0" w:space="0" w:color="auto"/>
          <w:start w:val="none" w:sz="0" w:space="0" w:color="auto"/>
          <w:bottom w:val="none" w:sz="0" w:space="0" w:color="auto"/>
          <w:end w:val="none" w:sz="0" w:space="0" w:color="auto"/>
          <w:insideH w:val="none" w:sz="0" w:space="0" w:color="auto"/>
          <w:insideV w:val="none" w:sz="0" w:space="0" w:color="auto"/>
        </w:tblBorders>
        <w:tblLayout w:type="fixed"/>
        <w:tblLook w:firstColumn="1" w:firstRow="1" w:lastColumn="0" w:lastRow="0" w:noHBand="0" w:noVBand="1" w:val="04A0"/>
      </w:tblPr>
      <w:tblGrid>
        <w:gridCol w:w="2534"/>
        <w:gridCol w:w="120"/>
        <w:gridCol w:w="1385"/>
        <w:gridCol w:w="120"/>
        <w:gridCol w:w="1466"/>
        <w:gridCol w:w="3933"/>
      </w:tblGrid>
      <w:tr>
        <w:trPr>
          <w:cantSplit w:val="1"/>
        </w:trPr>
        <w:tc>
          <w:tcPr>
            <w:tcW w:type="dxa" w:w="2534"/>
            <w:shd w:val="clear" w:color="auto" w:fill="F7EFD9"/>
            <w:noWrap w:val="1"/>
            <w:tcMar>
              <w:top w:w="60" w:type="dxa"/>
              <w:start w:w="140" w:type="dxa"/>
              <w:bottom w:w="60" w:type="dxa"/>
              <w:end w:w="140" w:type="dxa"/>
            </w:tcMar>
          </w:tcPr>
          <w:p>
            <w:pPr>
              <w:spacing w:after="0"/>
              <w:jc w:val="center"/>
            </w:pPr>
            <w:r>
              <w:rPr>
                <w:rFonts w:ascii="Calibri" w:hAnsi="Calibri" w:cs="Calibri" w:eastAsia="Calibri"/>
                <w:b/>
                <w:i w:val="0"/>
                <w:color w:val="1A3A5C"/>
                <w:sz w:val="16"/>
              </w:rPr>
              <w:t>30 % дохода под расторжением</w:t>
            </w:r>
          </w:p>
        </w:tc>
        <w:tc>
          <w:tcPr>
            <w:tcW w:type="dxa" w:w="120"/>
            <w:tcMar>
              <w:top w:w="0" w:type="dxa"/>
              <w:start w:w="0" w:type="dxa"/>
              <w:bottom w:w="0" w:type="dxa"/>
              <w:end w:w="0" w:type="dxa"/>
            </w:tcMar>
          </w:tcPr>
          <w:p>
            <w:pPr>
              <w:spacing w:after="0"/>
            </w:pPr>
          </w:p>
        </w:tc>
        <w:tc>
          <w:tcPr>
            <w:tcW w:type="dxa" w:w="1385"/>
            <w:shd w:val="clear" w:color="auto" w:fill="F7EFD9"/>
            <w:noWrap w:val="1"/>
            <w:tcMar>
              <w:top w:w="60" w:type="dxa"/>
              <w:start w:w="140" w:type="dxa"/>
              <w:bottom w:w="60" w:type="dxa"/>
              <w:end w:w="140" w:type="dxa"/>
            </w:tcMar>
          </w:tcPr>
          <w:p>
            <w:pPr>
              <w:spacing w:after="0"/>
              <w:jc w:val="center"/>
            </w:pPr>
            <w:r>
              <w:rPr>
                <w:rFonts w:ascii="Calibri" w:hAnsi="Calibri" w:cs="Calibri" w:eastAsia="Calibri"/>
                <w:b/>
                <w:i w:val="0"/>
                <w:color w:val="1A3A5C"/>
                <w:sz w:val="16"/>
              </w:rPr>
              <w:t>WALT ≈ 2,0 года</w:t>
            </w:r>
          </w:p>
        </w:tc>
        <w:tc>
          <w:tcPr>
            <w:tcW w:type="dxa" w:w="120"/>
            <w:tcMar>
              <w:top w:w="0" w:type="dxa"/>
              <w:start w:w="0" w:type="dxa"/>
              <w:bottom w:w="0" w:type="dxa"/>
              <w:end w:w="0" w:type="dxa"/>
            </w:tcMar>
          </w:tcPr>
          <w:p>
            <w:pPr>
              <w:spacing w:after="0"/>
            </w:pPr>
          </w:p>
        </w:tc>
        <w:tc>
          <w:tcPr>
            <w:tcW w:type="dxa" w:w="1466"/>
            <w:shd w:val="clear" w:color="auto" w:fill="F7EFD9"/>
            <w:noWrap w:val="1"/>
            <w:tcMar>
              <w:top w:w="60" w:type="dxa"/>
              <w:start w:w="140" w:type="dxa"/>
              <w:bottom w:w="60" w:type="dxa"/>
              <w:end w:w="140" w:type="dxa"/>
            </w:tcMar>
          </w:tcPr>
          <w:p>
            <w:pPr>
              <w:spacing w:after="0"/>
              <w:jc w:val="center"/>
            </w:pPr>
            <w:r>
              <w:rPr>
                <w:rFonts w:ascii="Calibri" w:hAnsi="Calibri" w:cs="Calibri" w:eastAsia="Calibri"/>
                <w:b/>
                <w:i w:val="0"/>
                <w:color w:val="1A3A5C"/>
                <w:sz w:val="16"/>
              </w:rPr>
              <w:t>BAR к цене 6,4 %</w:t>
            </w:r>
          </w:p>
        </w:tc>
        <w:tc>
          <w:tcPr>
            <w:tcW w:type="dxa" w:w="3933"/>
            <w:tcMar>
              <w:top w:w="0" w:type="dxa"/>
              <w:start w:w="0" w:type="dxa"/>
              <w:bottom w:w="0" w:type="dxa"/>
              <w:end w:w="0" w:type="dxa"/>
            </w:tcMar>
          </w:tcPr>
          <w:p>
            <w:pPr>
              <w:spacing w:after="0"/>
            </w:pPr>
          </w:p>
        </w:tc>
      </w:tr>
    </w:tbl>
    <w:p>
      <w:pPr>
        <w:spacing w:before="200" w:after="240"/>
      </w:pPr>
      <w:r>
        <w:rPr>
          <w:rFonts w:ascii="Calibri" w:hAnsi="Calibri" w:cs="Calibri" w:eastAsia="Calibri"/>
          <w:b w:val="0"/>
          <w:i/>
          <w:color w:val="5A6E80"/>
          <w:sz w:val="20"/>
        </w:rPr>
        <w:t>3439 ME • Промышленный парк Plettenburg • провинция Утрехт</w:t>
      </w:r>
    </w:p>
    <w:p>
      <w:pPr>
        <w:spacing w:before="0" w:after="200" w:line="240" w:lineRule="auto"/>
        <w:ind w:left="0" w:right="0" w:firstLine="0"/>
        <w:jc w:val="center"/>
      </w:pPr>
      <w:r>
        <w:drawing>
          <wp:inline xmlns:a="http://schemas.openxmlformats.org/drawingml/2006/main" xmlns:pic="http://schemas.openxmlformats.org/drawingml/2006/picture">
            <wp:extent cx="5810400" cy="2592000"/>
            <wp:docPr id="33" name="Picture 33"/>
            <wp:cNvGraphicFramePr>
              <a:graphicFrameLocks noChangeAspect="1"/>
            </wp:cNvGraphicFramePr>
            <a:graphic>
              <a:graphicData uri="http://schemas.openxmlformats.org/drawingml/2006/picture">
                <pic:pic>
                  <pic:nvPicPr>
                    <pic:cNvPr id="0" name="hero-3j5b9feg.jpg"/>
                    <pic:cNvPicPr/>
                  </pic:nvPicPr>
                  <pic:blipFill>
                    <a:blip r:embed="rId51"/>
                    <a:stretch>
                      <a:fillRect/>
                    </a:stretch>
                  </pic:blipFill>
                  <pic:spPr>
                    <a:xfrm>
                      <a:off x="0" y="0"/>
                      <a:ext cx="5810400" cy="2592000"/>
                    </a:xfrm>
                    <a:prstGeom prst="rect"/>
                  </pic:spPr>
                </pic:pic>
              </a:graphicData>
            </a:graphic>
          </wp:inline>
        </w:drawing>
      </w:r>
    </w:p>
    <w:tbl>
      <w:tblPr>
        <w:tblW w:type="auto" w:w="0"/>
        <w:jc w:val="left"/>
        <w:tblBorders>
          <w:top w:val="none" w:sz="0" w:space="0" w:color="auto"/>
          <w:start w:val="none" w:sz="0" w:space="0" w:color="auto"/>
          <w:bottom w:val="none" w:sz="0" w:space="0" w:color="auto"/>
          <w:end w:val="none" w:sz="0" w:space="0" w:color="auto"/>
          <w:insideH w:val="none" w:sz="0" w:space="0" w:color="auto"/>
          <w:insideV w:val="single" w:sz="12" w:space="0" w:color="FFFFFF"/>
        </w:tblBorders>
        <w:tblLayout w:type="fixed"/>
        <w:tblLook w:firstColumn="1" w:firstRow="1" w:lastColumn="0" w:lastRow="0" w:noHBand="0" w:noVBand="1" w:val="04A0"/>
      </w:tblPr>
      <w:tblGrid>
        <w:gridCol w:w="2390"/>
        <w:gridCol w:w="2390"/>
        <w:gridCol w:w="2390"/>
        <w:gridCol w:w="2390"/>
      </w:tblGrid>
      <w:tr>
        <w:trPr>
          <w:cantSplit w:val="1"/>
        </w:trPr>
        <w:tc>
          <w:tcPr>
            <w:tcW w:type="dxa" w:w="2390"/>
            <w:shd w:val="clear" w:color="auto" w:fill="F4F6F8"/>
            <w:tcMar>
              <w:top w:w="160" w:type="dxa"/>
              <w:start w:w="200" w:type="dxa"/>
              <w:bottom w:w="160" w:type="dxa"/>
              <w:end w:w="160" w:type="dxa"/>
            </w:tcMar>
          </w:tcPr>
          <w:p>
            <w:pPr>
              <w:spacing w:after="40"/>
            </w:pPr>
            <w:r>
              <w:rPr>
                <w:rFonts w:ascii="Calibri" w:hAnsi="Calibri" w:cs="Calibri" w:eastAsia="Calibri"/>
                <w:b w:val="0"/>
                <w:i w:val="0"/>
                <w:color w:val="5A6E80"/>
                <w:spacing w:val="20"/>
                <w:sz w:val="16"/>
              </w:rPr>
              <w:t>ЦЕНА</w:t>
            </w:r>
          </w:p>
          <w:p>
            <w:pPr>
              <w:spacing w:after="0"/>
            </w:pPr>
            <w:r>
              <w:rPr>
                <w:rFonts w:ascii="Calibri" w:hAnsi="Calibri" w:cs="Calibri" w:eastAsia="Calibri"/>
                <w:b/>
                <w:i w:val="0"/>
                <w:color w:val="1A3A5C"/>
                <w:sz w:val="26"/>
              </w:rPr>
              <w:t>€ 1.750.000</w:t>
            </w:r>
          </w:p>
        </w:tc>
        <w:tc>
          <w:tcPr>
            <w:tcW w:type="dxa" w:w="2390"/>
            <w:shd w:val="clear" w:color="auto" w:fill="F4F6F8"/>
            <w:tcMar>
              <w:top w:w="160" w:type="dxa"/>
              <w:start w:w="200" w:type="dxa"/>
              <w:bottom w:w="160" w:type="dxa"/>
              <w:end w:w="160" w:type="dxa"/>
            </w:tcMar>
          </w:tcPr>
          <w:p>
            <w:pPr>
              <w:spacing w:after="40"/>
            </w:pPr>
            <w:r>
              <w:rPr>
                <w:rFonts w:ascii="Calibri" w:hAnsi="Calibri" w:cs="Calibri" w:eastAsia="Calibri"/>
                <w:b w:val="0"/>
                <w:i w:val="0"/>
                <w:color w:val="5A6E80"/>
                <w:spacing w:val="20"/>
                <w:sz w:val="16"/>
              </w:rPr>
              <w:t>ДОХОД В ГОД</w:t>
            </w:r>
          </w:p>
          <w:p>
            <w:pPr>
              <w:spacing w:after="0"/>
            </w:pPr>
            <w:r>
              <w:rPr>
                <w:rFonts w:ascii="Calibri" w:hAnsi="Calibri" w:cs="Calibri" w:eastAsia="Calibri"/>
                <w:b/>
                <w:i w:val="0"/>
                <w:color w:val="1A3A5C"/>
                <w:sz w:val="26"/>
              </w:rPr>
              <w:t>€ 111.153</w:t>
            </w:r>
          </w:p>
        </w:tc>
        <w:tc>
          <w:tcPr>
            <w:tcW w:type="dxa" w:w="2390"/>
            <w:shd w:val="clear" w:color="auto" w:fill="F4F6F8"/>
            <w:tcMar>
              <w:top w:w="160" w:type="dxa"/>
              <w:start w:w="200" w:type="dxa"/>
              <w:bottom w:w="160" w:type="dxa"/>
              <w:end w:w="160" w:type="dxa"/>
            </w:tcMar>
          </w:tcPr>
          <w:p>
            <w:pPr>
              <w:spacing w:after="40"/>
            </w:pPr>
            <w:r>
              <w:rPr>
                <w:rFonts w:ascii="Calibri" w:hAnsi="Calibri" w:cs="Calibri" w:eastAsia="Calibri"/>
                <w:b w:val="0"/>
                <w:i w:val="0"/>
                <w:color w:val="5A6E80"/>
                <w:spacing w:val="20"/>
                <w:sz w:val="16"/>
              </w:rPr>
              <w:t>BAR К ЦЕНЕ ВХОДА</w:t>
            </w:r>
          </w:p>
          <w:p>
            <w:pPr>
              <w:spacing w:after="0"/>
            </w:pPr>
            <w:r>
              <w:rPr>
                <w:rFonts w:ascii="Calibri" w:hAnsi="Calibri" w:cs="Calibri" w:eastAsia="Calibri"/>
                <w:b/>
                <w:i w:val="0"/>
                <w:color w:val="1A3A5C"/>
                <w:sz w:val="26"/>
              </w:rPr>
              <w:t>5,7 %</w:t>
            </w:r>
          </w:p>
        </w:tc>
        <w:tc>
          <w:tcPr>
            <w:tcW w:type="dxa" w:w="2390"/>
            <w:shd w:val="clear" w:color="auto" w:fill="F4F6F8"/>
            <w:tcMar>
              <w:top w:w="160" w:type="dxa"/>
              <w:start w:w="200" w:type="dxa"/>
              <w:bottom w:w="160" w:type="dxa"/>
              <w:end w:w="160" w:type="dxa"/>
            </w:tcMar>
          </w:tcPr>
          <w:p>
            <w:pPr>
              <w:spacing w:after="40"/>
            </w:pPr>
            <w:r>
              <w:rPr>
                <w:rFonts w:ascii="Calibri" w:hAnsi="Calibri" w:cs="Calibri" w:eastAsia="Calibri"/>
                <w:b w:val="0"/>
                <w:i w:val="0"/>
                <w:color w:val="5A6E80"/>
                <w:spacing w:val="20"/>
                <w:sz w:val="16"/>
              </w:rPr>
              <w:t>ПЛОЩАДЬ</w:t>
            </w:r>
          </w:p>
          <w:p>
            <w:pPr>
              <w:spacing w:after="0"/>
            </w:pPr>
            <w:r>
              <w:rPr>
                <w:rFonts w:ascii="Calibri" w:hAnsi="Calibri" w:cs="Calibri" w:eastAsia="Calibri"/>
                <w:b/>
                <w:i w:val="0"/>
                <w:color w:val="1A3A5C"/>
                <w:sz w:val="26"/>
              </w:rPr>
              <w:t>1.876 м²</w:t>
            </w:r>
          </w:p>
        </w:tc>
      </w:tr>
    </w:tbl>
    <w:p>
      <w:pPr>
        <w:spacing w:before="200" w:after="200"/>
      </w:pPr>
      <w:r>
        <w:rPr>
          <w:rFonts w:ascii="Calibri" w:hAnsi="Calibri" w:cs="Calibri" w:eastAsia="Calibri"/>
          <w:b w:val="0"/>
          <w:i/>
          <w:color w:val="1A3A5C"/>
          <w:sz w:val="20"/>
        </w:rPr>
        <w:t>Производственно-офисное здание: треть дохода под расторжением, потенциал роста при пересдаче в аренду.</w:t>
      </w:r>
    </w:p>
    <w:tbl>
      <w:tblPr>
        <w:tblW w:type="auto" w:w="0"/>
        <w:jc w:val="left"/>
        <w:tblBorders>
          <w:top w:val="single" w:sz="2" w:space="0" w:color="D8D8D8"/>
          <w:start w:val="none" w:sz="0" w:space="0" w:color="auto"/>
          <w:bottom w:val="single" w:sz="2" w:space="0" w:color="D8D8D8"/>
          <w:end w:val="none" w:sz="0" w:space="0" w:color="auto"/>
          <w:insideH w:val="single" w:sz="2" w:space="0" w:color="D8D8D8"/>
          <w:insideV w:val="none" w:sz="0" w:space="0" w:color="auto"/>
        </w:tblBorders>
        <w:tblLayout w:type="fixed"/>
        <w:tblLook w:firstColumn="1" w:firstRow="1" w:lastColumn="0" w:lastRow="0" w:noHBand="0" w:noVBand="1" w:val="04A0"/>
      </w:tblPr>
      <w:tblGrid>
        <w:gridCol w:w="2900"/>
        <w:gridCol w:w="6128"/>
      </w:tblGrid>
      <w:tr>
        <w:trPr>
          <w:cantSplit w:val="1"/>
        </w:trPr>
        <w:tc>
          <w:tcPr>
            <w:tcW w:type="dxa" w:w="9028"/>
            <w:gridSpan w:val="2"/>
            <w:shd w:val="clear" w:color="auto" w:fill="EFF2F5"/>
            <w:tcMar>
              <w:top w:w="120" w:type="dxa"/>
              <w:start w:w="160" w:type="dxa"/>
              <w:bottom w:w="100" w:type="dxa"/>
              <w:end w:w="120" w:type="dxa"/>
            </w:tcMar>
          </w:tcPr>
          <w:p>
            <w:pPr>
              <w:keepNext w:val="1"/>
              <w:keepLines w:val="1"/>
              <w:spacing w:after="0"/>
            </w:pPr>
            <w:r>
              <w:rPr>
                <w:rFonts w:ascii="Calibri" w:hAnsi="Calibri" w:cs="Calibri" w:eastAsia="Calibri"/>
                <w:b/>
                <w:i w:val="0"/>
                <w:color w:val="1A3A5C"/>
                <w:spacing w:val="20"/>
                <w:sz w:val="17"/>
              </w:rPr>
              <w:t>ФИНАНСЫ</w:t>
            </w:r>
          </w:p>
        </w:tc>
      </w:tr>
      <w:tr>
        <w:trPr>
          <w:cantSplit w:val="1"/>
        </w:trPr>
        <w:tc>
          <w:tcPr>
            <w:tcW w:type="dxa" w:w="2900"/>
            <w:shd w:val="clear" w:color="auto" w:fill="FAFAFA"/>
            <w:tcMar>
              <w:top w:w="100" w:type="dxa"/>
              <w:start w:w="160" w:type="dxa"/>
              <w:bottom w:w="100" w:type="dxa"/>
              <w:end w:w="120" w:type="dxa"/>
            </w:tcMar>
          </w:tcPr>
          <w:p>
            <w:pPr>
              <w:keepNext w:val="1"/>
              <w:spacing w:after="0"/>
            </w:pPr>
            <w:r>
              <w:rPr>
                <w:rFonts w:ascii="Calibri" w:hAnsi="Calibri" w:cs="Calibri" w:eastAsia="Calibri"/>
                <w:b/>
                <w:i w:val="0"/>
                <w:color w:val="1A3A5C"/>
                <w:sz w:val="19"/>
              </w:rPr>
              <w:t>Цена</w:t>
            </w:r>
          </w:p>
        </w:tc>
        <w:tc>
          <w:tcPr>
            <w:tcW w:type="dxa" w:w="6128"/>
            <w:tcMar>
              <w:top w:w="100" w:type="dxa"/>
              <w:start w:w="100" w:type="dxa"/>
              <w:bottom w:w="100" w:type="dxa"/>
              <w:end w:w="120" w:type="dxa"/>
            </w:tcMar>
          </w:tcPr>
          <w:p>
            <w:pPr>
              <w:keepNext w:val="1"/>
              <w:spacing w:after="0"/>
            </w:pPr>
            <w:r>
              <w:rPr>
                <w:rFonts w:ascii="Calibri" w:hAnsi="Calibri" w:cs="Calibri" w:eastAsia="Calibri"/>
                <w:b w:val="0"/>
                <w:i w:val="0"/>
                <w:color w:val="2C2C2C"/>
                <w:sz w:val="19"/>
              </w:rPr>
              <w:t>€ 1.750.000 k.k.</w:t>
            </w:r>
          </w:p>
        </w:tc>
      </w:tr>
      <w:tr>
        <w:trPr>
          <w:cantSplit w:val="1"/>
        </w:trPr>
        <w:tc>
          <w:tcPr>
            <w:tcW w:type="dxa" w:w="2900"/>
            <w:shd w:val="clear" w:color="auto" w:fill="FAFAFA"/>
            <w:tcMar>
              <w:top w:w="100" w:type="dxa"/>
              <w:start w:w="160" w:type="dxa"/>
              <w:bottom w:w="100" w:type="dxa"/>
              <w:end w:w="120" w:type="dxa"/>
            </w:tcMar>
          </w:tcPr>
          <w:p>
            <w:pPr>
              <w:keepNext w:val="1"/>
              <w:spacing w:after="0"/>
            </w:pPr>
            <w:r>
              <w:rPr>
                <w:rFonts w:ascii="Calibri" w:hAnsi="Calibri" w:cs="Calibri" w:eastAsia="Calibri"/>
                <w:b/>
                <w:i w:val="0"/>
                <w:color w:val="1A3A5C"/>
                <w:sz w:val="19"/>
              </w:rPr>
              <w:t>Цена входа (с k.k.)</w:t>
            </w:r>
          </w:p>
        </w:tc>
        <w:tc>
          <w:tcPr>
            <w:tcW w:type="dxa" w:w="6128"/>
            <w:tcMar>
              <w:top w:w="100" w:type="dxa"/>
              <w:start w:w="100" w:type="dxa"/>
              <w:bottom w:w="100" w:type="dxa"/>
              <w:end w:w="120" w:type="dxa"/>
            </w:tcMar>
          </w:tcPr>
          <w:p>
            <w:pPr>
              <w:keepNext w:val="1"/>
              <w:spacing w:after="0"/>
            </w:pPr>
            <w:r>
              <w:rPr>
                <w:rFonts w:ascii="Calibri" w:hAnsi="Calibri" w:cs="Calibri" w:eastAsia="Calibri"/>
                <w:b w:val="0"/>
                <w:i w:val="0"/>
                <w:color w:val="2C2C2C"/>
                <w:sz w:val="19"/>
              </w:rPr>
              <w:t>≈ € 1.953.000 — включая overdrachtsbelasting 10,4 % и расходы по сделке 1,2 %</w:t>
            </w:r>
          </w:p>
        </w:tc>
      </w:tr>
      <w:tr>
        <w:trPr>
          <w:cantSplit w:val="1"/>
        </w:trPr>
        <w:tc>
          <w:tcPr>
            <w:tcW w:type="dxa" w:w="2900"/>
            <w:shd w:val="clear" w:color="auto" w:fill="FAFAFA"/>
            <w:tcMar>
              <w:top w:w="100" w:type="dxa"/>
              <w:start w:w="160" w:type="dxa"/>
              <w:bottom w:w="100" w:type="dxa"/>
              <w:end w:w="120" w:type="dxa"/>
            </w:tcMar>
          </w:tcPr>
          <w:p>
            <w:pPr>
              <w:spacing w:after="0"/>
            </w:pPr>
            <w:r>
              <w:rPr>
                <w:rFonts w:ascii="Calibri" w:hAnsi="Calibri" w:cs="Calibri" w:eastAsia="Calibri"/>
                <w:b/>
                <w:i w:val="0"/>
                <w:color w:val="1A3A5C"/>
                <w:sz w:val="19"/>
              </w:rPr>
              <w:t>Доход от аренды</w:t>
            </w:r>
          </w:p>
        </w:tc>
        <w:tc>
          <w:tcPr>
            <w:tcW w:type="dxa" w:w="6128"/>
            <w:tcMar>
              <w:top w:w="100" w:type="dxa"/>
              <w:start w:w="100" w:type="dxa"/>
              <w:bottom w:w="100" w:type="dxa"/>
              <w:end w:w="120" w:type="dxa"/>
            </w:tcMar>
          </w:tcPr>
          <w:p>
            <w:pPr>
              <w:spacing w:after="0"/>
            </w:pPr>
            <w:r>
              <w:rPr>
                <w:rFonts w:ascii="Calibri" w:hAnsi="Calibri" w:cs="Calibri" w:eastAsia="Calibri"/>
                <w:b w:val="0"/>
                <w:i w:val="0"/>
                <w:color w:val="2C2C2C"/>
                <w:sz w:val="19"/>
              </w:rPr>
              <w:t>€ 111.153 в год</w:t>
            </w:r>
          </w:p>
        </w:tc>
      </w:tr>
      <w:tr>
        <w:trPr>
          <w:cantSplit w:val="1"/>
        </w:trPr>
        <w:tc>
          <w:tcPr>
            <w:tcW w:type="dxa" w:w="2900"/>
            <w:shd w:val="clear" w:color="auto" w:fill="FAFAFA"/>
            <w:tcMar>
              <w:top w:w="100" w:type="dxa"/>
              <w:start w:w="160" w:type="dxa"/>
              <w:bottom w:w="100" w:type="dxa"/>
              <w:end w:w="120" w:type="dxa"/>
            </w:tcMar>
          </w:tcPr>
          <w:p>
            <w:pPr>
              <w:spacing w:after="0"/>
            </w:pPr>
            <w:r>
              <w:rPr>
                <w:rFonts w:ascii="Calibri" w:hAnsi="Calibri" w:cs="Calibri" w:eastAsia="Calibri"/>
                <w:b/>
                <w:i w:val="0"/>
                <w:color w:val="1A3A5C"/>
                <w:sz w:val="19"/>
              </w:rPr>
              <w:t>Ставка аренды</w:t>
            </w:r>
          </w:p>
        </w:tc>
        <w:tc>
          <w:tcPr>
            <w:tcW w:type="dxa" w:w="6128"/>
            <w:tcMar>
              <w:top w:w="100" w:type="dxa"/>
              <w:start w:w="100" w:type="dxa"/>
              <w:bottom w:w="100" w:type="dxa"/>
              <w:end w:w="120" w:type="dxa"/>
            </w:tcMar>
          </w:tcPr>
          <w:p>
            <w:pPr>
              <w:spacing w:after="0"/>
            </w:pPr>
            <w:r>
              <w:rPr>
                <w:rFonts w:ascii="Calibri" w:hAnsi="Calibri" w:cs="Calibri" w:eastAsia="Calibri"/>
                <w:b w:val="0"/>
                <w:i w:val="0"/>
                <w:color w:val="2C2C2C"/>
                <w:sz w:val="19"/>
              </w:rPr>
              <w:t>≈ € 59/м² в год</w:t>
            </w:r>
          </w:p>
        </w:tc>
      </w:tr>
      <w:tr>
        <w:trPr>
          <w:cantSplit w:val="1"/>
        </w:trPr>
        <w:tc>
          <w:tcPr>
            <w:tcW w:type="dxa" w:w="2900"/>
            <w:shd w:val="clear" w:color="auto" w:fill="FAFAFA"/>
            <w:tcMar>
              <w:top w:w="100" w:type="dxa"/>
              <w:start w:w="160" w:type="dxa"/>
              <w:bottom w:w="100" w:type="dxa"/>
              <w:end w:w="120" w:type="dxa"/>
            </w:tcMar>
          </w:tcPr>
          <w:p>
            <w:pPr>
              <w:spacing w:after="0"/>
            </w:pPr>
            <w:r>
              <w:rPr>
                <w:rFonts w:ascii="Calibri" w:hAnsi="Calibri" w:cs="Calibri" w:eastAsia="Calibri"/>
                <w:b/>
                <w:i w:val="0"/>
                <w:color w:val="1A3A5C"/>
                <w:sz w:val="19"/>
              </w:rPr>
              <w:t>Цена за м²</w:t>
            </w:r>
          </w:p>
        </w:tc>
        <w:tc>
          <w:tcPr>
            <w:tcW w:type="dxa" w:w="6128"/>
            <w:tcMar>
              <w:top w:w="100" w:type="dxa"/>
              <w:start w:w="100" w:type="dxa"/>
              <w:bottom w:w="100" w:type="dxa"/>
              <w:end w:w="120" w:type="dxa"/>
            </w:tcMar>
          </w:tcPr>
          <w:p>
            <w:pPr>
              <w:spacing w:after="0"/>
            </w:pPr>
            <w:r>
              <w:rPr>
                <w:rFonts w:ascii="Calibri" w:hAnsi="Calibri" w:cs="Calibri" w:eastAsia="Calibri"/>
                <w:b w:val="0"/>
                <w:i w:val="0"/>
                <w:color w:val="2C2C2C"/>
                <w:sz w:val="19"/>
              </w:rPr>
              <w:t>≈ € 933/м²</w:t>
            </w:r>
          </w:p>
        </w:tc>
      </w:tr>
      <w:tr>
        <w:trPr>
          <w:cantSplit w:val="1"/>
        </w:trPr>
        <w:tc>
          <w:tcPr>
            <w:tcW w:type="dxa" w:w="2900"/>
            <w:shd w:val="clear" w:color="auto" w:fill="FAFAFA"/>
            <w:tcMar>
              <w:top w:w="100" w:type="dxa"/>
              <w:start w:w="160" w:type="dxa"/>
              <w:bottom w:w="100" w:type="dxa"/>
              <w:end w:w="120" w:type="dxa"/>
            </w:tcMar>
          </w:tcPr>
          <w:p>
            <w:pPr>
              <w:spacing w:after="0"/>
            </w:pPr>
            <w:r>
              <w:rPr>
                <w:rFonts w:ascii="Calibri" w:hAnsi="Calibri" w:cs="Calibri" w:eastAsia="Calibri"/>
                <w:b/>
                <w:i w:val="0"/>
                <w:color w:val="1A3A5C"/>
                <w:sz w:val="19"/>
              </w:rPr>
              <w:t>BAR к цене</w:t>
            </w:r>
          </w:p>
        </w:tc>
        <w:tc>
          <w:tcPr>
            <w:tcW w:type="dxa" w:w="6128"/>
            <w:tcMar>
              <w:top w:w="100" w:type="dxa"/>
              <w:start w:w="100" w:type="dxa"/>
              <w:bottom w:w="100" w:type="dxa"/>
              <w:end w:w="120" w:type="dxa"/>
            </w:tcMar>
          </w:tcPr>
          <w:p>
            <w:pPr>
              <w:spacing w:after="0"/>
            </w:pPr>
            <w:r>
              <w:rPr>
                <w:rFonts w:ascii="Calibri" w:hAnsi="Calibri" w:cs="Calibri" w:eastAsia="Calibri"/>
                <w:b w:val="0"/>
                <w:i w:val="0"/>
                <w:color w:val="2C2C2C"/>
                <w:sz w:val="19"/>
              </w:rPr>
              <w:t>6,4 %</w:t>
            </w:r>
          </w:p>
        </w:tc>
      </w:tr>
      <w:tr>
        <w:trPr>
          <w:cantSplit w:val="1"/>
        </w:trPr>
        <w:tc>
          <w:tcPr>
            <w:tcW w:type="dxa" w:w="2900"/>
            <w:shd w:val="clear" w:color="auto" w:fill="FAFAFA"/>
            <w:tcMar>
              <w:top w:w="100" w:type="dxa"/>
              <w:start w:w="160" w:type="dxa"/>
              <w:bottom w:w="100" w:type="dxa"/>
              <w:end w:w="120" w:type="dxa"/>
            </w:tcMar>
          </w:tcPr>
          <w:p>
            <w:pPr>
              <w:spacing w:after="0"/>
            </w:pPr>
            <w:r>
              <w:rPr>
                <w:rFonts w:ascii="Calibri" w:hAnsi="Calibri" w:cs="Calibri" w:eastAsia="Calibri"/>
                <w:b/>
                <w:i w:val="0"/>
                <w:color w:val="1A3A5C"/>
                <w:sz w:val="19"/>
              </w:rPr>
              <w:t>BAR к цене входа</w:t>
            </w:r>
          </w:p>
        </w:tc>
        <w:tc>
          <w:tcPr>
            <w:tcW w:type="dxa" w:w="6128"/>
            <w:tcMar>
              <w:top w:w="100" w:type="dxa"/>
              <w:start w:w="100" w:type="dxa"/>
              <w:bottom w:w="100" w:type="dxa"/>
              <w:end w:w="120" w:type="dxa"/>
            </w:tcMar>
          </w:tcPr>
          <w:p>
            <w:pPr>
              <w:spacing w:after="0"/>
            </w:pPr>
            <w:r>
              <w:rPr>
                <w:rFonts w:ascii="Calibri" w:hAnsi="Calibri" w:cs="Calibri" w:eastAsia="Calibri"/>
                <w:b w:val="0"/>
                <w:i w:val="0"/>
                <w:color w:val="2C2C2C"/>
                <w:sz w:val="19"/>
              </w:rPr>
              <w:t>5,7 %</w:t>
            </w:r>
          </w:p>
        </w:tc>
      </w:tr>
      <w:tr>
        <w:trPr>
          <w:cantSplit w:val="1"/>
        </w:trPr>
        <w:tc>
          <w:tcPr>
            <w:tcW w:type="dxa" w:w="2900"/>
            <w:shd w:val="clear" w:color="auto" w:fill="FAFAFA"/>
            <w:tcMar>
              <w:top w:w="100" w:type="dxa"/>
              <w:start w:w="160" w:type="dxa"/>
              <w:bottom w:w="100" w:type="dxa"/>
              <w:end w:w="120" w:type="dxa"/>
            </w:tcMar>
          </w:tcPr>
          <w:p>
            <w:pPr>
              <w:spacing w:after="0"/>
            </w:pPr>
            <w:r>
              <w:rPr>
                <w:rFonts w:ascii="Calibri" w:hAnsi="Calibri" w:cs="Calibri" w:eastAsia="Calibri"/>
                <w:b/>
                <w:i w:val="0"/>
                <w:color w:val="1A3A5C"/>
                <w:sz w:val="19"/>
              </w:rPr>
              <w:t>NAR к цене входа</w:t>
            </w:r>
          </w:p>
        </w:tc>
        <w:tc>
          <w:tcPr>
            <w:tcW w:type="dxa" w:w="6128"/>
            <w:tcMar>
              <w:top w:w="100" w:type="dxa"/>
              <w:start w:w="100" w:type="dxa"/>
              <w:bottom w:w="100" w:type="dxa"/>
              <w:end w:w="120" w:type="dxa"/>
            </w:tcMar>
          </w:tcPr>
          <w:p>
            <w:pPr>
              <w:spacing w:after="0"/>
            </w:pPr>
            <w:r>
              <w:rPr>
                <w:rFonts w:ascii="Calibri" w:hAnsi="Calibri" w:cs="Calibri" w:eastAsia="Calibri"/>
                <w:b w:val="0"/>
                <w:i w:val="0"/>
                <w:color w:val="2C2C2C"/>
                <w:sz w:val="19"/>
              </w:rPr>
              <w:t>4,4 % (при эксплуатационных расходах 22,0 % от аренды)</w:t>
            </w:r>
          </w:p>
        </w:tc>
      </w:tr>
      <w:tr>
        <w:trPr>
          <w:cantSplit w:val="1"/>
        </w:trPr>
        <w:tc>
          <w:tcPr>
            <w:tcW w:type="dxa" w:w="2900"/>
            <w:shd w:val="clear" w:color="auto" w:fill="FAFAFA"/>
            <w:tcMar>
              <w:top w:w="100" w:type="dxa"/>
              <w:start w:w="160" w:type="dxa"/>
              <w:bottom w:w="100" w:type="dxa"/>
              <w:end w:w="120" w:type="dxa"/>
            </w:tcMar>
          </w:tcPr>
          <w:p>
            <w:pPr>
              <w:spacing w:after="0"/>
            </w:pPr>
            <w:r>
              <w:rPr>
                <w:rFonts w:ascii="Calibri" w:hAnsi="Calibri" w:cs="Calibri" w:eastAsia="Calibri"/>
                <w:b/>
                <w:i w:val="0"/>
                <w:color w:val="1A3A5C"/>
                <w:sz w:val="19"/>
              </w:rPr>
              <w:t>Сценарий: После освобождения офисной части (Archimedesbaan 7‑9)</w:t>
            </w:r>
          </w:p>
        </w:tc>
        <w:tc>
          <w:tcPr>
            <w:tcW w:type="dxa" w:w="6128"/>
            <w:tcMar>
              <w:top w:w="100" w:type="dxa"/>
              <w:start w:w="100" w:type="dxa"/>
              <w:bottom w:w="100" w:type="dxa"/>
              <w:end w:w="120" w:type="dxa"/>
            </w:tcMar>
          </w:tcPr>
          <w:p>
            <w:pPr>
              <w:spacing w:after="0"/>
            </w:pPr>
            <w:r>
              <w:rPr>
                <w:rFonts w:ascii="Calibri" w:hAnsi="Calibri" w:cs="Calibri" w:eastAsia="Calibri"/>
                <w:b w:val="0"/>
                <w:i w:val="0"/>
                <w:color w:val="2C2C2C"/>
                <w:sz w:val="19"/>
              </w:rPr>
              <w:t>доход € 77.498 в год — BAR к цене входа ≈ 4,0 %</w:t>
            </w:r>
          </w:p>
        </w:tc>
      </w:tr>
      <w:tr>
        <w:trPr>
          <w:cantSplit w:val="1"/>
        </w:trPr>
        <w:tc>
          <w:tcPr>
            <w:tcW w:type="dxa" w:w="9028"/>
            <w:gridSpan w:val="2"/>
            <w:shd w:val="clear" w:color="auto" w:fill="EFF2F5"/>
            <w:tcMar>
              <w:top w:w="120" w:type="dxa"/>
              <w:start w:w="160" w:type="dxa"/>
              <w:bottom w:w="100" w:type="dxa"/>
              <w:end w:w="120" w:type="dxa"/>
            </w:tcMar>
          </w:tcPr>
          <w:p>
            <w:pPr>
              <w:keepNext w:val="1"/>
              <w:keepLines w:val="1"/>
              <w:spacing w:after="0"/>
            </w:pPr>
            <w:r>
              <w:rPr>
                <w:rFonts w:ascii="Calibri" w:hAnsi="Calibri" w:cs="Calibri" w:eastAsia="Calibri"/>
                <w:b/>
                <w:i w:val="0"/>
                <w:color w:val="1A3A5C"/>
                <w:spacing w:val="20"/>
                <w:sz w:val="17"/>
              </w:rPr>
              <w:t>ОБЪЕКТ</w:t>
            </w:r>
          </w:p>
        </w:tc>
      </w:tr>
      <w:tr>
        <w:trPr>
          <w:cantSplit w:val="1"/>
        </w:trPr>
        <w:tc>
          <w:tcPr>
            <w:tcW w:type="dxa" w:w="2900"/>
            <w:shd w:val="clear" w:color="auto" w:fill="FAFAFA"/>
            <w:tcMar>
              <w:top w:w="100" w:type="dxa"/>
              <w:start w:w="160" w:type="dxa"/>
              <w:bottom w:w="100" w:type="dxa"/>
              <w:end w:w="120" w:type="dxa"/>
            </w:tcMar>
          </w:tcPr>
          <w:p>
            <w:pPr>
              <w:keepNext w:val="1"/>
              <w:spacing w:after="0"/>
            </w:pPr>
            <w:r>
              <w:rPr>
                <w:rFonts w:ascii="Calibri" w:hAnsi="Calibri" w:cs="Calibri" w:eastAsia="Calibri"/>
                <w:b/>
                <w:i w:val="0"/>
                <w:color w:val="1A3A5C"/>
                <w:sz w:val="19"/>
              </w:rPr>
              <w:t>Общая площадь</w:t>
            </w:r>
          </w:p>
        </w:tc>
        <w:tc>
          <w:tcPr>
            <w:tcW w:type="dxa" w:w="6128"/>
            <w:tcMar>
              <w:top w:w="100" w:type="dxa"/>
              <w:start w:w="100" w:type="dxa"/>
              <w:bottom w:w="100" w:type="dxa"/>
              <w:end w:w="120" w:type="dxa"/>
            </w:tcMar>
          </w:tcPr>
          <w:p>
            <w:pPr>
              <w:keepNext w:val="1"/>
              <w:spacing w:after="0"/>
            </w:pPr>
            <w:r>
              <w:rPr>
                <w:rFonts w:ascii="Calibri" w:hAnsi="Calibri" w:cs="Calibri" w:eastAsia="Calibri"/>
                <w:b w:val="0"/>
                <w:i w:val="0"/>
                <w:color w:val="2C2C2C"/>
                <w:sz w:val="19"/>
              </w:rPr>
              <w:t>≈ 1.876 м² (1.375 м² производство + 490 м² офис + 11 м² вход)</w:t>
            </w:r>
          </w:p>
        </w:tc>
      </w:tr>
      <w:tr>
        <w:trPr>
          <w:cantSplit w:val="1"/>
        </w:trPr>
        <w:tc>
          <w:tcPr>
            <w:tcW w:type="dxa" w:w="2900"/>
            <w:shd w:val="clear" w:color="auto" w:fill="FAFAFA"/>
            <w:tcMar>
              <w:top w:w="100" w:type="dxa"/>
              <w:start w:w="160" w:type="dxa"/>
              <w:bottom w:w="100" w:type="dxa"/>
              <w:end w:w="120" w:type="dxa"/>
            </w:tcMar>
          </w:tcPr>
          <w:p>
            <w:pPr>
              <w:keepNext w:val="1"/>
              <w:spacing w:after="0"/>
            </w:pPr>
            <w:r>
              <w:rPr>
                <w:rFonts w:ascii="Calibri" w:hAnsi="Calibri" w:cs="Calibri" w:eastAsia="Calibri"/>
                <w:b/>
                <w:i w:val="0"/>
                <w:color w:val="1A3A5C"/>
                <w:sz w:val="19"/>
              </w:rPr>
              <w:t>Площадь участка</w:t>
            </w:r>
          </w:p>
        </w:tc>
        <w:tc>
          <w:tcPr>
            <w:tcW w:type="dxa" w:w="6128"/>
            <w:tcMar>
              <w:top w:w="100" w:type="dxa"/>
              <w:start w:w="100" w:type="dxa"/>
              <w:bottom w:w="100" w:type="dxa"/>
              <w:end w:w="120" w:type="dxa"/>
            </w:tcMar>
          </w:tcPr>
          <w:p>
            <w:pPr>
              <w:keepNext w:val="1"/>
              <w:spacing w:after="0"/>
            </w:pPr>
            <w:r>
              <w:rPr>
                <w:rFonts w:ascii="Calibri" w:hAnsi="Calibri" w:cs="Calibri" w:eastAsia="Calibri"/>
                <w:b w:val="0"/>
                <w:i w:val="0"/>
                <w:color w:val="2C2C2C"/>
                <w:sz w:val="19"/>
              </w:rPr>
              <w:t>2.276 м² (собственная земля)</w:t>
            </w:r>
          </w:p>
        </w:tc>
      </w:tr>
      <w:tr>
        <w:trPr>
          <w:cantSplit w:val="1"/>
        </w:trPr>
        <w:tc>
          <w:tcPr>
            <w:tcW w:type="dxa" w:w="2900"/>
            <w:shd w:val="clear" w:color="auto" w:fill="FAFAFA"/>
            <w:tcMar>
              <w:top w:w="100" w:type="dxa"/>
              <w:start w:w="160" w:type="dxa"/>
              <w:bottom w:w="100" w:type="dxa"/>
              <w:end w:w="120" w:type="dxa"/>
            </w:tcMar>
          </w:tcPr>
          <w:p>
            <w:pPr>
              <w:spacing w:after="0"/>
            </w:pPr>
            <w:r>
              <w:rPr>
                <w:rFonts w:ascii="Calibri" w:hAnsi="Calibri" w:cs="Calibri" w:eastAsia="Calibri"/>
                <w:b/>
                <w:i w:val="0"/>
                <w:color w:val="1A3A5C"/>
                <w:sz w:val="19"/>
              </w:rPr>
              <w:t>Тип объекта</w:t>
            </w:r>
          </w:p>
        </w:tc>
        <w:tc>
          <w:tcPr>
            <w:tcW w:type="dxa" w:w="6128"/>
            <w:tcMar>
              <w:top w:w="100" w:type="dxa"/>
              <w:start w:w="100" w:type="dxa"/>
              <w:bottom w:w="100" w:type="dxa"/>
              <w:end w:w="120" w:type="dxa"/>
            </w:tcMar>
          </w:tcPr>
          <w:p>
            <w:pPr>
              <w:spacing w:after="0"/>
            </w:pPr>
            <w:r>
              <w:rPr>
                <w:rFonts w:ascii="Calibri" w:hAnsi="Calibri" w:cs="Calibri" w:eastAsia="Calibri"/>
                <w:b w:val="0"/>
                <w:i w:val="0"/>
                <w:color w:val="2C2C2C"/>
                <w:sz w:val="19"/>
              </w:rPr>
              <w:t>инвестиционный: производственно-офисное здание, сдано в аренду двум арендаторам</w:t>
            </w:r>
          </w:p>
        </w:tc>
      </w:tr>
      <w:tr>
        <w:trPr>
          <w:cantSplit w:val="1"/>
        </w:trPr>
        <w:tc>
          <w:tcPr>
            <w:tcW w:type="dxa" w:w="2900"/>
            <w:shd w:val="clear" w:color="auto" w:fill="FAFAFA"/>
            <w:tcMar>
              <w:top w:w="100" w:type="dxa"/>
              <w:start w:w="160" w:type="dxa"/>
              <w:bottom w:w="100" w:type="dxa"/>
              <w:end w:w="120" w:type="dxa"/>
            </w:tcMar>
          </w:tcPr>
          <w:p>
            <w:pPr>
              <w:spacing w:after="0"/>
            </w:pPr>
            <w:r>
              <w:rPr>
                <w:rFonts w:ascii="Calibri" w:hAnsi="Calibri" w:cs="Calibri" w:eastAsia="Calibri"/>
                <w:b/>
                <w:i w:val="0"/>
                <w:color w:val="1A3A5C"/>
                <w:sz w:val="19"/>
              </w:rPr>
              <w:t>Год постройки</w:t>
            </w:r>
          </w:p>
        </w:tc>
        <w:tc>
          <w:tcPr>
            <w:tcW w:type="dxa" w:w="6128"/>
            <w:tcMar>
              <w:top w:w="100" w:type="dxa"/>
              <w:start w:w="100" w:type="dxa"/>
              <w:bottom w:w="100" w:type="dxa"/>
              <w:end w:w="120" w:type="dxa"/>
            </w:tcMar>
          </w:tcPr>
          <w:p>
            <w:pPr>
              <w:spacing w:after="0"/>
            </w:pPr>
            <w:r>
              <w:rPr>
                <w:rFonts w:ascii="Calibri" w:hAnsi="Calibri" w:cs="Calibri" w:eastAsia="Calibri"/>
                <w:b w:val="0"/>
                <w:i w:val="0"/>
                <w:color w:val="2C2C2C"/>
                <w:sz w:val="19"/>
              </w:rPr>
              <w:t>1989</w:t>
            </w:r>
          </w:p>
        </w:tc>
      </w:tr>
      <w:tr>
        <w:trPr>
          <w:cantSplit w:val="1"/>
        </w:trPr>
        <w:tc>
          <w:tcPr>
            <w:tcW w:type="dxa" w:w="2900"/>
            <w:shd w:val="clear" w:color="auto" w:fill="FAFAFA"/>
            <w:tcMar>
              <w:top w:w="100" w:type="dxa"/>
              <w:start w:w="160" w:type="dxa"/>
              <w:bottom w:w="100" w:type="dxa"/>
              <w:end w:w="120" w:type="dxa"/>
            </w:tcMar>
          </w:tcPr>
          <w:p>
            <w:pPr>
              <w:spacing w:after="0"/>
            </w:pPr>
            <w:r>
              <w:rPr>
                <w:rFonts w:ascii="Calibri" w:hAnsi="Calibri" w:cs="Calibri" w:eastAsia="Calibri"/>
                <w:b/>
                <w:i w:val="0"/>
                <w:color w:val="1A3A5C"/>
                <w:sz w:val="19"/>
              </w:rPr>
              <w:t>Энергетический класс</w:t>
            </w:r>
          </w:p>
        </w:tc>
        <w:tc>
          <w:tcPr>
            <w:tcW w:type="dxa" w:w="6128"/>
            <w:tcMar>
              <w:top w:w="100" w:type="dxa"/>
              <w:start w:w="100" w:type="dxa"/>
              <w:bottom w:w="100" w:type="dxa"/>
              <w:end w:w="120" w:type="dxa"/>
            </w:tcMar>
          </w:tcPr>
          <w:p>
            <w:pPr>
              <w:spacing w:after="0"/>
            </w:pPr>
            <w:r>
              <w:rPr>
                <w:rFonts w:ascii="Calibri" w:hAnsi="Calibri" w:cs="Calibri" w:eastAsia="Calibri"/>
                <w:b w:val="0"/>
                <w:i w:val="0"/>
                <w:color w:val="2C2C2C"/>
                <w:sz w:val="19"/>
              </w:rPr>
              <w:t>D (срок действия сертификата в листинге не указан)</w:t>
            </w:r>
          </w:p>
        </w:tc>
      </w:tr>
      <w:tr>
        <w:trPr>
          <w:cantSplit w:val="1"/>
        </w:trPr>
        <w:tc>
          <w:tcPr>
            <w:tcW w:type="dxa" w:w="2900"/>
            <w:shd w:val="clear" w:color="auto" w:fill="FAFAFA"/>
            <w:tcMar>
              <w:top w:w="100" w:type="dxa"/>
              <w:start w:w="160" w:type="dxa"/>
              <w:bottom w:w="100" w:type="dxa"/>
              <w:end w:w="120" w:type="dxa"/>
            </w:tcMar>
          </w:tcPr>
          <w:p>
            <w:pPr>
              <w:spacing w:after="0"/>
            </w:pPr>
            <w:r>
              <w:rPr>
                <w:rFonts w:ascii="Calibri" w:hAnsi="Calibri" w:cs="Calibri" w:eastAsia="Calibri"/>
                <w:b/>
                <w:i w:val="0"/>
                <w:color w:val="1A3A5C"/>
                <w:sz w:val="19"/>
              </w:rPr>
              <w:t>Право на землю</w:t>
            </w:r>
          </w:p>
        </w:tc>
        <w:tc>
          <w:tcPr>
            <w:tcW w:type="dxa" w:w="6128"/>
            <w:tcMar>
              <w:top w:w="100" w:type="dxa"/>
              <w:start w:w="100" w:type="dxa"/>
              <w:bottom w:w="100" w:type="dxa"/>
              <w:end w:w="120" w:type="dxa"/>
            </w:tcMar>
          </w:tcPr>
          <w:p>
            <w:pPr>
              <w:spacing w:after="0"/>
            </w:pPr>
            <w:r>
              <w:rPr>
                <w:rFonts w:ascii="Calibri" w:hAnsi="Calibri" w:cs="Calibri" w:eastAsia="Calibri"/>
                <w:b w:val="0"/>
                <w:i w:val="0"/>
                <w:color w:val="2C2C2C"/>
                <w:sz w:val="19"/>
              </w:rPr>
              <w:t>полная собственность (volle eigendom)</w:t>
            </w:r>
          </w:p>
        </w:tc>
      </w:tr>
      <w:tr>
        <w:trPr>
          <w:cantSplit w:val="1"/>
        </w:trPr>
        <w:tc>
          <w:tcPr>
            <w:tcW w:type="dxa" w:w="2900"/>
            <w:shd w:val="clear" w:color="auto" w:fill="FAFAFA"/>
            <w:tcMar>
              <w:top w:w="100" w:type="dxa"/>
              <w:start w:w="160" w:type="dxa"/>
              <w:bottom w:w="100" w:type="dxa"/>
              <w:end w:w="120" w:type="dxa"/>
            </w:tcMar>
          </w:tcPr>
          <w:p>
            <w:pPr>
              <w:spacing w:after="0"/>
            </w:pPr>
            <w:r>
              <w:rPr>
                <w:rFonts w:ascii="Calibri" w:hAnsi="Calibri" w:cs="Calibri" w:eastAsia="Calibri"/>
                <w:b/>
                <w:i w:val="0"/>
                <w:color w:val="1A3A5C"/>
                <w:sz w:val="19"/>
              </w:rPr>
              <w:t>Свободная высота</w:t>
            </w:r>
          </w:p>
        </w:tc>
        <w:tc>
          <w:tcPr>
            <w:tcW w:type="dxa" w:w="6128"/>
            <w:tcMar>
              <w:top w:w="100" w:type="dxa"/>
              <w:start w:w="100" w:type="dxa"/>
              <w:bottom w:w="100" w:type="dxa"/>
              <w:end w:w="120" w:type="dxa"/>
            </w:tcMar>
          </w:tcPr>
          <w:p>
            <w:pPr>
              <w:spacing w:after="0"/>
            </w:pPr>
            <w:r>
              <w:rPr>
                <w:rFonts w:ascii="Calibri" w:hAnsi="Calibri" w:cs="Calibri" w:eastAsia="Calibri"/>
                <w:b w:val="0"/>
                <w:i w:val="0"/>
                <w:color w:val="2C2C2C"/>
                <w:sz w:val="19"/>
              </w:rPr>
              <w:t>в листинге не указано</w:t>
            </w:r>
          </w:p>
        </w:tc>
      </w:tr>
      <w:tr>
        <w:trPr>
          <w:cantSplit w:val="1"/>
        </w:trPr>
        <w:tc>
          <w:tcPr>
            <w:tcW w:type="dxa" w:w="2900"/>
            <w:shd w:val="clear" w:color="auto" w:fill="FAFAFA"/>
            <w:tcMar>
              <w:top w:w="100" w:type="dxa"/>
              <w:start w:w="160" w:type="dxa"/>
              <w:bottom w:w="100" w:type="dxa"/>
              <w:end w:w="120" w:type="dxa"/>
            </w:tcMar>
          </w:tcPr>
          <w:p>
            <w:pPr>
              <w:spacing w:after="0"/>
            </w:pPr>
            <w:r>
              <w:rPr>
                <w:rFonts w:ascii="Calibri" w:hAnsi="Calibri" w:cs="Calibri" w:eastAsia="Calibri"/>
                <w:b/>
                <w:i w:val="0"/>
                <w:color w:val="1A3A5C"/>
                <w:sz w:val="19"/>
              </w:rPr>
              <w:t>Несущая способность пола</w:t>
            </w:r>
          </w:p>
        </w:tc>
        <w:tc>
          <w:tcPr>
            <w:tcW w:type="dxa" w:w="6128"/>
            <w:tcMar>
              <w:top w:w="100" w:type="dxa"/>
              <w:start w:w="100" w:type="dxa"/>
              <w:bottom w:w="100" w:type="dxa"/>
              <w:end w:w="120" w:type="dxa"/>
            </w:tcMar>
          </w:tcPr>
          <w:p>
            <w:pPr>
              <w:spacing w:after="0"/>
            </w:pPr>
            <w:r>
              <w:rPr>
                <w:rFonts w:ascii="Calibri" w:hAnsi="Calibri" w:cs="Calibri" w:eastAsia="Calibri"/>
                <w:b w:val="0"/>
                <w:i w:val="0"/>
                <w:color w:val="2C2C2C"/>
                <w:sz w:val="19"/>
              </w:rPr>
              <w:t>в листинге не указано</w:t>
            </w:r>
          </w:p>
        </w:tc>
      </w:tr>
      <w:tr>
        <w:trPr>
          <w:cantSplit w:val="1"/>
        </w:trPr>
        <w:tc>
          <w:tcPr>
            <w:tcW w:type="dxa" w:w="2900"/>
            <w:shd w:val="clear" w:color="auto" w:fill="FAFAFA"/>
            <w:tcMar>
              <w:top w:w="100" w:type="dxa"/>
              <w:start w:w="160" w:type="dxa"/>
              <w:bottom w:w="100" w:type="dxa"/>
              <w:end w:w="120" w:type="dxa"/>
            </w:tcMar>
          </w:tcPr>
          <w:p>
            <w:pPr>
              <w:spacing w:after="0"/>
            </w:pPr>
            <w:r>
              <w:rPr>
                <w:rFonts w:ascii="Calibri" w:hAnsi="Calibri" w:cs="Calibri" w:eastAsia="Calibri"/>
                <w:b/>
                <w:i w:val="0"/>
                <w:color w:val="1A3A5C"/>
                <w:sz w:val="19"/>
              </w:rPr>
              <w:t>Парковка</w:t>
            </w:r>
          </w:p>
        </w:tc>
        <w:tc>
          <w:tcPr>
            <w:tcW w:type="dxa" w:w="6128"/>
            <w:tcMar>
              <w:top w:w="100" w:type="dxa"/>
              <w:start w:w="100" w:type="dxa"/>
              <w:bottom w:w="100" w:type="dxa"/>
              <w:end w:w="120" w:type="dxa"/>
            </w:tcMar>
          </w:tcPr>
          <w:p>
            <w:pPr>
              <w:spacing w:after="0"/>
            </w:pPr>
            <w:r>
              <w:rPr>
                <w:rFonts w:ascii="Calibri" w:hAnsi="Calibri" w:cs="Calibri" w:eastAsia="Calibri"/>
                <w:b w:val="0"/>
                <w:i w:val="0"/>
                <w:color w:val="2C2C2C"/>
                <w:sz w:val="19"/>
              </w:rPr>
              <w:t>на собственной территории, число мест в листинге не указано</w:t>
            </w:r>
          </w:p>
        </w:tc>
      </w:tr>
      <w:tr>
        <w:trPr>
          <w:cantSplit w:val="1"/>
        </w:trPr>
        <w:tc>
          <w:tcPr>
            <w:tcW w:type="dxa" w:w="2900"/>
            <w:shd w:val="clear" w:color="auto" w:fill="FAFAFA"/>
            <w:tcMar>
              <w:top w:w="100" w:type="dxa"/>
              <w:start w:w="160" w:type="dxa"/>
              <w:bottom w:w="100" w:type="dxa"/>
              <w:end w:w="120" w:type="dxa"/>
            </w:tcMar>
          </w:tcPr>
          <w:p>
            <w:pPr>
              <w:spacing w:after="0"/>
            </w:pPr>
            <w:r>
              <w:rPr>
                <w:rFonts w:ascii="Calibri" w:hAnsi="Calibri" w:cs="Calibri" w:eastAsia="Calibri"/>
                <w:b/>
                <w:i w:val="0"/>
                <w:color w:val="1A3A5C"/>
                <w:sz w:val="19"/>
              </w:rPr>
              <w:t>Арендаторы</w:t>
            </w:r>
          </w:p>
        </w:tc>
        <w:tc>
          <w:tcPr>
            <w:tcW w:type="dxa" w:w="6128"/>
            <w:tcMar>
              <w:top w:w="100" w:type="dxa"/>
              <w:start w:w="100" w:type="dxa"/>
              <w:bottom w:w="100" w:type="dxa"/>
              <w:end w:w="120" w:type="dxa"/>
            </w:tcMar>
          </w:tcPr>
          <w:p>
            <w:pPr>
              <w:spacing w:after="0"/>
            </w:pPr>
            <w:r>
              <w:rPr>
                <w:rFonts w:ascii="Calibri" w:hAnsi="Calibri" w:cs="Calibri" w:eastAsia="Calibri"/>
                <w:b w:val="0"/>
                <w:i w:val="0"/>
                <w:color w:val="2C2C2C"/>
                <w:sz w:val="19"/>
              </w:rPr>
              <w:t>2 — Euromaster Bandenservice B.V. и KNBB / Nederlandse Darts Bond</w:t>
            </w:r>
          </w:p>
        </w:tc>
      </w:tr>
      <w:tr>
        <w:trPr>
          <w:cantSplit w:val="1"/>
        </w:trPr>
        <w:tc>
          <w:tcPr>
            <w:tcW w:type="dxa" w:w="2900"/>
            <w:shd w:val="clear" w:color="auto" w:fill="FAFAFA"/>
            <w:tcMar>
              <w:top w:w="100" w:type="dxa"/>
              <w:start w:w="160" w:type="dxa"/>
              <w:bottom w:w="100" w:type="dxa"/>
              <w:end w:w="120" w:type="dxa"/>
            </w:tcMar>
          </w:tcPr>
          <w:p>
            <w:pPr>
              <w:spacing w:after="0"/>
            </w:pPr>
            <w:r>
              <w:rPr>
                <w:rFonts w:ascii="Calibri" w:hAnsi="Calibri" w:cs="Calibri" w:eastAsia="Calibri"/>
                <w:b/>
                <w:i w:val="0"/>
                <w:color w:val="1A3A5C"/>
                <w:sz w:val="19"/>
              </w:rPr>
              <w:t>Заполняемость</w:t>
            </w:r>
          </w:p>
        </w:tc>
        <w:tc>
          <w:tcPr>
            <w:tcW w:type="dxa" w:w="6128"/>
            <w:tcMar>
              <w:top w:w="100" w:type="dxa"/>
              <w:start w:w="100" w:type="dxa"/>
              <w:bottom w:w="100" w:type="dxa"/>
              <w:end w:w="120" w:type="dxa"/>
            </w:tcMar>
          </w:tcPr>
          <w:p>
            <w:pPr>
              <w:spacing w:after="0"/>
            </w:pPr>
            <w:r>
              <w:rPr>
                <w:rFonts w:ascii="Calibri" w:hAnsi="Calibri" w:cs="Calibri" w:eastAsia="Calibri"/>
                <w:b w:val="0"/>
                <w:i w:val="0"/>
                <w:color w:val="2C2C2C"/>
                <w:sz w:val="19"/>
              </w:rPr>
              <w:t>100 % (договор по Archimedesbaan 7‑9 расторгнут арендатором)</w:t>
            </w:r>
          </w:p>
        </w:tc>
      </w:tr>
      <w:tr>
        <w:trPr>
          <w:cantSplit w:val="1"/>
        </w:trPr>
        <w:tc>
          <w:tcPr>
            <w:tcW w:type="dxa" w:w="2900"/>
            <w:shd w:val="clear" w:color="auto" w:fill="FAFAFA"/>
            <w:tcMar>
              <w:top w:w="100" w:type="dxa"/>
              <w:start w:w="160" w:type="dxa"/>
              <w:bottom w:w="100" w:type="dxa"/>
              <w:end w:w="120" w:type="dxa"/>
            </w:tcMar>
          </w:tcPr>
          <w:p>
            <w:pPr>
              <w:spacing w:after="0"/>
            </w:pPr>
            <w:r>
              <w:rPr>
                <w:rFonts w:ascii="Calibri" w:hAnsi="Calibri" w:cs="Calibri" w:eastAsia="Calibri"/>
                <w:b/>
                <w:i w:val="0"/>
                <w:color w:val="1A3A5C"/>
                <w:sz w:val="19"/>
              </w:rPr>
              <w:t>Назначение (bestemming)</w:t>
            </w:r>
          </w:p>
        </w:tc>
        <w:tc>
          <w:tcPr>
            <w:tcW w:type="dxa" w:w="6128"/>
            <w:tcMar>
              <w:top w:w="100" w:type="dxa"/>
              <w:start w:w="100" w:type="dxa"/>
              <w:bottom w:w="100" w:type="dxa"/>
              <w:end w:w="120" w:type="dxa"/>
            </w:tcMar>
          </w:tcPr>
          <w:p>
            <w:pPr>
              <w:spacing w:after="0"/>
            </w:pPr>
            <w:r>
              <w:rPr>
                <w:rFonts w:ascii="Calibri" w:hAnsi="Calibri" w:cs="Calibri" w:eastAsia="Calibri"/>
                <w:b w:val="0"/>
                <w:i w:val="0"/>
                <w:color w:val="2C2C2C"/>
                <w:sz w:val="19"/>
              </w:rPr>
              <w:t>в листинге не указано</w:t>
            </w:r>
          </w:p>
        </w:tc>
      </w:tr>
      <w:tr>
        <w:trPr>
          <w:cantSplit w:val="1"/>
        </w:trPr>
        <w:tc>
          <w:tcPr>
            <w:tcW w:type="dxa" w:w="2900"/>
            <w:shd w:val="clear" w:color="auto" w:fill="FAFAFA"/>
            <w:tcMar>
              <w:top w:w="100" w:type="dxa"/>
              <w:start w:w="160" w:type="dxa"/>
              <w:bottom w:w="100" w:type="dxa"/>
              <w:end w:w="120" w:type="dxa"/>
            </w:tcMar>
          </w:tcPr>
          <w:p>
            <w:pPr>
              <w:spacing w:after="0"/>
            </w:pPr>
            <w:r>
              <w:rPr>
                <w:rFonts w:ascii="Calibri" w:hAnsi="Calibri" w:cs="Calibri" w:eastAsia="Calibri"/>
                <w:b/>
                <w:i w:val="0"/>
                <w:color w:val="1A3A5C"/>
                <w:sz w:val="19"/>
              </w:rPr>
              <w:t>Передача</w:t>
            </w:r>
          </w:p>
        </w:tc>
        <w:tc>
          <w:tcPr>
            <w:tcW w:type="dxa" w:w="6128"/>
            <w:tcMar>
              <w:top w:w="100" w:type="dxa"/>
              <w:start w:w="100" w:type="dxa"/>
              <w:bottom w:w="100" w:type="dxa"/>
              <w:end w:w="120" w:type="dxa"/>
            </w:tcMar>
          </w:tcPr>
          <w:p>
            <w:pPr>
              <w:spacing w:after="0"/>
            </w:pPr>
            <w:r>
              <w:rPr>
                <w:rFonts w:ascii="Calibri" w:hAnsi="Calibri" w:cs="Calibri" w:eastAsia="Calibri"/>
                <w:b w:val="0"/>
                <w:i w:val="0"/>
                <w:color w:val="2C2C2C"/>
                <w:sz w:val="19"/>
              </w:rPr>
              <w:t>по согласованию с продавцом, в состоянии «как есть» (as is, where is)</w:t>
            </w:r>
          </w:p>
        </w:tc>
      </w:tr>
      <w:tr>
        <w:trPr>
          <w:cantSplit w:val="1"/>
        </w:trPr>
        <w:tc>
          <w:tcPr>
            <w:tcW w:type="dxa" w:w="2900"/>
            <w:shd w:val="clear" w:color="auto" w:fill="FAFAFA"/>
            <w:tcMar>
              <w:top w:w="100" w:type="dxa"/>
              <w:start w:w="160" w:type="dxa"/>
              <w:bottom w:w="100" w:type="dxa"/>
              <w:end w:w="120" w:type="dxa"/>
            </w:tcMar>
          </w:tcPr>
          <w:p>
            <w:pPr>
              <w:spacing w:after="0"/>
            </w:pPr>
            <w:r>
              <w:rPr>
                <w:rFonts w:ascii="Calibri" w:hAnsi="Calibri" w:cs="Calibri" w:eastAsia="Calibri"/>
                <w:b/>
                <w:i w:val="0"/>
                <w:color w:val="1A3A5C"/>
                <w:sz w:val="19"/>
              </w:rPr>
              <w:t>Ссылка</w:t>
            </w:r>
          </w:p>
        </w:tc>
        <w:tc>
          <w:tcPr>
            <w:tcW w:type="dxa" w:w="6128"/>
            <w:tcMar>
              <w:top w:w="100" w:type="dxa"/>
              <w:start w:w="100" w:type="dxa"/>
              <w:bottom w:w="100" w:type="dxa"/>
              <w:end w:w="120" w:type="dxa"/>
            </w:tcMar>
          </w:tcPr>
          <w:p>
            <w:pPr>
              <w:spacing w:after="0"/>
            </w:pPr>
            <w:hyperlink r:id="rId52">
              <w:r>
                <w:rPr>
                  <w:rFonts w:ascii="Calibri" w:hAnsi="Calibri" w:cs="Calibri" w:eastAsia="Calibri"/>
                  <w:b w:val="0"/>
                  <w:i w:val="0"/>
                  <w:color w:val="1A3A5C"/>
                  <w:sz w:val="19"/>
                  <w:u w:val="single"/>
                </w:rPr>
                <w:t>https://www.fundainbusiness.nl/en/belegging/nieuwegein/object-80846890-archimedesbaan-11/</w:t>
              </w:r>
            </w:hyperlink>
          </w:p>
        </w:tc>
      </w:tr>
    </w:tbl>
    <w:p>
      <w:pPr>
        <w:spacing w:before="0" w:after="0"/>
      </w:pPr>
    </w:p>
    <w:tbl>
      <w:tblPr>
        <w:tblW w:type="auto" w:w="0"/>
        <w:tblBorders>
          <w:top w:val="single" w:sz="4" w:space="0" w:color="C9A961"/>
          <w:start w:val="single" w:sz="18" w:space="0" w:color="C9A961"/>
          <w:bottom w:val="single" w:sz="4" w:space="0" w:color="C9A961"/>
          <w:end w:val="single" w:sz="4" w:space="0" w:color="C9A961"/>
          <w:insideH w:val="none" w:sz="0" w:space="0" w:color="auto"/>
          <w:insideV w:val="none" w:sz="0" w:space="0" w:color="auto"/>
        </w:tblBorders>
        <w:tblLayout w:type="fixed"/>
        <w:tblLook w:firstColumn="1" w:firstRow="1" w:lastColumn="0" w:lastRow="0" w:noHBand="0" w:noVBand="1" w:val="04A0"/>
      </w:tblPr>
      <w:tblGrid>
        <w:gridCol w:w="9558"/>
      </w:tblGrid>
      <w:tr>
        <w:tc>
          <w:tcPr>
            <w:tcW w:type="dxa" w:w="9558"/>
            <w:shd w:val="clear" w:color="auto" w:fill="F5F1E8"/>
            <w:tcMar>
              <w:top w:w="160" w:type="dxa"/>
              <w:start w:w="240" w:type="dxa"/>
              <w:bottom w:w="160" w:type="dxa"/>
              <w:end w:w="240" w:type="dxa"/>
            </w:tcMar>
          </w:tcPr>
          <w:p>
            <w:pPr>
              <w:spacing w:after="140"/>
            </w:pPr>
            <w:r>
              <w:rPr>
                <w:rFonts w:ascii="Calibri" w:hAnsi="Calibri" w:cs="Calibri" w:eastAsia="Calibri"/>
                <w:b/>
                <w:i w:val="0"/>
                <w:color w:val="1A3A5C"/>
                <w:spacing w:val="24"/>
                <w:sz w:val="21"/>
              </w:rPr>
              <w:t>О ГОРОДЕ И РАЙОНЕ</w:t>
            </w:r>
          </w:p>
          <w:p>
            <w:pPr>
              <w:keepNext w:val="1"/>
              <w:spacing w:after="100"/>
            </w:pPr>
            <w:r>
              <w:rPr>
                <w:rFonts w:ascii="Calibri" w:hAnsi="Calibri" w:cs="Calibri" w:eastAsia="Calibri"/>
                <w:b/>
                <w:i w:val="0"/>
                <w:color w:val="C9A961"/>
                <w:sz w:val="20"/>
              </w:rPr>
              <w:t xml:space="preserve">▪  </w:t>
            </w:r>
            <w:r>
              <w:rPr>
                <w:rFonts w:ascii="Calibri" w:hAnsi="Calibri" w:cs="Calibri" w:eastAsia="Calibri"/>
                <w:b/>
                <w:i w:val="0"/>
                <w:color w:val="1A3A5C"/>
                <w:sz w:val="20"/>
              </w:rPr>
              <w:t>Nieuwegein — промышленный парк Plettenburg</w:t>
            </w:r>
          </w:p>
          <w:p>
            <w:pPr>
              <w:spacing w:before="0" w:after="120"/>
              <w:jc w:val="both"/>
            </w:pPr>
            <w:r>
              <w:rPr>
                <w:rFonts w:ascii="Calibri" w:hAnsi="Calibri" w:cs="Calibri" w:eastAsia="Calibri"/>
                <w:b w:val="0"/>
                <w:i w:val="0"/>
                <w:color w:val="2C2C2C"/>
                <w:sz w:val="20"/>
              </w:rPr>
              <w:t>Ньивегейн (Nieuwegein) — город в провинции Утрехт с населением около 68.300 человек (по данным Centraal Bureau voor de Statistiek, CBS StatLine, на 1 января 2026 года), примыкающий к Утрехту с юга и входящий в его агломерацию. Город связан с Утрехтом линией скоростного трамвая и расположен между каналом Амстердам — Рейн и рекой Лек, что обеспечивает ему выгодное положение на пересечении основных транспортных коридоров страны.</w:t>
            </w:r>
          </w:p>
          <w:p>
            <w:pPr>
              <w:spacing w:before="0" w:after="0"/>
              <w:jc w:val="both"/>
            </w:pPr>
            <w:r>
              <w:rPr>
                <w:rFonts w:ascii="Calibri" w:hAnsi="Calibri" w:cs="Calibri" w:eastAsia="Calibri"/>
                <w:b w:val="0"/>
                <w:i w:val="0"/>
                <w:color w:val="2C2C2C"/>
                <w:sz w:val="20"/>
              </w:rPr>
              <w:t>Объект расположен на промышленном парке Plettenburg — крупнейшей бизнес-зоне Ньивегейна (Plettenburg — De Wiers Zuid, около 1.140 предприятий и организаций). Территория отличается разнообразным составом: производственные, торговые, логистические компании и предприятия сферы услуг. Отсюда за несколько минут достижимы транспортные развязки Oudenrijn и Lunetten и федеральные трассы A2, A12, A27 и A28.</w:t>
            </w:r>
          </w:p>
        </w:tc>
      </w:tr>
    </w:tbl>
    <w:p>
      <w:pPr>
        <w:spacing w:before="0" w:after="0" w:line="240" w:lineRule="auto"/>
      </w:pPr>
      <w:r>
        <w:rPr>
          <w:rFonts w:ascii="Calibri" w:hAnsi="Calibri" w:cs="Calibri" w:eastAsia="Calibri"/>
          <w:b w:val="0"/>
          <w:i w:val="0"/>
          <w:color w:val="2C2C2C"/>
          <w:sz w:val="12"/>
        </w:rPr>
      </w:r>
    </w:p>
    <w:tbl>
      <w:tblPr>
        <w:tblW w:type="auto" w:w="0"/>
        <w:tblBorders>
          <w:top w:val="single" w:sz="4" w:space="0" w:color="DDE3EA"/>
          <w:start w:val="single" w:sz="18" w:space="0" w:color="C9A961"/>
          <w:bottom w:val="single" w:sz="4" w:space="0" w:color="DDE3EA"/>
          <w:end w:val="single" w:sz="4" w:space="0" w:color="DDE3EA"/>
          <w:insideH w:val="none" w:sz="0" w:space="0" w:color="auto"/>
          <w:insideV w:val="none" w:sz="0" w:space="0" w:color="auto"/>
        </w:tblBorders>
        <w:tblLayout w:type="fixed"/>
        <w:tblLook w:firstColumn="1" w:firstRow="1" w:lastColumn="0" w:lastRow="0" w:noHBand="0" w:noVBand="1" w:val="04A0"/>
      </w:tblPr>
      <w:tblGrid>
        <w:gridCol w:w="9558"/>
      </w:tblGrid>
      <w:tr>
        <w:tc>
          <w:tcPr>
            <w:tcW w:type="dxa" w:w="9558"/>
            <w:shd w:val="clear" w:color="auto" w:fill="FFFFFF"/>
            <w:tcMar>
              <w:top w:w="160" w:type="dxa"/>
              <w:start w:w="240" w:type="dxa"/>
              <w:bottom w:w="160" w:type="dxa"/>
              <w:end w:w="240" w:type="dxa"/>
            </w:tcMar>
          </w:tcPr>
          <w:p>
            <w:pPr>
              <w:spacing w:after="140"/>
            </w:pPr>
            <w:r>
              <w:rPr>
                <w:rFonts w:ascii="Calibri" w:hAnsi="Calibri" w:cs="Calibri" w:eastAsia="Calibri"/>
                <w:b/>
                <w:i w:val="0"/>
                <w:color w:val="1A3A5C"/>
                <w:spacing w:val="24"/>
                <w:sz w:val="21"/>
              </w:rPr>
              <w:t>ОПИСАНИЕ ОБЪЕКТА</w:t>
            </w:r>
          </w:p>
          <w:p>
            <w:pPr>
              <w:spacing w:before="0" w:after="120"/>
              <w:jc w:val="both"/>
            </w:pPr>
            <w:r>
              <w:rPr>
                <w:rFonts w:ascii="Calibri" w:hAnsi="Calibri" w:cs="Calibri" w:eastAsia="Calibri"/>
                <w:b w:val="0"/>
                <w:i w:val="0"/>
                <w:color w:val="2C2C2C"/>
                <w:sz w:val="20"/>
              </w:rPr>
              <w:t>Инвестиционный лот на промышленном парке Plettenburg: производственно-офисное здание 1989 года постройки, разделённое на две самостоятельные части с собственными входами. Нижний уровень (Archimedesbaan 11) занимает шинный сервис Euromaster, верхний (Archimedesbaan 7‑9) — офисные помещения, которые используют Королевский нидерландский бильярдный союз (KNBB) и Нидерландская федерация дартса. Формально объект сдан целиком, заполняемость 100 %.</w:t>
            </w:r>
          </w:p>
          <w:p>
            <w:pPr>
              <w:spacing w:before="0" w:after="120"/>
              <w:jc w:val="both"/>
            </w:pPr>
            <w:r>
              <w:rPr>
                <w:rFonts w:ascii="Calibri" w:hAnsi="Calibri" w:cs="Calibri" w:eastAsia="Calibri"/>
                <w:b w:val="0"/>
                <w:i w:val="0"/>
                <w:color w:val="2C2C2C"/>
                <w:sz w:val="20"/>
              </w:rPr>
              <w:t>Устойчивость этого дохода неоднородна, и в этом главная особенность лота. Договор с шинным сервисом действует до 2028 года, а договор по офисной части арендатором уже расторгнут. Средневзвешенный срок аренды ≈ 2,0 года рассчитан по двум действующим договорам — до 01‑07‑2028 и до 01‑09‑2028, — но из-за расторжения фактический горизонт по офисной части короче расчётного. Лот адресован покупателю, готовому заниматься пересдачей офисного этажа в аренду, а не рассчитывающему на пассивный купонный доход.</w:t>
            </w:r>
          </w:p>
          <w:p>
            <w:pPr>
              <w:spacing w:before="0" w:after="0"/>
              <w:jc w:val="both"/>
            </w:pPr>
            <w:r>
              <w:rPr>
                <w:rFonts w:ascii="Calibri" w:hAnsi="Calibri" w:cs="Calibri" w:eastAsia="Calibri"/>
                <w:b w:val="0"/>
                <w:i w:val="0"/>
                <w:color w:val="2C2C2C"/>
                <w:sz w:val="20"/>
              </w:rPr>
              <w:t>Передача — по согласованию с продавцом, в состоянии «как есть» (as is, where is): со всеми связанными правами и обязанностями и со всеми видимыми и скрытыми недостатками, без гарантий продавца в отношении технического, конструктивного, юридического, налогового, экологического, арендного и коммерческого состояния. Технические параметры здания в листинге почти не раскрыты, поэтому объём проверок до сделки здесь больше обычного.</w:t>
            </w:r>
          </w:p>
        </w:tc>
      </w:tr>
    </w:tbl>
    <w:p>
      <w:pPr>
        <w:spacing w:before="0" w:after="0" w:line="240" w:lineRule="auto"/>
      </w:pPr>
      <w:r>
        <w:rPr>
          <w:rFonts w:ascii="Calibri" w:hAnsi="Calibri" w:cs="Calibri" w:eastAsia="Calibri"/>
          <w:b w:val="0"/>
          <w:i w:val="0"/>
          <w:color w:val="2C2C2C"/>
          <w:sz w:val="12"/>
        </w:rPr>
      </w:r>
    </w:p>
    <w:tbl>
      <w:tblPr>
        <w:tblW w:type="auto" w:w="0"/>
        <w:tblBorders>
          <w:top w:val="single" w:sz="4" w:space="0" w:color="DDE3EA"/>
          <w:start w:val="single" w:sz="18" w:space="0" w:color="C9A961"/>
          <w:bottom w:val="single" w:sz="4" w:space="0" w:color="DDE3EA"/>
          <w:end w:val="single" w:sz="4" w:space="0" w:color="DDE3EA"/>
          <w:insideH w:val="none" w:sz="0" w:space="0" w:color="auto"/>
          <w:insideV w:val="none" w:sz="0" w:space="0" w:color="auto"/>
        </w:tblBorders>
        <w:tblLayout w:type="fixed"/>
        <w:tblLook w:firstColumn="1" w:firstRow="1" w:lastColumn="0" w:lastRow="0" w:noHBand="0" w:noVBand="1" w:val="04A0"/>
      </w:tblPr>
      <w:tblGrid>
        <w:gridCol w:w="9558"/>
      </w:tblGrid>
      <w:tr>
        <w:tc>
          <w:tcPr>
            <w:tcW w:type="dxa" w:w="9558"/>
            <w:shd w:val="clear" w:color="auto" w:fill="FFFFFF"/>
            <w:tcMar>
              <w:top w:w="160" w:type="dxa"/>
              <w:start w:w="240" w:type="dxa"/>
              <w:bottom w:w="160" w:type="dxa"/>
              <w:end w:w="240" w:type="dxa"/>
            </w:tcMar>
          </w:tcPr>
          <w:p>
            <w:pPr>
              <w:spacing w:after="140"/>
            </w:pPr>
            <w:r>
              <w:rPr>
                <w:rFonts w:ascii="Calibri" w:hAnsi="Calibri" w:cs="Calibri" w:eastAsia="Calibri"/>
                <w:b/>
                <w:i w:val="0"/>
                <w:color w:val="1A3A5C"/>
                <w:spacing w:val="24"/>
                <w:sz w:val="21"/>
              </w:rPr>
              <w:t>ПЛАНИРОВКА</w:t>
            </w:r>
          </w:p>
          <w:p>
            <w:pPr>
              <w:keepNext w:val="1"/>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val="0"/>
                <w:i w:val="0"/>
                <w:color w:val="2C2C2C"/>
                <w:sz w:val="20"/>
              </w:rPr>
              <w:t>Archimedesbaan 11, первый этаж: ≈ 1.375 м² производственно-сервисного помещения</w:t>
            </w:r>
          </w:p>
          <w:p>
            <w:pPr>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val="0"/>
                <w:i w:val="0"/>
                <w:color w:val="2C2C2C"/>
                <w:sz w:val="20"/>
              </w:rPr>
              <w:t>Archimedesbaan 7‑9, первый этаж: ≈ 11 м² — отдельный вход и лестничная группа</w:t>
            </w:r>
          </w:p>
          <w:p>
            <w:pPr>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val="0"/>
                <w:i w:val="0"/>
                <w:color w:val="2C2C2C"/>
                <w:sz w:val="20"/>
              </w:rPr>
              <w:t>Archimedesbaan 7‑9, второй этаж: ≈ 490 м² офисных помещений</w:t>
            </w:r>
          </w:p>
          <w:p>
            <w:pPr>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val="0"/>
                <w:i w:val="0"/>
                <w:color w:val="2C2C2C"/>
                <w:sz w:val="20"/>
              </w:rPr>
              <w:t>Обе части объекта имеют собственные входы и эксплуатируются независимо друг от друга</w:t>
            </w:r>
          </w:p>
          <w:p>
            <w:pPr>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val="0"/>
                <w:i w:val="0"/>
                <w:color w:val="2C2C2C"/>
                <w:sz w:val="20"/>
              </w:rPr>
              <w:t>Разбивка арендуемых площадей по договорам аренды в листинге не приведена</w:t>
            </w:r>
          </w:p>
        </w:tc>
      </w:tr>
    </w:tbl>
    <w:p>
      <w:pPr>
        <w:spacing w:before="0" w:after="0" w:line="240" w:lineRule="auto"/>
      </w:pPr>
      <w:r>
        <w:rPr>
          <w:rFonts w:ascii="Calibri" w:hAnsi="Calibri" w:cs="Calibri" w:eastAsia="Calibri"/>
          <w:b w:val="0"/>
          <w:i w:val="0"/>
          <w:color w:val="2C2C2C"/>
          <w:sz w:val="12"/>
        </w:rPr>
      </w:r>
    </w:p>
    <w:tbl>
      <w:tblPr>
        <w:tblW w:type="auto" w:w="0"/>
        <w:tblBorders>
          <w:top w:val="single" w:sz="4" w:space="0" w:color="DDE3EA"/>
          <w:start w:val="single" w:sz="18" w:space="0" w:color="C9A961"/>
          <w:bottom w:val="single" w:sz="4" w:space="0" w:color="DDE3EA"/>
          <w:end w:val="single" w:sz="4" w:space="0" w:color="DDE3EA"/>
          <w:insideH w:val="none" w:sz="0" w:space="0" w:color="auto"/>
          <w:insideV w:val="none" w:sz="0" w:space="0" w:color="auto"/>
        </w:tblBorders>
        <w:tblLayout w:type="fixed"/>
        <w:tblLook w:firstColumn="1" w:firstRow="1" w:lastColumn="0" w:lastRow="0" w:noHBand="0" w:noVBand="1" w:val="04A0"/>
      </w:tblPr>
      <w:tblGrid>
        <w:gridCol w:w="9558"/>
      </w:tblGrid>
      <w:tr>
        <w:tc>
          <w:tcPr>
            <w:tcW w:type="dxa" w:w="9558"/>
            <w:shd w:val="clear" w:color="auto" w:fill="FFFFFF"/>
            <w:tcMar>
              <w:top w:w="160" w:type="dxa"/>
              <w:start w:w="240" w:type="dxa"/>
              <w:bottom w:w="160" w:type="dxa"/>
              <w:end w:w="240" w:type="dxa"/>
            </w:tcMar>
          </w:tcPr>
          <w:p>
            <w:pPr>
              <w:spacing w:after="140"/>
            </w:pPr>
            <w:r>
              <w:rPr>
                <w:rFonts w:ascii="Calibri" w:hAnsi="Calibri" w:cs="Calibri" w:eastAsia="Calibri"/>
                <w:b/>
                <w:i w:val="0"/>
                <w:color w:val="1A3A5C"/>
                <w:spacing w:val="24"/>
                <w:sz w:val="21"/>
              </w:rPr>
              <w:t>ТЕХНИЧЕСКИЕ ХАРАКТЕРИСТИКИ</w:t>
            </w:r>
          </w:p>
          <w:p>
            <w:pPr>
              <w:keepNext w:val="1"/>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i w:val="0"/>
                <w:color w:val="1A3A5C"/>
                <w:sz w:val="20"/>
              </w:rPr>
              <w:t>Конструктив и состояние</w:t>
            </w:r>
            <w:r>
              <w:rPr>
                <w:rFonts w:ascii="Calibri" w:hAnsi="Calibri" w:cs="Calibri" w:eastAsia="Calibri"/>
                <w:b w:val="0"/>
                <w:i w:val="0"/>
                <w:color w:val="2C2C2C"/>
                <w:sz w:val="20"/>
              </w:rPr>
              <w:t xml:space="preserve"> — </w:t>
            </w:r>
            <w:r>
              <w:rPr>
                <w:rFonts w:ascii="Calibri" w:hAnsi="Calibri" w:cs="Calibri" w:eastAsia="Calibri"/>
                <w:b w:val="0"/>
                <w:i w:val="0"/>
                <w:color w:val="2C2C2C"/>
                <w:sz w:val="20"/>
              </w:rPr>
              <w:t>здание 1989 года постройки; материалы несущих конструкций, фасада и кровли, а также сведения о выполненных капитальных ремонтах в листинге не раскрыты — состояние и объём отложенного обслуживания оцениваются техническим обследованием (bouwkundige keuring) с планом обслуживания на 10–15 лет (MJOP)</w:t>
            </w:r>
          </w:p>
          <w:p>
            <w:pPr>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i w:val="0"/>
                <w:color w:val="1A3A5C"/>
                <w:sz w:val="20"/>
              </w:rPr>
              <w:t>Свободная высота</w:t>
            </w:r>
            <w:r>
              <w:rPr>
                <w:rFonts w:ascii="Calibri" w:hAnsi="Calibri" w:cs="Calibri" w:eastAsia="Calibri"/>
                <w:b w:val="0"/>
                <w:i w:val="0"/>
                <w:color w:val="2C2C2C"/>
                <w:sz w:val="20"/>
              </w:rPr>
              <w:t xml:space="preserve"> — </w:t>
            </w:r>
            <w:r>
              <w:rPr>
                <w:rFonts w:ascii="Calibri" w:hAnsi="Calibri" w:cs="Calibri" w:eastAsia="Calibri"/>
                <w:b w:val="0"/>
                <w:i w:val="0"/>
                <w:color w:val="2C2C2C"/>
                <w:sz w:val="20"/>
              </w:rPr>
              <w:t>в листинге не указана — замеряется при осмотре; от неё зависит пригодность производственной части для складских и сервисных пользователей</w:t>
            </w:r>
          </w:p>
          <w:p>
            <w:pPr>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i w:val="0"/>
                <w:color w:val="1A3A5C"/>
                <w:sz w:val="20"/>
              </w:rPr>
              <w:t>Несущая способность пола</w:t>
            </w:r>
            <w:r>
              <w:rPr>
                <w:rFonts w:ascii="Calibri" w:hAnsi="Calibri" w:cs="Calibri" w:eastAsia="Calibri"/>
                <w:b w:val="0"/>
                <w:i w:val="0"/>
                <w:color w:val="2C2C2C"/>
                <w:sz w:val="20"/>
              </w:rPr>
              <w:t xml:space="preserve"> — </w:t>
            </w:r>
            <w:r>
              <w:rPr>
                <w:rFonts w:ascii="Calibri" w:hAnsi="Calibri" w:cs="Calibri" w:eastAsia="Calibri"/>
                <w:b w:val="0"/>
                <w:i w:val="0"/>
                <w:color w:val="2C2C2C"/>
                <w:sz w:val="20"/>
              </w:rPr>
              <w:t>в листинге не указана — подтверждается конструктивным расчётом; по фотоматериалам листинга в производственной части смонтированы автомобильные подъёмники, их основания и крепления проверяются отдельно</w:t>
            </w:r>
          </w:p>
          <w:p>
            <w:pPr>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i w:val="0"/>
                <w:color w:val="1A3A5C"/>
                <w:sz w:val="20"/>
              </w:rPr>
              <w:t>Инженерные системы</w:t>
            </w:r>
            <w:r>
              <w:rPr>
                <w:rFonts w:ascii="Calibri" w:hAnsi="Calibri" w:cs="Calibri" w:eastAsia="Calibri"/>
                <w:b w:val="0"/>
                <w:i w:val="0"/>
                <w:color w:val="2C2C2C"/>
                <w:sz w:val="20"/>
              </w:rPr>
              <w:t xml:space="preserve"> — </w:t>
            </w:r>
            <w:r>
              <w:rPr>
                <w:rFonts w:ascii="Calibri" w:hAnsi="Calibri" w:cs="Calibri" w:eastAsia="Calibri"/>
                <w:b w:val="0"/>
                <w:i w:val="0"/>
                <w:color w:val="2C2C2C"/>
                <w:sz w:val="20"/>
              </w:rPr>
              <w:t>состав отопления, вентиляции, электроснабжения и систем пожарной безопасности в листинге не раскрыт — уточняется при осмотре и по исполнительной документации; принадлежность оборудования шинного сервиса (подъёмники, компрессорная, мойка) арендатору или собственнику подтверждается перечнем к договору</w:t>
            </w:r>
          </w:p>
          <w:p>
            <w:pPr>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i w:val="0"/>
                <w:color w:val="1A3A5C"/>
                <w:sz w:val="20"/>
              </w:rPr>
              <w:t>Разделение блоков</w:t>
            </w:r>
            <w:r>
              <w:rPr>
                <w:rFonts w:ascii="Calibri" w:hAnsi="Calibri" w:cs="Calibri" w:eastAsia="Calibri"/>
                <w:b w:val="0"/>
                <w:i w:val="0"/>
                <w:color w:val="2C2C2C"/>
                <w:sz w:val="20"/>
              </w:rPr>
              <w:t xml:space="preserve"> — </w:t>
            </w:r>
            <w:r>
              <w:rPr>
                <w:rFonts w:ascii="Calibri" w:hAnsi="Calibri" w:cs="Calibri" w:eastAsia="Calibri"/>
                <w:b w:val="0"/>
                <w:i w:val="0"/>
                <w:color w:val="2C2C2C"/>
                <w:sz w:val="20"/>
              </w:rPr>
              <w:t>части 11 и 7‑9 имеют самостоятельные входы, но наличие раздельных приборов учёта электроэнергии, газа и воды в листинге не подтверждено — проверяется при осмотре и влияет на стоимость пересдачи офисного этажа в аренду</w:t>
            </w:r>
          </w:p>
          <w:p>
            <w:pPr>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i w:val="0"/>
                <w:color w:val="1A3A5C"/>
                <w:sz w:val="20"/>
              </w:rPr>
              <w:t>Энергетический сертификат</w:t>
            </w:r>
            <w:r>
              <w:rPr>
                <w:rFonts w:ascii="Calibri" w:hAnsi="Calibri" w:cs="Calibri" w:eastAsia="Calibri"/>
                <w:b w:val="0"/>
                <w:i w:val="0"/>
                <w:color w:val="2C2C2C"/>
                <w:sz w:val="20"/>
              </w:rPr>
              <w:t xml:space="preserve"> — </w:t>
            </w:r>
            <w:r>
              <w:rPr>
                <w:rFonts w:ascii="Calibri" w:hAnsi="Calibri" w:cs="Calibri" w:eastAsia="Calibri"/>
                <w:b w:val="0"/>
                <w:i w:val="0"/>
                <w:color w:val="2C2C2C"/>
                <w:sz w:val="20"/>
              </w:rPr>
              <w:t>класс D; дата выдачи и срок действия в листинге не указаны — запрашивается сертификат с регистрацией в реестре EP-online по кадастровому объекту</w:t>
            </w:r>
          </w:p>
        </w:tc>
      </w:tr>
    </w:tbl>
    <w:p>
      <w:pPr>
        <w:spacing w:before="0" w:after="0" w:line="240" w:lineRule="auto"/>
      </w:pPr>
      <w:r>
        <w:rPr>
          <w:rFonts w:ascii="Calibri" w:hAnsi="Calibri" w:cs="Calibri" w:eastAsia="Calibri"/>
          <w:b w:val="0"/>
          <w:i w:val="0"/>
          <w:color w:val="2C2C2C"/>
          <w:sz w:val="12"/>
        </w:rPr>
      </w:r>
    </w:p>
    <w:tbl>
      <w:tblPr>
        <w:tblW w:type="auto" w:w="0"/>
        <w:tblBorders>
          <w:top w:val="single" w:sz="4" w:space="0" w:color="DDE3EA"/>
          <w:start w:val="single" w:sz="18" w:space="0" w:color="C9A961"/>
          <w:bottom w:val="single" w:sz="4" w:space="0" w:color="DDE3EA"/>
          <w:end w:val="single" w:sz="4" w:space="0" w:color="DDE3EA"/>
          <w:insideH w:val="none" w:sz="0" w:space="0" w:color="auto"/>
          <w:insideV w:val="none" w:sz="0" w:space="0" w:color="auto"/>
        </w:tblBorders>
        <w:tblLayout w:type="fixed"/>
        <w:tblLook w:firstColumn="1" w:firstRow="1" w:lastColumn="0" w:lastRow="0" w:noHBand="0" w:noVBand="1" w:val="04A0"/>
      </w:tblPr>
      <w:tblGrid>
        <w:gridCol w:w="9558"/>
      </w:tblGrid>
      <w:tr>
        <w:tc>
          <w:tcPr>
            <w:tcW w:type="dxa" w:w="9558"/>
            <w:shd w:val="clear" w:color="auto" w:fill="FFFFFF"/>
            <w:tcMar>
              <w:top w:w="160" w:type="dxa"/>
              <w:start w:w="240" w:type="dxa"/>
              <w:bottom w:w="160" w:type="dxa"/>
              <w:end w:w="240" w:type="dxa"/>
            </w:tcMar>
          </w:tcPr>
          <w:p>
            <w:pPr>
              <w:spacing w:after="140"/>
            </w:pPr>
            <w:r>
              <w:rPr>
                <w:rFonts w:ascii="Calibri" w:hAnsi="Calibri" w:cs="Calibri" w:eastAsia="Calibri"/>
                <w:b/>
                <w:i w:val="0"/>
                <w:color w:val="1A3A5C"/>
                <w:spacing w:val="24"/>
                <w:sz w:val="21"/>
              </w:rPr>
              <w:t>АРЕНДА И АРЕНДАТОРЫ</w:t>
            </w:r>
          </w:p>
          <w:p>
            <w:pPr>
              <w:keepNext w:val="1"/>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val="0"/>
                <w:i w:val="0"/>
                <w:color w:val="2C2C2C"/>
                <w:sz w:val="20"/>
              </w:rPr>
              <w:t>Archimedesbaan 11, производственная часть — Euromaster Bandenservice B.V. (шинный сервис): арендная плата € 77.498,16 в год без НДС; эксплуатационные расходы € 1.025,00 в квартал без НДС; договор действует до 01‑07‑2028</w:t>
            </w:r>
          </w:p>
          <w:p>
            <w:pPr>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val="0"/>
                <w:i w:val="0"/>
                <w:color w:val="2C2C2C"/>
                <w:sz w:val="20"/>
              </w:rPr>
              <w:t>Archimedesbaan 7‑9, офисная часть — Koninklijke Nederlandse Biljartbond (KNBB) и Nederlandse Darts Bond: арендная плата € 33.654,60 в год без компенсации НДС; авансовые эксплуатационные расходы € 732,94 в квартал без НДС; текущий период действует до 01‑09‑2028</w:t>
            </w:r>
          </w:p>
          <w:p>
            <w:pPr>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val="0"/>
                <w:i w:val="0"/>
                <w:color w:val="2C2C2C"/>
                <w:sz w:val="20"/>
              </w:rPr>
              <w:t>Договор аренды по Archimedesbaan 7‑9 расторгнут арендатором (huurovereenkomst opgezegd); дата фактического освобождения помещений в листинге не указана</w:t>
            </w:r>
          </w:p>
          <w:p>
            <w:pPr>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val="0"/>
                <w:i w:val="0"/>
                <w:color w:val="2C2C2C"/>
                <w:sz w:val="20"/>
              </w:rPr>
              <w:t>На офисную часть приходится ≈ 30 % совокупной арендной платы</w:t>
            </w:r>
          </w:p>
          <w:p>
            <w:pPr>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val="0"/>
                <w:i w:val="0"/>
                <w:color w:val="2C2C2C"/>
                <w:sz w:val="20"/>
              </w:rPr>
              <w:t>WALT ≈ 2,0 года по состоянию на июль 2026 года — средневзвешенный по арендной плате расчёт по двум договорам (до 01‑07‑2028 и до 01‑09‑2028); из-за расторжения договора по офисной части фактический горизонт по ней короче расчётного</w:t>
            </w:r>
          </w:p>
          <w:p>
            <w:pPr>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val="0"/>
                <w:i w:val="0"/>
                <w:color w:val="2C2C2C"/>
                <w:sz w:val="20"/>
              </w:rPr>
              <w:t>Рыночная арендная стоимость в листинге не указана — доходность считается от договорной аренды</w:t>
            </w:r>
          </w:p>
          <w:p>
            <w:pPr>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val="0"/>
                <w:i w:val="0"/>
                <w:color w:val="2C2C2C"/>
                <w:sz w:val="20"/>
              </w:rPr>
              <w:t>Условия индексации, обеспечительных платежей, банковских гарантий и сроков уведомления в листинге не раскрыты — предоставляются по запросу</w:t>
            </w:r>
          </w:p>
        </w:tc>
      </w:tr>
    </w:tbl>
    <w:p>
      <w:pPr>
        <w:spacing w:before="0" w:after="0" w:line="240" w:lineRule="auto"/>
      </w:pPr>
      <w:r>
        <w:rPr>
          <w:rFonts w:ascii="Calibri" w:hAnsi="Calibri" w:cs="Calibri" w:eastAsia="Calibri"/>
          <w:b w:val="0"/>
          <w:i w:val="0"/>
          <w:color w:val="2C2C2C"/>
          <w:sz w:val="12"/>
        </w:rPr>
      </w:r>
    </w:p>
    <w:tbl>
      <w:tblPr>
        <w:tblW w:type="auto" w:w="0"/>
        <w:tblBorders>
          <w:top w:val="single" w:sz="4" w:space="0" w:color="DDE3EA"/>
          <w:start w:val="single" w:sz="18" w:space="0" w:color="C9A961"/>
          <w:bottom w:val="single" w:sz="4" w:space="0" w:color="DDE3EA"/>
          <w:end w:val="single" w:sz="4" w:space="0" w:color="DDE3EA"/>
          <w:insideH w:val="none" w:sz="0" w:space="0" w:color="auto"/>
          <w:insideV w:val="none" w:sz="0" w:space="0" w:color="auto"/>
        </w:tblBorders>
        <w:tblLayout w:type="fixed"/>
        <w:tblLook w:firstColumn="1" w:firstRow="1" w:lastColumn="0" w:lastRow="0" w:noHBand="0" w:noVBand="1" w:val="04A0"/>
      </w:tblPr>
      <w:tblGrid>
        <w:gridCol w:w="9558"/>
      </w:tblGrid>
      <w:tr>
        <w:tc>
          <w:tcPr>
            <w:tcW w:type="dxa" w:w="9558"/>
            <w:shd w:val="clear" w:color="auto" w:fill="FFFFFF"/>
            <w:tcMar>
              <w:top w:w="160" w:type="dxa"/>
              <w:start w:w="240" w:type="dxa"/>
              <w:bottom w:w="160" w:type="dxa"/>
              <w:end w:w="240" w:type="dxa"/>
            </w:tcMar>
          </w:tcPr>
          <w:p>
            <w:pPr>
              <w:spacing w:after="140"/>
            </w:pPr>
            <w:r>
              <w:rPr>
                <w:rFonts w:ascii="Calibri" w:hAnsi="Calibri" w:cs="Calibri" w:eastAsia="Calibri"/>
                <w:b/>
                <w:i w:val="0"/>
                <w:color w:val="1A3A5C"/>
                <w:spacing w:val="24"/>
                <w:sz w:val="21"/>
              </w:rPr>
              <w:t>УЧАСТОК, КАДАСТР И НАЗНАЧЕНИЕ</w:t>
            </w:r>
          </w:p>
          <w:p>
            <w:pPr>
              <w:keepNext w:val="1"/>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val="0"/>
                <w:i w:val="0"/>
                <w:color w:val="2C2C2C"/>
                <w:sz w:val="20"/>
              </w:rPr>
              <w:t>Площадь участка: 2.276 м², собственная земля</w:t>
            </w:r>
          </w:p>
          <w:p>
            <w:pPr>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val="0"/>
                <w:i w:val="0"/>
                <w:color w:val="2C2C2C"/>
                <w:sz w:val="20"/>
              </w:rPr>
              <w:t>Кадастровые данные: муниципалитет Jutphaas, секция D, номер 2158, площадь 2.276 м²</w:t>
            </w:r>
          </w:p>
          <w:p>
            <w:pPr>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val="0"/>
                <w:i w:val="0"/>
                <w:color w:val="2C2C2C"/>
                <w:sz w:val="20"/>
              </w:rPr>
              <w:t>Назначение (bestemming): в листинге не указано — категория использования и допустимая доля офисной функции проверяются по плану окружающей среды (omgevingsplan) муниципалитета Nieuwegein</w:t>
            </w:r>
          </w:p>
          <w:p>
            <w:pPr>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val="0"/>
                <w:i w:val="0"/>
                <w:color w:val="2C2C2C"/>
                <w:sz w:val="20"/>
              </w:rPr>
              <w:t>Парковка на собственной территории перед зданием; число мест в листинге не указано</w:t>
            </w:r>
          </w:p>
          <w:p>
            <w:pPr>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val="0"/>
                <w:i w:val="0"/>
                <w:color w:val="2C2C2C"/>
                <w:sz w:val="20"/>
              </w:rPr>
              <w:t>Единство участка для частей 11 и 7‑9, сервитуты и публично-правовые ограничения подтверждаются кадастровой выпиской</w:t>
            </w:r>
          </w:p>
        </w:tc>
      </w:tr>
    </w:tbl>
    <w:p>
      <w:pPr>
        <w:spacing w:before="0" w:after="0" w:line="240" w:lineRule="auto"/>
      </w:pPr>
      <w:r>
        <w:rPr>
          <w:rFonts w:ascii="Calibri" w:hAnsi="Calibri" w:cs="Calibri" w:eastAsia="Calibri"/>
          <w:b w:val="0"/>
          <w:i w:val="0"/>
          <w:color w:val="2C2C2C"/>
          <w:sz w:val="12"/>
        </w:rPr>
      </w:r>
    </w:p>
    <w:tbl>
      <w:tblPr>
        <w:tblW w:type="auto" w:w="0"/>
        <w:tblBorders>
          <w:top w:val="single" w:sz="4" w:space="0" w:color="DDE3EA"/>
          <w:start w:val="single" w:sz="18" w:space="0" w:color="C9A961"/>
          <w:bottom w:val="single" w:sz="4" w:space="0" w:color="DDE3EA"/>
          <w:end w:val="single" w:sz="4" w:space="0" w:color="DDE3EA"/>
          <w:insideH w:val="none" w:sz="0" w:space="0" w:color="auto"/>
          <w:insideV w:val="none" w:sz="0" w:space="0" w:color="auto"/>
        </w:tblBorders>
        <w:tblLayout w:type="fixed"/>
        <w:tblLook w:firstColumn="1" w:firstRow="1" w:lastColumn="0" w:lastRow="0" w:noHBand="0" w:noVBand="1" w:val="04A0"/>
      </w:tblPr>
      <w:tblGrid>
        <w:gridCol w:w="9558"/>
      </w:tblGrid>
      <w:tr>
        <w:tc>
          <w:tcPr>
            <w:tcW w:type="dxa" w:w="9558"/>
            <w:shd w:val="clear" w:color="auto" w:fill="FFFFFF"/>
            <w:tcMar>
              <w:top w:w="160" w:type="dxa"/>
              <w:start w:w="240" w:type="dxa"/>
              <w:bottom w:w="160" w:type="dxa"/>
              <w:end w:w="240" w:type="dxa"/>
            </w:tcMar>
          </w:tcPr>
          <w:p>
            <w:pPr>
              <w:spacing w:after="140"/>
            </w:pPr>
            <w:r>
              <w:rPr>
                <w:rFonts w:ascii="Calibri" w:hAnsi="Calibri" w:cs="Calibri" w:eastAsia="Calibri"/>
                <w:b/>
                <w:i w:val="0"/>
                <w:color w:val="1A3A5C"/>
                <w:spacing w:val="24"/>
                <w:sz w:val="21"/>
              </w:rPr>
              <w:t>РАСПОЛОЖЕНИЕ И ДОСТУПНОСТЬ</w:t>
            </w:r>
          </w:p>
          <w:p>
            <w:pPr>
              <w:keepNext w:val="1"/>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val="0"/>
                <w:i w:val="0"/>
                <w:color w:val="2C2C2C"/>
                <w:sz w:val="20"/>
              </w:rPr>
              <w:t>Промышленный парк Plettenburg — крупнейшая бизнес-зона Ньивегейна</w:t>
            </w:r>
          </w:p>
          <w:p>
            <w:pPr>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val="0"/>
                <w:i w:val="0"/>
                <w:color w:val="2C2C2C"/>
                <w:sz w:val="20"/>
              </w:rPr>
              <w:t>Смешанный состав: производство, торговля, логистика и сфера услуг</w:t>
            </w:r>
          </w:p>
          <w:p>
            <w:pPr>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val="0"/>
                <w:i w:val="0"/>
                <w:color w:val="2C2C2C"/>
                <w:sz w:val="20"/>
              </w:rPr>
              <w:t>Транспортные развязки Oudenrijn и Lunetten — в непосредственной близости</w:t>
            </w:r>
          </w:p>
          <w:p>
            <w:pPr>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val="0"/>
                <w:i w:val="0"/>
                <w:color w:val="2C2C2C"/>
                <w:sz w:val="20"/>
              </w:rPr>
              <w:t>Федеральные трассы A2, A12, A27 и A28 достижимы за несколько минут на автомобиле</w:t>
            </w:r>
          </w:p>
          <w:p>
            <w:pPr>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val="0"/>
                <w:i w:val="0"/>
                <w:color w:val="2C2C2C"/>
                <w:sz w:val="20"/>
              </w:rPr>
              <w:t>Автобусные остановки «Fahrenheitbaan» и «Martinbaan» — в нескольких минутах пешком</w:t>
            </w:r>
          </w:p>
          <w:p>
            <w:pPr>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val="0"/>
                <w:i w:val="0"/>
                <w:color w:val="2C2C2C"/>
                <w:sz w:val="20"/>
              </w:rPr>
              <w:t>Утрехт и его центральный вокзал — в непосредственной близости от парка</w:t>
            </w:r>
          </w:p>
        </w:tc>
      </w:tr>
    </w:tbl>
    <w:p>
      <w:pPr>
        <w:spacing w:before="0" w:after="0" w:line="240" w:lineRule="auto"/>
      </w:pPr>
      <w:r>
        <w:rPr>
          <w:rFonts w:ascii="Calibri" w:hAnsi="Calibri" w:cs="Calibri" w:eastAsia="Calibri"/>
          <w:b w:val="0"/>
          <w:i w:val="0"/>
          <w:color w:val="2C2C2C"/>
          <w:sz w:val="12"/>
        </w:rPr>
      </w:r>
    </w:p>
    <w:tbl>
      <w:tblPr>
        <w:tblW w:type="auto" w:w="0"/>
        <w:tblBorders>
          <w:top w:val="single" w:sz="4" w:space="0" w:color="DDE3EA"/>
          <w:start w:val="single" w:sz="18" w:space="0" w:color="C9A961"/>
          <w:bottom w:val="single" w:sz="4" w:space="0" w:color="DDE3EA"/>
          <w:end w:val="single" w:sz="4" w:space="0" w:color="DDE3EA"/>
          <w:insideH w:val="none" w:sz="0" w:space="0" w:color="auto"/>
          <w:insideV w:val="none" w:sz="0" w:space="0" w:color="auto"/>
        </w:tblBorders>
        <w:tblLayout w:type="fixed"/>
        <w:tblLook w:firstColumn="1" w:firstRow="1" w:lastColumn="0" w:lastRow="0" w:noHBand="0" w:noVBand="1" w:val="04A0"/>
      </w:tblPr>
      <w:tblGrid>
        <w:gridCol w:w="9558"/>
      </w:tblGrid>
      <w:tr>
        <w:tc>
          <w:tcPr>
            <w:tcW w:type="dxa" w:w="9558"/>
            <w:shd w:val="clear" w:color="auto" w:fill="FFFFFF"/>
            <w:tcMar>
              <w:top w:w="160" w:type="dxa"/>
              <w:start w:w="240" w:type="dxa"/>
              <w:bottom w:w="160" w:type="dxa"/>
              <w:end w:w="240" w:type="dxa"/>
            </w:tcMar>
          </w:tcPr>
          <w:p>
            <w:pPr>
              <w:spacing w:after="140"/>
            </w:pPr>
            <w:r>
              <w:rPr>
                <w:rFonts w:ascii="Calibri" w:hAnsi="Calibri" w:cs="Calibri" w:eastAsia="Calibri"/>
                <w:b/>
                <w:i w:val="0"/>
                <w:color w:val="1A3A5C"/>
                <w:spacing w:val="24"/>
                <w:sz w:val="21"/>
              </w:rPr>
              <w:t>ОСОБЕННОСТИ И СТАТУС</w:t>
            </w:r>
          </w:p>
          <w:p>
            <w:pPr>
              <w:keepNext w:val="1"/>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val="0"/>
                <w:i w:val="0"/>
                <w:color w:val="2C2C2C"/>
                <w:sz w:val="20"/>
              </w:rPr>
              <w:t>Объект сдан целиком, два арендатора; производственная часть и офисный этаж эксплуатируются независимо</w:t>
            </w:r>
          </w:p>
          <w:p>
            <w:pPr>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val="0"/>
                <w:i w:val="0"/>
                <w:color w:val="2C2C2C"/>
                <w:sz w:val="20"/>
              </w:rPr>
              <w:t>Договор по офисной части (Archimedesbaan 7‑9) расторгнут арендатором — этаж можно пересдать в аренду по актуальным ставкам либо занять самостоятельно</w:t>
            </w:r>
          </w:p>
          <w:p>
            <w:pPr>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val="0"/>
                <w:i w:val="0"/>
                <w:color w:val="2C2C2C"/>
                <w:sz w:val="20"/>
              </w:rPr>
              <w:t>Собственная земля, отдельный кадастровый объект Jutphaas D 2158</w:t>
            </w:r>
          </w:p>
          <w:p>
            <w:pPr>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val="0"/>
                <w:i w:val="0"/>
                <w:color w:val="2C2C2C"/>
                <w:sz w:val="20"/>
              </w:rPr>
              <w:t>Передача: по согласованию с продавцом, в состоянии «как есть» (as is, where is), без гарантий продавца</w:t>
            </w:r>
          </w:p>
          <w:p>
            <w:pPr>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val="0"/>
                <w:i w:val="0"/>
                <w:color w:val="2C2C2C"/>
                <w:sz w:val="20"/>
              </w:rPr>
              <w:t>Брокер: ActiVast Bedrijfshuisvesting, тел. 0318‑751188</w:t>
            </w:r>
          </w:p>
        </w:tc>
      </w:tr>
    </w:tbl>
    <w:p>
      <w:pPr>
        <w:spacing w:before="0" w:after="0" w:line="240" w:lineRule="auto"/>
      </w:pPr>
      <w:r>
        <w:rPr>
          <w:rFonts w:ascii="Calibri" w:hAnsi="Calibri" w:cs="Calibri" w:eastAsia="Calibri"/>
          <w:b w:val="0"/>
          <w:i w:val="0"/>
          <w:color w:val="2C2C2C"/>
          <w:sz w:val="12"/>
        </w:rPr>
      </w:r>
    </w:p>
    <w:tbl>
      <w:tblPr>
        <w:tblW w:type="auto" w:w="0"/>
        <w:tblBorders>
          <w:top w:val="single" w:sz="4" w:space="0" w:color="DDE3EA"/>
          <w:start w:val="single" w:sz="18" w:space="0" w:color="1A3A5C"/>
          <w:bottom w:val="single" w:sz="4" w:space="0" w:color="DDE3EA"/>
          <w:end w:val="single" w:sz="4" w:space="0" w:color="DDE3EA"/>
          <w:insideH w:val="none" w:sz="0" w:space="0" w:color="auto"/>
          <w:insideV w:val="none" w:sz="0" w:space="0" w:color="auto"/>
        </w:tblBorders>
        <w:tblLayout w:type="fixed"/>
        <w:tblLook w:firstColumn="1" w:firstRow="1" w:lastColumn="0" w:lastRow="0" w:noHBand="0" w:noVBand="1" w:val="04A0"/>
      </w:tblPr>
      <w:tblGrid>
        <w:gridCol w:w="9558"/>
      </w:tblGrid>
      <w:tr>
        <w:tc>
          <w:tcPr>
            <w:tcW w:type="dxa" w:w="9558"/>
            <w:shd w:val="clear" w:color="auto" w:fill="F4F7FA"/>
            <w:tcMar>
              <w:top w:w="160" w:type="dxa"/>
              <w:start w:w="240" w:type="dxa"/>
              <w:bottom w:w="160" w:type="dxa"/>
              <w:end w:w="240" w:type="dxa"/>
            </w:tcMar>
          </w:tcPr>
          <w:p>
            <w:pPr>
              <w:spacing w:after="140"/>
            </w:pPr>
            <w:r>
              <w:rPr>
                <w:rFonts w:ascii="Calibri" w:hAnsi="Calibri" w:cs="Calibri" w:eastAsia="Calibri"/>
                <w:b/>
                <w:i w:val="0"/>
                <w:color w:val="1A3A5C"/>
                <w:spacing w:val="24"/>
                <w:sz w:val="21"/>
              </w:rPr>
              <w:t>КЛЮЧЕВЫЕ РИСКИ И ПРОВЕРКИ</w:t>
            </w:r>
          </w:p>
          <w:p>
            <w:pPr>
              <w:keepNext w:val="1"/>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i w:val="0"/>
                <w:color w:val="1A3A5C"/>
                <w:sz w:val="20"/>
              </w:rPr>
              <w:t>Освобождение офисной части и стоимость простоя</w:t>
            </w:r>
            <w:r>
              <w:rPr>
                <w:rFonts w:ascii="Calibri" w:hAnsi="Calibri" w:cs="Calibri" w:eastAsia="Calibri"/>
                <w:b w:val="0"/>
                <w:i w:val="0"/>
                <w:color w:val="2C2C2C"/>
                <w:sz w:val="20"/>
              </w:rPr>
              <w:t xml:space="preserve"> — </w:t>
            </w:r>
            <w:r>
              <w:rPr>
                <w:rFonts w:ascii="Calibri" w:hAnsi="Calibri" w:cs="Calibri" w:eastAsia="Calibri"/>
                <w:b w:val="0"/>
                <w:i w:val="0"/>
                <w:color w:val="2C2C2C"/>
                <w:sz w:val="20"/>
              </w:rPr>
              <w:t>Договор аренды по Archimedesbaan 7‑9 расторгнут арендатором (huurovereenkomst opgezegd), а на офисную часть приходится ≈ 30 % совокупной арендной платы, поэтому текущая заполняемость 100 % горизонт дохода не описывает. Запросить письмо о расторжении с точной датой окончания, протокол приёмки помещений, объём обязательств по возврату в исходное состояние (opleveringsverplichting — восстановление casco) и размер обеспечительного платежа либо банковской гарантии (waarborgsom, bankgarantie). Заложить в модель консервативный период простоя — ориентировочно 6–12 месяцев — и подтвердить его фактическими сроками экспозиции сопоставимых офисных блоков по действующим объявлениям funda in business (Nieuwegein, парк Plettenburg, июль 2026 года). Отдельно заложить брокерское вознаграждение за сдачу (courtage makelaar), арендные каникулы (huurvrije periode) и капитальные затраты на восстановление отделки и разделение блока, уточнив их размер у местного брокера.</w:t>
            </w:r>
          </w:p>
          <w:p>
            <w:pPr>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i w:val="0"/>
                <w:color w:val="1A3A5C"/>
                <w:sz w:val="20"/>
              </w:rPr>
              <w:t>Рыночность арендной ставки и потенциал пересдачи</w:t>
            </w:r>
            <w:r>
              <w:rPr>
                <w:rFonts w:ascii="Calibri" w:hAnsi="Calibri" w:cs="Calibri" w:eastAsia="Calibri"/>
                <w:b w:val="0"/>
                <w:i w:val="0"/>
                <w:color w:val="2C2C2C"/>
                <w:sz w:val="20"/>
              </w:rPr>
              <w:t xml:space="preserve"> — </w:t>
            </w:r>
            <w:r>
              <w:rPr>
                <w:rFonts w:ascii="Calibri" w:hAnsi="Calibri" w:cs="Calibri" w:eastAsia="Calibri"/>
                <w:b w:val="0"/>
                <w:i w:val="0"/>
                <w:color w:val="2C2C2C"/>
                <w:sz w:val="20"/>
              </w:rPr>
              <w:t>Средневзвешенная ставка по зданию — ≈ € 59/м² в год, но разбивка арендуемых площадей по договорам в листинге не приведена, поэтому раздельные ставки по производственной и офисной частям не рассчитываются, а размер отставания от рынка в процентах не выводится — не подставлять его в модель оценочной величиной. Запросить у продавца привязку квадратных метров к каждому договору и заказать независимое определение арендной стоимости (huurwaardebepaling) у оценщика с регистрацией NRVT — раздельно по производственной и офисной частям, с подборкой фактических сделок по парку Plettenburg за 12–18 месяцев. Потенциал роста арендного дохода по офисной части при пересдаче в аренду подтверждать этой оценкой, а не запрашиваемыми ставками из объявлений: запрашиваемая ставка не равна ставке сделки. У местного брокера по коммерческой недвижимости (bedrijfsmakelaar) уточнить уровень стимулов для арендаторов (incentives), сроки экспозиции и требования к состоянию отделки.</w:t>
            </w:r>
          </w:p>
          <w:p>
            <w:pPr>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i w:val="0"/>
                <w:color w:val="1A3A5C"/>
                <w:sz w:val="20"/>
              </w:rPr>
              <w:t>Кредитное качество и обеспечение арендаторов</w:t>
            </w:r>
            <w:r>
              <w:rPr>
                <w:rFonts w:ascii="Calibri" w:hAnsi="Calibri" w:cs="Calibri" w:eastAsia="Calibri"/>
                <w:b w:val="0"/>
                <w:i w:val="0"/>
                <w:color w:val="2C2C2C"/>
                <w:sz w:val="20"/>
              </w:rPr>
              <w:t xml:space="preserve"> — </w:t>
            </w:r>
            <w:r>
              <w:rPr>
                <w:rFonts w:ascii="Calibri" w:hAnsi="Calibri" w:cs="Calibri" w:eastAsia="Calibri"/>
                <w:b w:val="0"/>
                <w:i w:val="0"/>
                <w:color w:val="2C2C2C"/>
                <w:sz w:val="20"/>
              </w:rPr>
              <w:t>По Euromaster Bandenservice B.V. проверить в торговом реестре (KvK) статус, уставный капитал, депонированную годовую отчётность и наличие заявления о солидарной ответственности материнской компании (403-verklaring) либо поручительства; принадлежность к международной группе подтвердить по регистру, а не принимать как данность. KNBB и Nederlandse Darts Bond — общественные объединения (verenigingen), а не компании с ограниченной ответственностью (B.V.): запросить годовую отчётность (jaarrekening), структуру доходов (членские взносы, субсидии), динамику членства, устав и полномочия подписантов. По обоим арендаторам проверить наличие и размер обеспечительного платежа либо банковской гарантии (waarborgsom, bankgarantie) и историю платежей за последние 2–3 года.</w:t>
            </w:r>
          </w:p>
          <w:p>
            <w:pPr>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i w:val="0"/>
                <w:color w:val="1A3A5C"/>
                <w:sz w:val="20"/>
              </w:rPr>
              <w:t>Налоговый режим аренды по НДС</w:t>
            </w:r>
            <w:r>
              <w:rPr>
                <w:rFonts w:ascii="Calibri" w:hAnsi="Calibri" w:cs="Calibri" w:eastAsia="Calibri"/>
                <w:b w:val="0"/>
                <w:i w:val="0"/>
                <w:color w:val="2C2C2C"/>
                <w:sz w:val="20"/>
              </w:rPr>
              <w:t xml:space="preserve"> — </w:t>
            </w:r>
            <w:r>
              <w:rPr>
                <w:rFonts w:ascii="Calibri" w:hAnsi="Calibri" w:cs="Calibri" w:eastAsia="Calibri"/>
                <w:b w:val="0"/>
                <w:i w:val="0"/>
                <w:color w:val="2C2C2C"/>
                <w:sz w:val="20"/>
              </w:rPr>
              <w:t>Аренда KNBB и Nederlandse Darts Bond указана без компенсации НДС — это признак освобождённой от НДС аренды (btw-vrijgestelde verhuur), при которой входящий НДС по этой части объекта (эксплуатация, ремонт, капитальные затраты) к вычету не принимается и удорожает владение. Проверить, реализован ли выбор облагаемой НДС аренды (opteren voor btw-belaste verhuur) по договору с Euromaster, выполняется ли по этому арендатору критерий 90 % облагаемого использования и как квалифицируется сама поставка объекта (с НДС или освобождённая). Отдельно выяснить остаток срока корректировки вычета (herzieningstermijn, 10 лет) по прошлым вложениям продавца: обязанность по корректировке (herzieningsverplichting) может перейти на покупателя. Учесть этот фактор и при пересдаче офисного этажа — новый арендатор с освобождённой деятельностью сохранит ту же нагрузку.</w:t>
            </w:r>
          </w:p>
          <w:p>
            <w:pPr>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i w:val="0"/>
                <w:color w:val="1A3A5C"/>
                <w:sz w:val="20"/>
              </w:rPr>
              <w:t>Условия договоров и механизм индексации</w:t>
            </w:r>
            <w:r>
              <w:rPr>
                <w:rFonts w:ascii="Calibri" w:hAnsi="Calibri" w:cs="Calibri" w:eastAsia="Calibri"/>
                <w:b w:val="0"/>
                <w:i w:val="0"/>
                <w:color w:val="2C2C2C"/>
                <w:sz w:val="20"/>
              </w:rPr>
              <w:t xml:space="preserve"> — </w:t>
            </w:r>
            <w:r>
              <w:rPr>
                <w:rFonts w:ascii="Calibri" w:hAnsi="Calibri" w:cs="Calibri" w:eastAsia="Calibri"/>
                <w:b w:val="0"/>
                <w:i w:val="0"/>
                <w:color w:val="2C2C2C"/>
                <w:sz w:val="20"/>
              </w:rPr>
              <w:t>Запросить оригиналы договоров и определить применённую типовую форму ROZ и юридическую квалификацию: шиномонтаж с публично доступной приёмкой клиентов может подпадать под статью 7:290 Гражданского кодекса Нидерландов (BW) — усиленная защита арендатора, сроки 5 + 5 лет, право на пересмотр ставки по статье 7:303 BW, — тогда как офис федераций относится к статье 7:230a BW; от этого зависит и сценарий выхода из инвестиции. Проверить формулу индексации (индекс потребительских цен CPI alle huishoudens, базовый год, оговорка «не ниже нуля»), дату последней применённой индексации и фактические письма о повышении: непроиндексированная ставка после инфляции 2022–2023 годов означает устойчивое отставание дохода. Авансовые эксплуатационные платежи € 7.031,76 в год (≈ € 3,75/м² в год) выглядят низкими для здания 1989 года — запросить итоговые расчёты по эксплуатационным расходам (afrekening servicekosten) за 2–3 года и перечень невозмещаемых расходов собственника (налог на недвижимость OZB eigenaarsdeel, страхование, сбор водного управления (waterschap), обслуживание, управление), которым проверяется принятая в расчёте доля расходов.</w:t>
            </w:r>
          </w:p>
          <w:p>
            <w:pPr>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i w:val="0"/>
                <w:color w:val="1A3A5C"/>
                <w:sz w:val="20"/>
              </w:rPr>
              <w:t>Обследование грунта и асбеста</w:t>
            </w:r>
            <w:r>
              <w:rPr>
                <w:rFonts w:ascii="Calibri" w:hAnsi="Calibri" w:cs="Calibri" w:eastAsia="Calibri"/>
                <w:b w:val="0"/>
                <w:i w:val="0"/>
                <w:color w:val="2C2C2C"/>
                <w:sz w:val="20"/>
              </w:rPr>
              <w:t xml:space="preserve"> — </w:t>
            </w:r>
            <w:r>
              <w:rPr>
                <w:rFonts w:ascii="Calibri" w:hAnsi="Calibri" w:cs="Calibri" w:eastAsia="Calibri"/>
                <w:b w:val="0"/>
                <w:i w:val="0"/>
                <w:color w:val="2C2C2C"/>
                <w:sz w:val="20"/>
              </w:rPr>
              <w:t>Шиномонтаж — потенциальный источник загрязнения (масла, тормозные жидкости, растворители, возможные подземные резервуары и мойка): заказать историческое исследование по NEN 5725 и предварительное обследование грунта (verkennend bodemonderzoek) по NEN 5740, проверить реестр bodemloket и архив грунтовых данных муниципалитета и природоохранной службы (omgevingsdienst). Отдельно выяснить, выдавалось ли решение о серьёзности и срочности загрязнения (beschikking ernst en spoedeisendheid) по Закону об охране почв (Wet bodembescherming, WBB): с 01‑01‑2024 WBB отменён, но переходное право сохраняет действие такого решения вместе с обязанностями по санации и последующему контролю (nazorg), а подобные ограничения ищутся в публично-правовом реестре WKPB по кадастровому номеру Jutphaas D 2158. Здание построено в 1989 году, то есть до вступления в силу запрета на применение асбеста (действует с 1994 года), поэтому провести инвентаризацию асбеста типа A (asbestinventarisatie type A: кровля, гофрированный лист, изоляция труб, битумные и виниловые покрытия), тип B — при вскрытии конструкций.</w:t>
            </w:r>
          </w:p>
          <w:p>
            <w:pPr>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i w:val="0"/>
                <w:color w:val="1A3A5C"/>
                <w:sz w:val="20"/>
              </w:rPr>
              <w:t>Применимость требования энергетического класса C</w:t>
            </w:r>
            <w:r>
              <w:rPr>
                <w:rFonts w:ascii="Calibri" w:hAnsi="Calibri" w:cs="Calibri" w:eastAsia="Calibri"/>
                <w:b w:val="0"/>
                <w:i w:val="0"/>
                <w:color w:val="2C2C2C"/>
                <w:sz w:val="20"/>
              </w:rPr>
              <w:t xml:space="preserve"> — </w:t>
            </w:r>
            <w:r>
              <w:rPr>
                <w:rFonts w:ascii="Calibri" w:hAnsi="Calibri" w:cs="Calibri" w:eastAsia="Calibri"/>
                <w:b w:val="0"/>
                <w:i w:val="0"/>
                <w:color w:val="2C2C2C"/>
                <w:sz w:val="20"/>
              </w:rPr>
              <w:t>Обязанность иметь энергетический класс не ниже C (label C-plicht) действует для офисов площадью свыше 100 м², но не применяется, если офисная функция занимает менее 50 % полезной площади здания (gebruiksoppervlakte): при 490 м² офиса на 1.876 м² общей площади доля составляет ≈ 26 %, поэтому объект в целом с высокой вероятностью выведен из-под требования — подтвердить это допущение, а не принимать за факт. Проверить регистрацию в реестре зданий и адресов (BAG): если Archimedesbaan 7‑9 и 11 внесены как отдельные здания и объекты (panden, verblijfsobjecten), критерий 50 % применяется к каждому зданию отдельно и офисный блок может оказаться обязанным. Запросить действующий энергетический сертификат с датой истечения и его регистрацию в реестре EP-online, обмеры полезной площади по NEN 2580 и оценку капитальных затрат на приведение к классу C или выше: класс D сужает круг арендаторов офисной части и условия банковского финансирования.</w:t>
            </w:r>
          </w:p>
          <w:p>
            <w:pPr>
              <w:keepLines w:val="1"/>
              <w:tabs>
                <w:tab w:val="left" w:pos="480"/>
              </w:tabs>
              <w:spacing w:before="0" w:after="50"/>
              <w:ind w:left="480" w:hanging="240"/>
            </w:pPr>
            <w:r>
              <w:rPr>
                <w:rFonts w:ascii="Calibri" w:hAnsi="Calibri" w:cs="Calibri" w:eastAsia="Calibri"/>
                <w:b w:val="0"/>
                <w:i w:val="0"/>
                <w:color w:val="C9A961"/>
                <w:sz w:val="22"/>
              </w:rPr>
              <w:t>•</w:t>
            </w:r>
            <w:r>
              <w:rPr>
                <w:rFonts w:ascii="Calibri" w:hAnsi="Calibri" w:cs="Calibri" w:eastAsia="Calibri"/>
                <w:b w:val="0"/>
                <w:i w:val="0"/>
                <w:color w:val="2C2C2C"/>
                <w:sz w:val="20"/>
              </w:rPr>
              <w:tab/>
            </w:r>
            <w:r>
              <w:rPr>
                <w:rFonts w:ascii="Calibri" w:hAnsi="Calibri" w:cs="Calibri" w:eastAsia="Calibri"/>
                <w:b/>
                <w:i w:val="0"/>
                <w:color w:val="1A3A5C"/>
                <w:sz w:val="20"/>
              </w:rPr>
              <w:t>Назначение участка, титул и скрытые дефекты</w:t>
            </w:r>
            <w:r>
              <w:rPr>
                <w:rFonts w:ascii="Calibri" w:hAnsi="Calibri" w:cs="Calibri" w:eastAsia="Calibri"/>
                <w:b w:val="0"/>
                <w:i w:val="0"/>
                <w:color w:val="2C2C2C"/>
                <w:sz w:val="20"/>
              </w:rPr>
              <w:t xml:space="preserve"> — </w:t>
            </w:r>
            <w:r>
              <w:rPr>
                <w:rFonts w:ascii="Calibri" w:hAnsi="Calibri" w:cs="Calibri" w:eastAsia="Calibri"/>
                <w:b w:val="0"/>
                <w:i w:val="0"/>
                <w:color w:val="2C2C2C"/>
                <w:sz w:val="20"/>
              </w:rPr>
              <w:t>Проверить в плане окружающей среды (omgevingsplan — бывший bestemmingsplan Plettenburg, действующий как временная часть плана с 01‑01‑2024) допустимую категорию воздействия (milieucategorie), разрешён ли самостоятельный офис — часто допускается лишь подчинённая офисная функция (ondergeschikt kantoor), — а также норматив парковки: от этого зависят легальность текущего использования помещений федерациями и круг будущих арендаторов офисного этажа. По кадастровому объекту Jutphaas D 2158 запросить выписку и ипотечную справку (hypothecair uittreksel): единый ли участок обслуживает части 7‑9 и 11, есть ли сервитуты (erfdienstbaarheden), права застройки (opstalrechten), качественные обязательства (kwalitatieve verplichtingen) и публично-правовые ограничения (WKPB). Передача «как есть» (as is, where is) без гарантий продавца переносит риск скрытых дефектов на покупателя — заказать техническое обследование (bouwkundige keuring) с планом обслуживания на 10–15 лет (MJOP; кровля и инженерия 1989 года) и зафиксировать в договоре купли-продажи (koopakte) оговорки о возрасте здания, асбесте и экологии (ouderdoms-, asbest- en milieuclausules).</w:t>
            </w:r>
          </w:p>
        </w:tc>
      </w:tr>
    </w:tbl>
    <w:p>
      <w:pPr>
        <w:spacing w:before="0" w:after="0"/>
      </w:pPr>
      <w:r>
        <w:br w:type="page"/>
      </w:r>
    </w:p>
    <w:p>
      <w:pPr>
        <w:keepNext w:val="1"/>
        <w:spacing w:before="0" w:after="0" w:line="240" w:lineRule="auto"/>
        <w:ind w:left="0" w:right="0" w:firstLine="0"/>
        <w:jc w:val="center"/>
      </w:pPr>
      <w:r>
        <w:drawing>
          <wp:inline xmlns:a="http://schemas.openxmlformats.org/drawingml/2006/main" xmlns:pic="http://schemas.openxmlformats.org/drawingml/2006/picture">
            <wp:extent cx="5810400" cy="3195719"/>
            <wp:docPr id="34" name="Picture 34"/>
            <wp:cNvGraphicFramePr>
              <a:graphicFrameLocks noChangeAspect="1"/>
            </wp:cNvGraphicFramePr>
            <a:graphic>
              <a:graphicData uri="http://schemas.openxmlformats.org/drawingml/2006/picture">
                <pic:pic>
                  <pic:nvPicPr>
                    <pic:cNvPr id="0" name="archimedesbaan-11-nieuwegein-google.png"/>
                    <pic:cNvPicPr/>
                  </pic:nvPicPr>
                  <pic:blipFill>
                    <a:blip r:embed="rId53"/>
                    <a:stretch>
                      <a:fillRect/>
                    </a:stretch>
                  </pic:blipFill>
                  <pic:spPr>
                    <a:xfrm>
                      <a:off x="0" y="0"/>
                      <a:ext cx="5810400" cy="3195719"/>
                    </a:xfrm>
                    <a:prstGeom prst="rect"/>
                  </pic:spPr>
                </pic:pic>
              </a:graphicData>
            </a:graphic>
          </wp:inline>
        </w:drawing>
      </w:r>
    </w:p>
    <w:p>
      <w:pPr>
        <w:spacing w:before="60" w:after="0"/>
        <w:jc w:val="center"/>
      </w:pPr>
      <w:r>
        <w:rPr>
          <w:rFonts w:ascii="Calibri" w:hAnsi="Calibri" w:cs="Calibri" w:eastAsia="Calibri"/>
          <w:b w:val="0"/>
          <w:i/>
          <w:color w:val="5A6E80"/>
          <w:sz w:val="17"/>
        </w:rPr>
        <w:t>Расположение объекта: Nieuwegein</w:t>
      </w:r>
    </w:p>
    <w:p>
      <w:pPr>
        <w:keepNext w:val="1"/>
        <w:spacing w:before="280" w:after="0" w:line="240" w:lineRule="auto"/>
        <w:ind w:left="0" w:right="0" w:firstLine="0"/>
        <w:jc w:val="center"/>
      </w:pPr>
      <w:r>
        <w:drawing>
          <wp:inline xmlns:a="http://schemas.openxmlformats.org/drawingml/2006/main" xmlns:pic="http://schemas.openxmlformats.org/drawingml/2006/picture">
            <wp:extent cx="5810400" cy="3873600"/>
            <wp:docPr id="35" name="Picture 35"/>
            <wp:cNvGraphicFramePr>
              <a:graphicFrameLocks noChangeAspect="1"/>
            </wp:cNvGraphicFramePr>
            <a:graphic>
              <a:graphicData uri="http://schemas.openxmlformats.org/drawingml/2006/picture">
                <pic:pic>
                  <pic:nvPicPr>
                    <pic:cNvPr id="0" name="884d46b8211bb68c.jpg"/>
                    <pic:cNvPicPr/>
                  </pic:nvPicPr>
                  <pic:blipFill>
                    <a:blip r:embed="rId54"/>
                    <a:stretch>
                      <a:fillRect/>
                    </a:stretch>
                  </pic:blipFill>
                  <pic:spPr>
                    <a:xfrm>
                      <a:off x="0" y="0"/>
                      <a:ext cx="5810400" cy="3873600"/>
                    </a:xfrm>
                    <a:prstGeom prst="rect"/>
                  </pic:spPr>
                </pic:pic>
              </a:graphicData>
            </a:graphic>
          </wp:inline>
        </w:drawing>
      </w:r>
    </w:p>
    <w:p>
      <w:pPr>
        <w:spacing w:before="60" w:after="0"/>
        <w:jc w:val="center"/>
      </w:pPr>
      <w:r>
        <w:rPr>
          <w:rFonts w:ascii="Calibri" w:hAnsi="Calibri" w:cs="Calibri" w:eastAsia="Calibri"/>
          <w:b w:val="0"/>
          <w:i/>
          <w:color w:val="5A6E80"/>
          <w:sz w:val="17"/>
        </w:rPr>
        <w:t>Здание со стороны Archimedesbaan</w:t>
      </w:r>
    </w:p>
    <w:p>
      <w:pPr>
        <w:spacing w:before="0" w:after="0"/>
      </w:pPr>
      <w:r>
        <w:br w:type="page"/>
      </w:r>
    </w:p>
    <w:p>
      <w:pPr>
        <w:keepNext w:val="1"/>
        <w:spacing w:before="0" w:after="0" w:line="240" w:lineRule="auto"/>
        <w:ind w:left="0" w:right="0" w:firstLine="0"/>
        <w:jc w:val="center"/>
      </w:pPr>
      <w:r>
        <w:drawing>
          <wp:inline xmlns:a="http://schemas.openxmlformats.org/drawingml/2006/main" xmlns:pic="http://schemas.openxmlformats.org/drawingml/2006/picture">
            <wp:extent cx="5810400" cy="3873600"/>
            <wp:docPr id="36" name="Picture 36"/>
            <wp:cNvGraphicFramePr>
              <a:graphicFrameLocks noChangeAspect="1"/>
            </wp:cNvGraphicFramePr>
            <a:graphic>
              <a:graphicData uri="http://schemas.openxmlformats.org/drawingml/2006/picture">
                <pic:pic>
                  <pic:nvPicPr>
                    <pic:cNvPr id="0" name="2c2138acd787c73d.jpg"/>
                    <pic:cNvPicPr/>
                  </pic:nvPicPr>
                  <pic:blipFill>
                    <a:blip r:embed="rId55"/>
                    <a:stretch>
                      <a:fillRect/>
                    </a:stretch>
                  </pic:blipFill>
                  <pic:spPr>
                    <a:xfrm>
                      <a:off x="0" y="0"/>
                      <a:ext cx="5810400" cy="3873600"/>
                    </a:xfrm>
                    <a:prstGeom prst="rect"/>
                  </pic:spPr>
                </pic:pic>
              </a:graphicData>
            </a:graphic>
          </wp:inline>
        </w:drawing>
      </w:r>
    </w:p>
    <w:p>
      <w:pPr>
        <w:spacing w:before="60" w:after="0"/>
        <w:jc w:val="center"/>
      </w:pPr>
      <w:r>
        <w:rPr>
          <w:rFonts w:ascii="Calibri" w:hAnsi="Calibri" w:cs="Calibri" w:eastAsia="Calibri"/>
          <w:b w:val="0"/>
          <w:i/>
          <w:color w:val="5A6E80"/>
          <w:sz w:val="17"/>
        </w:rPr>
        <w:t>Входная группа сервисного центра Euromaster (Archimedesbaan 11)</w:t>
      </w:r>
    </w:p>
    <w:p>
      <w:pPr>
        <w:keepNext w:val="1"/>
        <w:spacing w:before="280" w:after="0" w:line="240" w:lineRule="auto"/>
        <w:ind w:left="0" w:right="0" w:firstLine="0"/>
        <w:jc w:val="center"/>
      </w:pPr>
      <w:r>
        <w:drawing>
          <wp:inline xmlns:a="http://schemas.openxmlformats.org/drawingml/2006/main" xmlns:pic="http://schemas.openxmlformats.org/drawingml/2006/picture">
            <wp:extent cx="5810400" cy="3873600"/>
            <wp:docPr id="37" name="Picture 37"/>
            <wp:cNvGraphicFramePr>
              <a:graphicFrameLocks noChangeAspect="1"/>
            </wp:cNvGraphicFramePr>
            <a:graphic>
              <a:graphicData uri="http://schemas.openxmlformats.org/drawingml/2006/picture">
                <pic:pic>
                  <pic:nvPicPr>
                    <pic:cNvPr id="0" name="23bf0c2172896e94.jpg"/>
                    <pic:cNvPicPr/>
                  </pic:nvPicPr>
                  <pic:blipFill>
                    <a:blip r:embed="rId56"/>
                    <a:stretch>
                      <a:fillRect/>
                    </a:stretch>
                  </pic:blipFill>
                  <pic:spPr>
                    <a:xfrm>
                      <a:off x="0" y="0"/>
                      <a:ext cx="5810400" cy="3873600"/>
                    </a:xfrm>
                    <a:prstGeom prst="rect"/>
                  </pic:spPr>
                </pic:pic>
              </a:graphicData>
            </a:graphic>
          </wp:inline>
        </w:drawing>
      </w:r>
    </w:p>
    <w:p>
      <w:pPr>
        <w:spacing w:before="60" w:after="0"/>
        <w:jc w:val="center"/>
      </w:pPr>
      <w:r>
        <w:rPr>
          <w:rFonts w:ascii="Calibri" w:hAnsi="Calibri" w:cs="Calibri" w:eastAsia="Calibri"/>
          <w:b w:val="0"/>
          <w:i/>
          <w:color w:val="5A6E80"/>
          <w:sz w:val="17"/>
        </w:rPr>
        <w:t>Шиномонтажный цех: подъёмники и склад шин</w:t>
      </w:r>
    </w:p>
    <w:p>
      <w:pPr>
        <w:spacing w:before="0" w:after="0"/>
      </w:pPr>
      <w:r>
        <w:br w:type="page"/>
      </w:r>
    </w:p>
    <w:p>
      <w:pPr>
        <w:keepNext w:val="1"/>
        <w:spacing w:before="0" w:after="0" w:line="240" w:lineRule="auto"/>
        <w:ind w:left="0" w:right="0" w:firstLine="0"/>
        <w:jc w:val="center"/>
      </w:pPr>
      <w:r>
        <w:drawing>
          <wp:inline xmlns:a="http://schemas.openxmlformats.org/drawingml/2006/main" xmlns:pic="http://schemas.openxmlformats.org/drawingml/2006/picture">
            <wp:extent cx="5810400" cy="3873600"/>
            <wp:docPr id="38" name="Picture 38"/>
            <wp:cNvGraphicFramePr>
              <a:graphicFrameLocks noChangeAspect="1"/>
            </wp:cNvGraphicFramePr>
            <a:graphic>
              <a:graphicData uri="http://schemas.openxmlformats.org/drawingml/2006/picture">
                <pic:pic>
                  <pic:nvPicPr>
                    <pic:cNvPr id="0" name="c58682d914b548fb.jpg"/>
                    <pic:cNvPicPr/>
                  </pic:nvPicPr>
                  <pic:blipFill>
                    <a:blip r:embed="rId57"/>
                    <a:stretch>
                      <a:fillRect/>
                    </a:stretch>
                  </pic:blipFill>
                  <pic:spPr>
                    <a:xfrm>
                      <a:off x="0" y="0"/>
                      <a:ext cx="5810400" cy="3873600"/>
                    </a:xfrm>
                    <a:prstGeom prst="rect"/>
                  </pic:spPr>
                </pic:pic>
              </a:graphicData>
            </a:graphic>
          </wp:inline>
        </w:drawing>
      </w:r>
    </w:p>
    <w:p>
      <w:pPr>
        <w:spacing w:before="60" w:after="0"/>
        <w:jc w:val="center"/>
      </w:pPr>
      <w:r>
        <w:rPr>
          <w:rFonts w:ascii="Calibri" w:hAnsi="Calibri" w:cs="Calibri" w:eastAsia="Calibri"/>
          <w:b w:val="0"/>
          <w:i/>
          <w:color w:val="5A6E80"/>
          <w:sz w:val="17"/>
        </w:rPr>
        <w:t>Сервисная зона с постами обслуживания</w:t>
      </w:r>
    </w:p>
    <w:p>
      <w:pPr>
        <w:keepNext w:val="1"/>
        <w:spacing w:before="280" w:after="0" w:line="240" w:lineRule="auto"/>
        <w:ind w:left="0" w:right="0" w:firstLine="0"/>
        <w:jc w:val="center"/>
      </w:pPr>
      <w:r>
        <w:drawing>
          <wp:inline xmlns:a="http://schemas.openxmlformats.org/drawingml/2006/main" xmlns:pic="http://schemas.openxmlformats.org/drawingml/2006/picture">
            <wp:extent cx="5810400" cy="3873600"/>
            <wp:docPr id="39" name="Picture 39"/>
            <wp:cNvGraphicFramePr>
              <a:graphicFrameLocks noChangeAspect="1"/>
            </wp:cNvGraphicFramePr>
            <a:graphic>
              <a:graphicData uri="http://schemas.openxmlformats.org/drawingml/2006/picture">
                <pic:pic>
                  <pic:nvPicPr>
                    <pic:cNvPr id="0" name="c9f04b85112feb75.jpg"/>
                    <pic:cNvPicPr/>
                  </pic:nvPicPr>
                  <pic:blipFill>
                    <a:blip r:embed="rId58"/>
                    <a:stretch>
                      <a:fillRect/>
                    </a:stretch>
                  </pic:blipFill>
                  <pic:spPr>
                    <a:xfrm>
                      <a:off x="0" y="0"/>
                      <a:ext cx="5810400" cy="3873600"/>
                    </a:xfrm>
                    <a:prstGeom prst="rect"/>
                  </pic:spPr>
                </pic:pic>
              </a:graphicData>
            </a:graphic>
          </wp:inline>
        </w:drawing>
      </w:r>
    </w:p>
    <w:p>
      <w:pPr>
        <w:spacing w:before="60" w:after="0"/>
        <w:jc w:val="center"/>
      </w:pPr>
      <w:r>
        <w:rPr>
          <w:rFonts w:ascii="Calibri" w:hAnsi="Calibri" w:cs="Calibri" w:eastAsia="Calibri"/>
          <w:b w:val="0"/>
          <w:i/>
          <w:color w:val="5A6E80"/>
          <w:sz w:val="17"/>
        </w:rPr>
        <w:t>Ремонтная зона с подъёмниками</w:t>
      </w:r>
    </w:p>
    <w:p>
      <w:pPr>
        <w:spacing w:before="0" w:after="0"/>
      </w:pPr>
      <w:r>
        <w:br w:type="page"/>
      </w:r>
    </w:p>
    <w:p>
      <w:pPr>
        <w:keepNext w:val="1"/>
        <w:spacing w:before="0" w:after="0" w:line="240" w:lineRule="auto"/>
        <w:ind w:left="0" w:right="0" w:firstLine="0"/>
        <w:jc w:val="center"/>
      </w:pPr>
      <w:r>
        <w:drawing>
          <wp:inline xmlns:a="http://schemas.openxmlformats.org/drawingml/2006/main" xmlns:pic="http://schemas.openxmlformats.org/drawingml/2006/picture">
            <wp:extent cx="5810400" cy="3873600"/>
            <wp:docPr id="40" name="Picture 40"/>
            <wp:cNvGraphicFramePr>
              <a:graphicFrameLocks noChangeAspect="1"/>
            </wp:cNvGraphicFramePr>
            <a:graphic>
              <a:graphicData uri="http://schemas.openxmlformats.org/drawingml/2006/picture">
                <pic:pic>
                  <pic:nvPicPr>
                    <pic:cNvPr id="0" name="b62681689d837a24.jpg"/>
                    <pic:cNvPicPr/>
                  </pic:nvPicPr>
                  <pic:blipFill>
                    <a:blip r:embed="rId59"/>
                    <a:stretch>
                      <a:fillRect/>
                    </a:stretch>
                  </pic:blipFill>
                  <pic:spPr>
                    <a:xfrm>
                      <a:off x="0" y="0"/>
                      <a:ext cx="5810400" cy="3873600"/>
                    </a:xfrm>
                    <a:prstGeom prst="rect"/>
                  </pic:spPr>
                </pic:pic>
              </a:graphicData>
            </a:graphic>
          </wp:inline>
        </w:drawing>
      </w:r>
    </w:p>
    <w:p>
      <w:pPr>
        <w:spacing w:before="60" w:after="0"/>
        <w:jc w:val="center"/>
      </w:pPr>
      <w:r>
        <w:rPr>
          <w:rFonts w:ascii="Calibri" w:hAnsi="Calibri" w:cs="Calibri" w:eastAsia="Calibri"/>
          <w:b w:val="0"/>
          <w:i/>
          <w:color w:val="5A6E80"/>
          <w:sz w:val="17"/>
        </w:rPr>
        <w:t>Офисный этаж (Archimedesbaan 7‑9): зона приёма посетителей</w:t>
      </w:r>
    </w:p>
    <w:p>
      <w:pPr>
        <w:keepNext w:val="1"/>
        <w:spacing w:before="280" w:after="0" w:line="240" w:lineRule="auto"/>
        <w:ind w:left="0" w:right="0" w:firstLine="0"/>
        <w:jc w:val="center"/>
      </w:pPr>
      <w:r>
        <w:drawing>
          <wp:inline xmlns:a="http://schemas.openxmlformats.org/drawingml/2006/main" xmlns:pic="http://schemas.openxmlformats.org/drawingml/2006/picture">
            <wp:extent cx="5810400" cy="3873600"/>
            <wp:docPr id="41" name="Picture 41"/>
            <wp:cNvGraphicFramePr>
              <a:graphicFrameLocks noChangeAspect="1"/>
            </wp:cNvGraphicFramePr>
            <a:graphic>
              <a:graphicData uri="http://schemas.openxmlformats.org/drawingml/2006/picture">
                <pic:pic>
                  <pic:nvPicPr>
                    <pic:cNvPr id="0" name="802717585848d9e9.jpg"/>
                    <pic:cNvPicPr/>
                  </pic:nvPicPr>
                  <pic:blipFill>
                    <a:blip r:embed="rId60"/>
                    <a:stretch>
                      <a:fillRect/>
                    </a:stretch>
                  </pic:blipFill>
                  <pic:spPr>
                    <a:xfrm>
                      <a:off x="0" y="0"/>
                      <a:ext cx="5810400" cy="3873600"/>
                    </a:xfrm>
                    <a:prstGeom prst="rect"/>
                  </pic:spPr>
                </pic:pic>
              </a:graphicData>
            </a:graphic>
          </wp:inline>
        </w:drawing>
      </w:r>
    </w:p>
    <w:p>
      <w:pPr>
        <w:spacing w:before="60" w:after="0"/>
        <w:jc w:val="center"/>
      </w:pPr>
      <w:r>
        <w:rPr>
          <w:rFonts w:ascii="Calibri" w:hAnsi="Calibri" w:cs="Calibri" w:eastAsia="Calibri"/>
          <w:b w:val="0"/>
          <w:i/>
          <w:color w:val="5A6E80"/>
          <w:sz w:val="17"/>
        </w:rPr>
        <w:t>Офисный этаж: открытое рабочее пространство</w:t>
      </w:r>
    </w:p>
    <w:p>
      <w:pPr>
        <w:spacing w:before="0" w:after="0"/>
      </w:pPr>
      <w:r>
        <w:br w:type="page"/>
      </w:r>
    </w:p>
    <w:p>
      <w:pPr>
        <w:keepNext w:val="1"/>
        <w:spacing w:before="0" w:after="0" w:line="240" w:lineRule="auto"/>
        <w:ind w:left="0" w:right="0" w:firstLine="0"/>
        <w:jc w:val="center"/>
      </w:pPr>
      <w:r>
        <w:drawing>
          <wp:inline xmlns:a="http://schemas.openxmlformats.org/drawingml/2006/main" xmlns:pic="http://schemas.openxmlformats.org/drawingml/2006/picture">
            <wp:extent cx="5810400" cy="3873600"/>
            <wp:docPr id="42" name="Picture 42"/>
            <wp:cNvGraphicFramePr>
              <a:graphicFrameLocks noChangeAspect="1"/>
            </wp:cNvGraphicFramePr>
            <a:graphic>
              <a:graphicData uri="http://schemas.openxmlformats.org/drawingml/2006/picture">
                <pic:pic>
                  <pic:nvPicPr>
                    <pic:cNvPr id="0" name="c6be80cd41c05f67.jpg"/>
                    <pic:cNvPicPr/>
                  </pic:nvPicPr>
                  <pic:blipFill>
                    <a:blip r:embed="rId61"/>
                    <a:stretch>
                      <a:fillRect/>
                    </a:stretch>
                  </pic:blipFill>
                  <pic:spPr>
                    <a:xfrm>
                      <a:off x="0" y="0"/>
                      <a:ext cx="5810400" cy="3873600"/>
                    </a:xfrm>
                    <a:prstGeom prst="rect"/>
                  </pic:spPr>
                </pic:pic>
              </a:graphicData>
            </a:graphic>
          </wp:inline>
        </w:drawing>
      </w:r>
    </w:p>
    <w:p>
      <w:pPr>
        <w:spacing w:before="60" w:after="0"/>
        <w:jc w:val="center"/>
      </w:pPr>
      <w:r>
        <w:rPr>
          <w:rFonts w:ascii="Calibri" w:hAnsi="Calibri" w:cs="Calibri" w:eastAsia="Calibri"/>
          <w:b w:val="0"/>
          <w:i/>
          <w:color w:val="5A6E80"/>
          <w:sz w:val="17"/>
        </w:rPr>
        <w:t>Офисный этаж: зал с бильярдными столами KNBB — договор аренды расторгнут, помещения освобождаются</w:t>
      </w:r>
    </w:p>
    <w:p>
      <w:pPr>
        <w:keepNext w:val="1"/>
        <w:spacing w:before="280" w:after="0" w:line="240" w:lineRule="auto"/>
        <w:ind w:left="0" w:right="0" w:firstLine="0"/>
        <w:jc w:val="center"/>
      </w:pPr>
      <w:r>
        <w:drawing>
          <wp:inline xmlns:a="http://schemas.openxmlformats.org/drawingml/2006/main" xmlns:pic="http://schemas.openxmlformats.org/drawingml/2006/picture">
            <wp:extent cx="5810400" cy="3873600"/>
            <wp:docPr id="43" name="Picture 43"/>
            <wp:cNvGraphicFramePr>
              <a:graphicFrameLocks noChangeAspect="1"/>
            </wp:cNvGraphicFramePr>
            <a:graphic>
              <a:graphicData uri="http://schemas.openxmlformats.org/drawingml/2006/picture">
                <pic:pic>
                  <pic:nvPicPr>
                    <pic:cNvPr id="0" name="1d66723f05807492.jpg"/>
                    <pic:cNvPicPr/>
                  </pic:nvPicPr>
                  <pic:blipFill>
                    <a:blip r:embed="rId62"/>
                    <a:stretch>
                      <a:fillRect/>
                    </a:stretch>
                  </pic:blipFill>
                  <pic:spPr>
                    <a:xfrm>
                      <a:off x="0" y="0"/>
                      <a:ext cx="5810400" cy="3873600"/>
                    </a:xfrm>
                    <a:prstGeom prst="rect"/>
                  </pic:spPr>
                </pic:pic>
              </a:graphicData>
            </a:graphic>
          </wp:inline>
        </w:drawing>
      </w:r>
    </w:p>
    <w:p>
      <w:pPr>
        <w:spacing w:before="60" w:after="0"/>
        <w:jc w:val="center"/>
      </w:pPr>
      <w:r>
        <w:rPr>
          <w:rFonts w:ascii="Calibri" w:hAnsi="Calibri" w:cs="Calibri" w:eastAsia="Calibri"/>
          <w:b w:val="0"/>
          <w:i/>
          <w:color w:val="5A6E80"/>
          <w:sz w:val="17"/>
        </w:rPr>
        <w:t>Офисный этаж: зона дартса и настольного тенниса федераций</w:t>
      </w:r>
    </w:p>
    <w:p>
      <w:pPr>
        <w:spacing w:before="0" w:after="0"/>
      </w:pPr>
      <w:r>
        <w:br w:type="page"/>
      </w:r>
    </w:p>
    <w:p>
      <w:pPr>
        <w:keepNext w:val="1"/>
        <w:spacing w:before="0" w:after="0" w:line="240" w:lineRule="auto"/>
        <w:ind w:left="0" w:right="0" w:firstLine="0"/>
        <w:jc w:val="center"/>
      </w:pPr>
      <w:r>
        <w:drawing>
          <wp:inline xmlns:a="http://schemas.openxmlformats.org/drawingml/2006/main" xmlns:pic="http://schemas.openxmlformats.org/drawingml/2006/picture">
            <wp:extent cx="5810400" cy="3873600"/>
            <wp:docPr id="44" name="Picture 44"/>
            <wp:cNvGraphicFramePr>
              <a:graphicFrameLocks noChangeAspect="1"/>
            </wp:cNvGraphicFramePr>
            <a:graphic>
              <a:graphicData uri="http://schemas.openxmlformats.org/drawingml/2006/picture">
                <pic:pic>
                  <pic:nvPicPr>
                    <pic:cNvPr id="0" name="1cf9c3379d005967.jpg"/>
                    <pic:cNvPicPr/>
                  </pic:nvPicPr>
                  <pic:blipFill>
                    <a:blip r:embed="rId63"/>
                    <a:stretch>
                      <a:fillRect/>
                    </a:stretch>
                  </pic:blipFill>
                  <pic:spPr>
                    <a:xfrm>
                      <a:off x="0" y="0"/>
                      <a:ext cx="5810400" cy="3873600"/>
                    </a:xfrm>
                    <a:prstGeom prst="rect"/>
                  </pic:spPr>
                </pic:pic>
              </a:graphicData>
            </a:graphic>
          </wp:inline>
        </w:drawing>
      </w:r>
    </w:p>
    <w:p>
      <w:pPr>
        <w:spacing w:before="60" w:after="0"/>
        <w:jc w:val="center"/>
      </w:pPr>
      <w:r>
        <w:rPr>
          <w:rFonts w:ascii="Calibri" w:hAnsi="Calibri" w:cs="Calibri" w:eastAsia="Calibri"/>
          <w:b w:val="0"/>
          <w:i/>
          <w:color w:val="5A6E80"/>
          <w:sz w:val="17"/>
        </w:rPr>
        <w:t>Офисный этаж: переговорная комната</w:t>
      </w:r>
    </w:p>
    <w:p>
      <w:pPr>
        <w:keepNext w:val="1"/>
        <w:spacing w:before="280" w:after="0" w:line="240" w:lineRule="auto"/>
        <w:ind w:left="0" w:right="0" w:firstLine="0"/>
        <w:jc w:val="center"/>
      </w:pPr>
      <w:r>
        <w:drawing>
          <wp:inline xmlns:a="http://schemas.openxmlformats.org/drawingml/2006/main" xmlns:pic="http://schemas.openxmlformats.org/drawingml/2006/picture">
            <wp:extent cx="5810400" cy="3873600"/>
            <wp:docPr id="45" name="Picture 45"/>
            <wp:cNvGraphicFramePr>
              <a:graphicFrameLocks noChangeAspect="1"/>
            </wp:cNvGraphicFramePr>
            <a:graphic>
              <a:graphicData uri="http://schemas.openxmlformats.org/drawingml/2006/picture">
                <pic:pic>
                  <pic:nvPicPr>
                    <pic:cNvPr id="0" name="ea124590987071a0.jpg"/>
                    <pic:cNvPicPr/>
                  </pic:nvPicPr>
                  <pic:blipFill>
                    <a:blip r:embed="rId64"/>
                    <a:stretch>
                      <a:fillRect/>
                    </a:stretch>
                  </pic:blipFill>
                  <pic:spPr>
                    <a:xfrm>
                      <a:off x="0" y="0"/>
                      <a:ext cx="5810400" cy="3873600"/>
                    </a:xfrm>
                    <a:prstGeom prst="rect"/>
                  </pic:spPr>
                </pic:pic>
              </a:graphicData>
            </a:graphic>
          </wp:inline>
        </w:drawing>
      </w:r>
    </w:p>
    <w:p>
      <w:pPr>
        <w:spacing w:before="60" w:after="0"/>
        <w:jc w:val="center"/>
      </w:pPr>
      <w:r>
        <w:rPr>
          <w:rFonts w:ascii="Calibri" w:hAnsi="Calibri" w:cs="Calibri" w:eastAsia="Calibri"/>
          <w:b w:val="0"/>
          <w:i/>
          <w:color w:val="5A6E80"/>
          <w:sz w:val="17"/>
        </w:rPr>
        <w:t>Офисный этаж: кабинет с рабочими местами</w:t>
      </w:r>
    </w:p>
    <w:p>
      <w:pPr>
        <w:spacing w:before="0" w:after="0"/>
      </w:pPr>
      <w:r>
        <w:br w:type="page"/>
      </w:r>
    </w:p>
    <w:p>
      <w:pPr>
        <w:keepNext w:val="1"/>
        <w:spacing w:before="0" w:after="0" w:line="240" w:lineRule="auto"/>
        <w:ind w:left="0" w:right="0" w:firstLine="0"/>
        <w:jc w:val="center"/>
      </w:pPr>
      <w:r>
        <w:drawing>
          <wp:inline xmlns:a="http://schemas.openxmlformats.org/drawingml/2006/main" xmlns:pic="http://schemas.openxmlformats.org/drawingml/2006/picture">
            <wp:extent cx="3926200" cy="2617466"/>
            <wp:docPr id="46" name="Picture 46"/>
            <wp:cNvGraphicFramePr>
              <a:graphicFrameLocks noChangeAspect="1"/>
            </wp:cNvGraphicFramePr>
            <a:graphic>
              <a:graphicData uri="http://schemas.openxmlformats.org/drawingml/2006/picture">
                <pic:pic>
                  <pic:nvPicPr>
                    <pic:cNvPr id="0" name="c0fe2a9abd71814f.jpg"/>
                    <pic:cNvPicPr/>
                  </pic:nvPicPr>
                  <pic:blipFill>
                    <a:blip r:embed="rId65"/>
                    <a:stretch>
                      <a:fillRect/>
                    </a:stretch>
                  </pic:blipFill>
                  <pic:spPr>
                    <a:xfrm>
                      <a:off x="0" y="0"/>
                      <a:ext cx="3926200" cy="2617466"/>
                    </a:xfrm>
                    <a:prstGeom prst="rect"/>
                  </pic:spPr>
                </pic:pic>
              </a:graphicData>
            </a:graphic>
          </wp:inline>
        </w:drawing>
      </w:r>
    </w:p>
    <w:p>
      <w:pPr>
        <w:spacing w:before="60" w:after="0"/>
        <w:jc w:val="center"/>
      </w:pPr>
      <w:r>
        <w:rPr>
          <w:rFonts w:ascii="Calibri" w:hAnsi="Calibri" w:cs="Calibri" w:eastAsia="Calibri"/>
          <w:b w:val="0"/>
          <w:i/>
          <w:color w:val="5A6E80"/>
          <w:sz w:val="17"/>
        </w:rPr>
        <w:t>Офисный этаж: рабочее помещение</w:t>
      </w:r>
    </w:p>
    <w:p>
      <w:pPr>
        <w:keepNext w:val="1"/>
        <w:spacing w:before="280" w:after="0" w:line="240" w:lineRule="auto"/>
        <w:ind w:left="0" w:right="0" w:firstLine="0"/>
        <w:jc w:val="center"/>
      </w:pPr>
      <w:r>
        <w:drawing>
          <wp:inline xmlns:a="http://schemas.openxmlformats.org/drawingml/2006/main" xmlns:pic="http://schemas.openxmlformats.org/drawingml/2006/picture">
            <wp:extent cx="2078933" cy="2617466"/>
            <wp:docPr id="47" name="Picture 47"/>
            <wp:cNvGraphicFramePr>
              <a:graphicFrameLocks noChangeAspect="1"/>
            </wp:cNvGraphicFramePr>
            <a:graphic>
              <a:graphicData uri="http://schemas.openxmlformats.org/drawingml/2006/picture">
                <pic:pic>
                  <pic:nvPicPr>
                    <pic:cNvPr id="0" name="ab3f0bb9ab72dcbd.jpg"/>
                    <pic:cNvPicPr/>
                  </pic:nvPicPr>
                  <pic:blipFill>
                    <a:blip r:embed="rId66"/>
                    <a:stretch>
                      <a:fillRect/>
                    </a:stretch>
                  </pic:blipFill>
                  <pic:spPr>
                    <a:xfrm>
                      <a:off x="0" y="0"/>
                      <a:ext cx="2078933" cy="2617466"/>
                    </a:xfrm>
                    <a:prstGeom prst="rect"/>
                  </pic:spPr>
                </pic:pic>
              </a:graphicData>
            </a:graphic>
          </wp:inline>
        </w:drawing>
      </w:r>
    </w:p>
    <w:p>
      <w:pPr>
        <w:spacing w:before="60" w:after="0"/>
        <w:jc w:val="center"/>
      </w:pPr>
      <w:r>
        <w:rPr>
          <w:rFonts w:ascii="Calibri" w:hAnsi="Calibri" w:cs="Calibri" w:eastAsia="Calibri"/>
          <w:b w:val="0"/>
          <w:i/>
          <w:color w:val="5A6E80"/>
          <w:sz w:val="17"/>
        </w:rPr>
        <w:t>Поэтажный план: первый этаж, помещение шинного сервиса Euromaster (≈ 1.375 м², выделено цветом)</w:t>
      </w:r>
    </w:p>
    <w:p>
      <w:pPr>
        <w:keepNext w:val="1"/>
        <w:spacing w:before="280" w:after="0" w:line="240" w:lineRule="auto"/>
        <w:ind w:left="0" w:right="0" w:firstLine="0"/>
        <w:jc w:val="center"/>
      </w:pPr>
      <w:r>
        <w:drawing>
          <wp:inline xmlns:a="http://schemas.openxmlformats.org/drawingml/2006/main" xmlns:pic="http://schemas.openxmlformats.org/drawingml/2006/picture">
            <wp:extent cx="2075086" cy="2617466"/>
            <wp:docPr id="48" name="Picture 48"/>
            <wp:cNvGraphicFramePr>
              <a:graphicFrameLocks noChangeAspect="1"/>
            </wp:cNvGraphicFramePr>
            <a:graphic>
              <a:graphicData uri="http://schemas.openxmlformats.org/drawingml/2006/picture">
                <pic:pic>
                  <pic:nvPicPr>
                    <pic:cNvPr id="0" name="ce61d235586cf0c7.jpg"/>
                    <pic:cNvPicPr/>
                  </pic:nvPicPr>
                  <pic:blipFill>
                    <a:blip r:embed="rId67"/>
                    <a:stretch>
                      <a:fillRect/>
                    </a:stretch>
                  </pic:blipFill>
                  <pic:spPr>
                    <a:xfrm>
                      <a:off x="0" y="0"/>
                      <a:ext cx="2075086" cy="2617466"/>
                    </a:xfrm>
                    <a:prstGeom prst="rect"/>
                  </pic:spPr>
                </pic:pic>
              </a:graphicData>
            </a:graphic>
          </wp:inline>
        </w:drawing>
      </w:r>
    </w:p>
    <w:p>
      <w:pPr>
        <w:spacing w:before="60" w:after="0"/>
        <w:jc w:val="center"/>
      </w:pPr>
      <w:r>
        <w:rPr>
          <w:rFonts w:ascii="Calibri" w:hAnsi="Calibri" w:cs="Calibri" w:eastAsia="Calibri"/>
          <w:b w:val="0"/>
          <w:i/>
          <w:color w:val="5A6E80"/>
          <w:sz w:val="17"/>
        </w:rPr>
        <w:t>Поэтажный план: второй этаж, офисная часть Archimedesbaan 7‑9 (≈ 490 м², выделено цветом)</w:t>
      </w:r>
    </w:p>
    <w:p>
      <w:pPr>
        <w:sectPr>
          <w:headerReference w:type="default" r:id="rId49"/>
          <w:footerReference w:type="default" r:id="rId50"/>
          <w:pgSz w:w="11906" w:h="16838"/>
          <w:pgMar w:top="1077" w:right="1174" w:bottom="1134" w:left="1174" w:header="680" w:footer="680" w:gutter="0"/>
          <w:cols w:space="720"/>
          <w:docGrid w:linePitch="360"/>
        </w:sectPr>
      </w:pPr>
    </w:p>
    <w:p>
      <w:pPr>
        <w:keepNext w:val="1"/>
        <w:keepLines w:val="1"/>
        <w:pBdr>
          <w:bottom w:val="single" w:sz="8" w:space="4" w:color="1A3A5C"/>
        </w:pBdr>
        <w:spacing w:before="320" w:after="160"/>
      </w:pPr>
      <w:r>
        <w:rPr>
          <w:rFonts w:ascii="Calibri" w:hAnsi="Calibri" w:cs="Calibri" w:eastAsia="Calibri"/>
          <w:b/>
          <w:i w:val="0"/>
          <w:color w:val="1A3A5C"/>
          <w:spacing w:val="24"/>
          <w:sz w:val="22"/>
        </w:rPr>
        <w:t>МЕТОДИКА, ИСТОЧНИКИ И ГЛОССАРИЙ</w:t>
      </w:r>
    </w:p>
    <w:tbl>
      <w:tblPr>
        <w:tblW w:type="auto" w:w="0"/>
        <w:tblBorders>
          <w:top w:val="single" w:sz="4" w:space="0" w:color="DDE3EA"/>
          <w:start w:val="single" w:sz="18" w:space="0" w:color="C9A961"/>
          <w:bottom w:val="single" w:sz="4" w:space="0" w:color="DDE3EA"/>
          <w:end w:val="single" w:sz="4" w:space="0" w:color="DDE3EA"/>
          <w:insideH w:val="none" w:sz="0" w:space="0" w:color="auto"/>
          <w:insideV w:val="none" w:sz="0" w:space="0" w:color="auto"/>
        </w:tblBorders>
        <w:tblLayout w:type="fixed"/>
        <w:tblLook w:firstColumn="1" w:firstRow="1" w:lastColumn="0" w:lastRow="0" w:noHBand="0" w:noVBand="1" w:val="04A0"/>
      </w:tblPr>
      <w:tblGrid>
        <w:gridCol w:w="9558"/>
      </w:tblGrid>
      <w:tr>
        <w:tc>
          <w:tcPr>
            <w:tcW w:type="dxa" w:w="9558"/>
            <w:shd w:val="clear" w:color="auto" w:fill="FFFFFF"/>
            <w:tcMar>
              <w:top w:w="160" w:type="dxa"/>
              <w:start w:w="240" w:type="dxa"/>
              <w:bottom w:w="160" w:type="dxa"/>
              <w:end w:w="240" w:type="dxa"/>
            </w:tcMar>
          </w:tcPr>
          <w:p>
            <w:pPr>
              <w:spacing w:after="140"/>
            </w:pPr>
            <w:r>
              <w:rPr>
                <w:rFonts w:ascii="Calibri" w:hAnsi="Calibri" w:cs="Calibri" w:eastAsia="Calibri"/>
                <w:b/>
                <w:i w:val="0"/>
                <w:color w:val="1A3A5C"/>
                <w:spacing w:val="24"/>
                <w:sz w:val="21"/>
              </w:rPr>
              <w:t>КАК СЧИТАЛИСЬ ПОКАЗАТЕЛИ</w:t>
            </w:r>
          </w:p>
          <w:p>
            <w:pPr>
              <w:keepNext w:val="1"/>
              <w:keepLines w:val="1"/>
              <w:tabs>
                <w:tab w:val="left" w:pos="480"/>
              </w:tabs>
              <w:spacing w:before="0" w:after="50"/>
              <w:ind w:left="480" w:hanging="240"/>
            </w:pPr>
            <w:r>
              <w:rPr>
                <w:rFonts w:ascii="Calibri" w:hAnsi="Calibri" w:cs="Calibri" w:eastAsia="Calibri"/>
                <w:b w:val="0"/>
                <w:i w:val="0"/>
                <w:color w:val="C9A961"/>
                <w:sz w:val="21"/>
              </w:rPr>
              <w:t>•</w:t>
            </w:r>
            <w:r>
              <w:rPr>
                <w:rFonts w:ascii="Calibri" w:hAnsi="Calibri" w:cs="Calibri" w:eastAsia="Calibri"/>
                <w:b w:val="0"/>
                <w:i w:val="0"/>
                <w:color w:val="2C2C2C"/>
                <w:sz w:val="19"/>
              </w:rPr>
              <w:tab/>
            </w:r>
            <w:r>
              <w:rPr>
                <w:rFonts w:ascii="Calibri" w:hAnsi="Calibri" w:cs="Calibri" w:eastAsia="Calibri"/>
                <w:b/>
                <w:i w:val="0"/>
                <w:color w:val="1A3A5C"/>
                <w:sz w:val="19"/>
              </w:rPr>
              <w:t>BAR к цене</w:t>
            </w:r>
            <w:r>
              <w:rPr>
                <w:rFonts w:ascii="Calibri" w:hAnsi="Calibri" w:cs="Calibri" w:eastAsia="Calibri"/>
                <w:b w:val="0"/>
                <w:i w:val="0"/>
                <w:color w:val="2C2C2C"/>
                <w:sz w:val="19"/>
              </w:rPr>
              <w:t xml:space="preserve"> — </w:t>
            </w:r>
            <w:r>
              <w:rPr>
                <w:rFonts w:ascii="Calibri" w:hAnsi="Calibri" w:cs="Calibri" w:eastAsia="Calibri"/>
                <w:b w:val="0"/>
                <w:i w:val="0"/>
                <w:color w:val="2C2C2C"/>
                <w:sz w:val="19"/>
              </w:rPr>
              <w:t>валовой доход от аренды за год ÷ запрашиваемая цена</w:t>
            </w:r>
          </w:p>
          <w:p>
            <w:pPr>
              <w:keepLines w:val="1"/>
              <w:tabs>
                <w:tab w:val="left" w:pos="480"/>
              </w:tabs>
              <w:spacing w:before="0" w:after="50"/>
              <w:ind w:left="480" w:hanging="240"/>
            </w:pPr>
            <w:r>
              <w:rPr>
                <w:rFonts w:ascii="Calibri" w:hAnsi="Calibri" w:cs="Calibri" w:eastAsia="Calibri"/>
                <w:b w:val="0"/>
                <w:i w:val="0"/>
                <w:color w:val="C9A961"/>
                <w:sz w:val="21"/>
              </w:rPr>
              <w:t>•</w:t>
            </w:r>
            <w:r>
              <w:rPr>
                <w:rFonts w:ascii="Calibri" w:hAnsi="Calibri" w:cs="Calibri" w:eastAsia="Calibri"/>
                <w:b w:val="0"/>
                <w:i w:val="0"/>
                <w:color w:val="2C2C2C"/>
                <w:sz w:val="19"/>
              </w:rPr>
              <w:tab/>
            </w:r>
            <w:r>
              <w:rPr>
                <w:rFonts w:ascii="Calibri" w:hAnsi="Calibri" w:cs="Calibri" w:eastAsia="Calibri"/>
                <w:b/>
                <w:i w:val="0"/>
                <w:color w:val="1A3A5C"/>
                <w:sz w:val="19"/>
              </w:rPr>
              <w:t>BAR к цене входа</w:t>
            </w:r>
            <w:r>
              <w:rPr>
                <w:rFonts w:ascii="Calibri" w:hAnsi="Calibri" w:cs="Calibri" w:eastAsia="Calibri"/>
                <w:b w:val="0"/>
                <w:i w:val="0"/>
                <w:color w:val="2C2C2C"/>
                <w:sz w:val="19"/>
              </w:rPr>
              <w:t xml:space="preserve"> — </w:t>
            </w:r>
            <w:r>
              <w:rPr>
                <w:rFonts w:ascii="Calibri" w:hAnsi="Calibri" w:cs="Calibri" w:eastAsia="Calibri"/>
                <w:b w:val="0"/>
                <w:i w:val="0"/>
                <w:color w:val="2C2C2C"/>
                <w:sz w:val="19"/>
              </w:rPr>
              <w:t>валовой доход от аренды за год ÷ цена входа</w:t>
            </w:r>
          </w:p>
          <w:p>
            <w:pPr>
              <w:keepLines w:val="1"/>
              <w:tabs>
                <w:tab w:val="left" w:pos="480"/>
              </w:tabs>
              <w:spacing w:before="0" w:after="50"/>
              <w:ind w:left="480" w:hanging="240"/>
            </w:pPr>
            <w:r>
              <w:rPr>
                <w:rFonts w:ascii="Calibri" w:hAnsi="Calibri" w:cs="Calibri" w:eastAsia="Calibri"/>
                <w:b w:val="0"/>
                <w:i w:val="0"/>
                <w:color w:val="C9A961"/>
                <w:sz w:val="21"/>
              </w:rPr>
              <w:t>•</w:t>
            </w:r>
            <w:r>
              <w:rPr>
                <w:rFonts w:ascii="Calibri" w:hAnsi="Calibri" w:cs="Calibri" w:eastAsia="Calibri"/>
                <w:b w:val="0"/>
                <w:i w:val="0"/>
                <w:color w:val="2C2C2C"/>
                <w:sz w:val="19"/>
              </w:rPr>
              <w:tab/>
            </w:r>
            <w:r>
              <w:rPr>
                <w:rFonts w:ascii="Calibri" w:hAnsi="Calibri" w:cs="Calibri" w:eastAsia="Calibri"/>
                <w:b/>
                <w:i w:val="0"/>
                <w:color w:val="1A3A5C"/>
                <w:sz w:val="19"/>
              </w:rPr>
              <w:t>NAR к цене входа</w:t>
            </w:r>
            <w:r>
              <w:rPr>
                <w:rFonts w:ascii="Calibri" w:hAnsi="Calibri" w:cs="Calibri" w:eastAsia="Calibri"/>
                <w:b w:val="0"/>
                <w:i w:val="0"/>
                <w:color w:val="2C2C2C"/>
                <w:sz w:val="19"/>
              </w:rPr>
              <w:t xml:space="preserve"> — </w:t>
            </w:r>
            <w:r>
              <w:rPr>
                <w:rFonts w:ascii="Calibri" w:hAnsi="Calibri" w:cs="Calibri" w:eastAsia="Calibri"/>
                <w:b w:val="0"/>
                <w:i w:val="0"/>
                <w:color w:val="2C2C2C"/>
                <w:sz w:val="19"/>
              </w:rPr>
              <w:t>(валовой доход от аренды за год − эксплуатационные расходы собственника) ÷ цена входа</w:t>
            </w:r>
          </w:p>
          <w:p>
            <w:pPr>
              <w:keepLines w:val="1"/>
              <w:tabs>
                <w:tab w:val="left" w:pos="480"/>
              </w:tabs>
              <w:spacing w:before="0" w:after="50"/>
              <w:ind w:left="480" w:hanging="240"/>
            </w:pPr>
            <w:r>
              <w:rPr>
                <w:rFonts w:ascii="Calibri" w:hAnsi="Calibri" w:cs="Calibri" w:eastAsia="Calibri"/>
                <w:b w:val="0"/>
                <w:i w:val="0"/>
                <w:color w:val="C9A961"/>
                <w:sz w:val="21"/>
              </w:rPr>
              <w:t>•</w:t>
            </w:r>
            <w:r>
              <w:rPr>
                <w:rFonts w:ascii="Calibri" w:hAnsi="Calibri" w:cs="Calibri" w:eastAsia="Calibri"/>
                <w:b w:val="0"/>
                <w:i w:val="0"/>
                <w:color w:val="2C2C2C"/>
                <w:sz w:val="19"/>
              </w:rPr>
              <w:tab/>
            </w:r>
            <w:r>
              <w:rPr>
                <w:rFonts w:ascii="Calibri" w:hAnsi="Calibri" w:cs="Calibri" w:eastAsia="Calibri"/>
                <w:b/>
                <w:i w:val="0"/>
                <w:color w:val="1A3A5C"/>
                <w:sz w:val="19"/>
              </w:rPr>
              <w:t>BAR по листингу</w:t>
            </w:r>
            <w:r>
              <w:rPr>
                <w:rFonts w:ascii="Calibri" w:hAnsi="Calibri" w:cs="Calibri" w:eastAsia="Calibri"/>
                <w:b w:val="0"/>
                <w:i w:val="0"/>
                <w:color w:val="2C2C2C"/>
                <w:sz w:val="19"/>
              </w:rPr>
              <w:t xml:space="preserve"> — </w:t>
            </w:r>
            <w:r>
              <w:rPr>
                <w:rFonts w:ascii="Calibri" w:hAnsi="Calibri" w:cs="Calibri" w:eastAsia="Calibri"/>
                <w:b w:val="0"/>
                <w:i w:val="0"/>
                <w:color w:val="2C2C2C"/>
                <w:sz w:val="19"/>
              </w:rPr>
              <w:t>рыночная арендная стоимость по листингу ÷ запрашиваемая цена; показывает потенциал объекта, а не текущий доход</w:t>
            </w:r>
          </w:p>
          <w:p>
            <w:pPr>
              <w:keepLines w:val="1"/>
              <w:tabs>
                <w:tab w:val="left" w:pos="480"/>
              </w:tabs>
              <w:spacing w:before="0" w:after="50"/>
              <w:ind w:left="480" w:hanging="240"/>
            </w:pPr>
            <w:r>
              <w:rPr>
                <w:rFonts w:ascii="Calibri" w:hAnsi="Calibri" w:cs="Calibri" w:eastAsia="Calibri"/>
                <w:b w:val="0"/>
                <w:i w:val="0"/>
                <w:color w:val="C9A961"/>
                <w:sz w:val="21"/>
              </w:rPr>
              <w:t>•</w:t>
            </w:r>
            <w:r>
              <w:rPr>
                <w:rFonts w:ascii="Calibri" w:hAnsi="Calibri" w:cs="Calibri" w:eastAsia="Calibri"/>
                <w:b w:val="0"/>
                <w:i w:val="0"/>
                <w:color w:val="2C2C2C"/>
                <w:sz w:val="19"/>
              </w:rPr>
              <w:tab/>
            </w:r>
            <w:r>
              <w:rPr>
                <w:rFonts w:ascii="Calibri" w:hAnsi="Calibri" w:cs="Calibri" w:eastAsia="Calibri"/>
                <w:b/>
                <w:i w:val="0"/>
                <w:color w:val="1A3A5C"/>
                <w:sz w:val="19"/>
              </w:rPr>
              <w:t>Цена входа (с k.k.)</w:t>
            </w:r>
            <w:r>
              <w:rPr>
                <w:rFonts w:ascii="Calibri" w:hAnsi="Calibri" w:cs="Calibri" w:eastAsia="Calibri"/>
                <w:b w:val="0"/>
                <w:i w:val="0"/>
                <w:color w:val="2C2C2C"/>
                <w:sz w:val="19"/>
              </w:rPr>
              <w:t xml:space="preserve"> — </w:t>
            </w:r>
            <w:r>
              <w:rPr>
                <w:rFonts w:ascii="Calibri" w:hAnsi="Calibri" w:cs="Calibri" w:eastAsia="Calibri"/>
                <w:b w:val="0"/>
                <w:i w:val="0"/>
                <w:color w:val="2C2C2C"/>
                <w:sz w:val="19"/>
              </w:rPr>
              <w:t>запрашиваемая цена + overdrachtsbelasting 10,4 % + расходы по сделке 1,2 % (нотариус, кадастр, проверка объекта)</w:t>
            </w:r>
          </w:p>
          <w:p>
            <w:pPr>
              <w:keepLines w:val="1"/>
              <w:tabs>
                <w:tab w:val="left" w:pos="480"/>
              </w:tabs>
              <w:spacing w:before="0" w:after="50"/>
              <w:ind w:left="480" w:hanging="240"/>
            </w:pPr>
            <w:r>
              <w:rPr>
                <w:rFonts w:ascii="Calibri" w:hAnsi="Calibri" w:cs="Calibri" w:eastAsia="Calibri"/>
                <w:b w:val="0"/>
                <w:i w:val="0"/>
                <w:color w:val="C9A961"/>
                <w:sz w:val="21"/>
              </w:rPr>
              <w:t>•</w:t>
            </w:r>
            <w:r>
              <w:rPr>
                <w:rFonts w:ascii="Calibri" w:hAnsi="Calibri" w:cs="Calibri" w:eastAsia="Calibri"/>
                <w:b w:val="0"/>
                <w:i w:val="0"/>
                <w:color w:val="2C2C2C"/>
                <w:sz w:val="19"/>
              </w:rPr>
              <w:tab/>
            </w:r>
            <w:r>
              <w:rPr>
                <w:rFonts w:ascii="Calibri" w:hAnsi="Calibri" w:cs="Calibri" w:eastAsia="Calibri"/>
                <w:b/>
                <w:i w:val="0"/>
                <w:color w:val="1A3A5C"/>
                <w:sz w:val="19"/>
              </w:rPr>
              <w:t>Эксплуатационные расходы</w:t>
            </w:r>
            <w:r>
              <w:rPr>
                <w:rFonts w:ascii="Calibri" w:hAnsi="Calibri" w:cs="Calibri" w:eastAsia="Calibri"/>
                <w:b w:val="0"/>
                <w:i w:val="0"/>
                <w:color w:val="2C2C2C"/>
                <w:sz w:val="19"/>
              </w:rPr>
              <w:t xml:space="preserve"> — </w:t>
            </w:r>
            <w:r>
              <w:rPr>
                <w:rFonts w:ascii="Calibri" w:hAnsi="Calibri" w:cs="Calibri" w:eastAsia="Calibri"/>
                <w:b w:val="0"/>
                <w:i w:val="0"/>
                <w:color w:val="2C2C2C"/>
                <w:sz w:val="19"/>
              </w:rPr>
              <w:t>доля от валовой аренды задана по каждому объекту отдельно: Steenovenweg 11‑13 — 12,0 %; Decimalaan 3‑5‑7‑9 и Nieuw‑Amsterdamlaan 4‑6 — 30,0 %; Archimedesbaan 11 и 7‑9 — 22,0 %</w:t>
            </w:r>
          </w:p>
          <w:p>
            <w:pPr>
              <w:keepLines w:val="1"/>
              <w:tabs>
                <w:tab w:val="left" w:pos="480"/>
              </w:tabs>
              <w:spacing w:before="0" w:after="50"/>
              <w:ind w:left="480" w:hanging="240"/>
            </w:pPr>
            <w:r>
              <w:rPr>
                <w:rFonts w:ascii="Calibri" w:hAnsi="Calibri" w:cs="Calibri" w:eastAsia="Calibri"/>
                <w:b w:val="0"/>
                <w:i w:val="0"/>
                <w:color w:val="C9A961"/>
                <w:sz w:val="21"/>
              </w:rPr>
              <w:t>•</w:t>
            </w:r>
            <w:r>
              <w:rPr>
                <w:rFonts w:ascii="Calibri" w:hAnsi="Calibri" w:cs="Calibri" w:eastAsia="Calibri"/>
                <w:b w:val="0"/>
                <w:i w:val="0"/>
                <w:color w:val="2C2C2C"/>
                <w:sz w:val="19"/>
              </w:rPr>
              <w:tab/>
            </w:r>
            <w:r>
              <w:rPr>
                <w:rFonts w:ascii="Calibri" w:hAnsi="Calibri" w:cs="Calibri" w:eastAsia="Calibri"/>
                <w:b/>
                <w:i w:val="0"/>
                <w:color w:val="1A3A5C"/>
                <w:sz w:val="19"/>
              </w:rPr>
              <w:t>Ставка overdrachtsbelasting</w:t>
            </w:r>
            <w:r>
              <w:rPr>
                <w:rFonts w:ascii="Calibri" w:hAnsi="Calibri" w:cs="Calibri" w:eastAsia="Calibri"/>
                <w:b w:val="0"/>
                <w:i w:val="0"/>
                <w:color w:val="2C2C2C"/>
                <w:sz w:val="19"/>
              </w:rPr>
              <w:t xml:space="preserve"> — </w:t>
            </w:r>
            <w:r>
              <w:rPr>
                <w:rFonts w:ascii="Calibri" w:hAnsi="Calibri" w:cs="Calibri" w:eastAsia="Calibri"/>
                <w:b w:val="0"/>
                <w:i w:val="0"/>
                <w:color w:val="2C2C2C"/>
                <w:sz w:val="19"/>
              </w:rPr>
              <w:t>10,4 % — ставка для нежилой недвижимости, 2026 год (Belastingdienst); объявленное снижение до 8 % касается только жилья</w:t>
            </w:r>
          </w:p>
          <w:p>
            <w:pPr>
              <w:keepLines w:val="1"/>
              <w:tabs>
                <w:tab w:val="left" w:pos="480"/>
              </w:tabs>
              <w:spacing w:before="0" w:after="50"/>
              <w:ind w:left="480" w:hanging="240"/>
            </w:pPr>
            <w:r>
              <w:rPr>
                <w:rFonts w:ascii="Calibri" w:hAnsi="Calibri" w:cs="Calibri" w:eastAsia="Calibri"/>
                <w:b w:val="0"/>
                <w:i w:val="0"/>
                <w:color w:val="C9A961"/>
                <w:sz w:val="21"/>
              </w:rPr>
              <w:t>•</w:t>
            </w:r>
            <w:r>
              <w:rPr>
                <w:rFonts w:ascii="Calibri" w:hAnsi="Calibri" w:cs="Calibri" w:eastAsia="Calibri"/>
                <w:b w:val="0"/>
                <w:i w:val="0"/>
                <w:color w:val="2C2C2C"/>
                <w:sz w:val="19"/>
              </w:rPr>
              <w:tab/>
            </w:r>
            <w:r>
              <w:rPr>
                <w:rFonts w:ascii="Calibri" w:hAnsi="Calibri" w:cs="Calibri" w:eastAsia="Calibri"/>
                <w:b/>
                <w:i w:val="0"/>
                <w:color w:val="1A3A5C"/>
                <w:sz w:val="19"/>
              </w:rPr>
              <w:t>Форматы дат</w:t>
            </w:r>
            <w:r>
              <w:rPr>
                <w:rFonts w:ascii="Calibri" w:hAnsi="Calibri" w:cs="Calibri" w:eastAsia="Calibri"/>
                <w:b w:val="0"/>
                <w:i w:val="0"/>
                <w:color w:val="2C2C2C"/>
                <w:sz w:val="19"/>
              </w:rPr>
              <w:t xml:space="preserve"> — </w:t>
            </w:r>
            <w:r>
              <w:rPr>
                <w:rFonts w:ascii="Calibri" w:hAnsi="Calibri" w:cs="Calibri" w:eastAsia="Calibri"/>
                <w:b w:val="0"/>
                <w:i w:val="0"/>
                <w:color w:val="2C2C2C"/>
                <w:sz w:val="19"/>
              </w:rPr>
              <w:t>даты договоров, решений и энергетических сертификатов приведены в нидерландском формате ДД-ММ-ГГГГ, дата подготовки отчёта — ДД.ММ.ГГГГ</w:t>
            </w:r>
          </w:p>
          <w:p>
            <w:pPr>
              <w:keepLines w:val="1"/>
              <w:tabs>
                <w:tab w:val="left" w:pos="480"/>
              </w:tabs>
              <w:spacing w:before="0" w:after="50"/>
              <w:ind w:left="480" w:hanging="240"/>
            </w:pPr>
            <w:r>
              <w:rPr>
                <w:rFonts w:ascii="Calibri" w:hAnsi="Calibri" w:cs="Calibri" w:eastAsia="Calibri"/>
                <w:b w:val="0"/>
                <w:i w:val="0"/>
                <w:color w:val="C9A961"/>
                <w:sz w:val="21"/>
              </w:rPr>
              <w:t>•</w:t>
            </w:r>
            <w:r>
              <w:rPr>
                <w:rFonts w:ascii="Calibri" w:hAnsi="Calibri" w:cs="Calibri" w:eastAsia="Calibri"/>
                <w:b w:val="0"/>
                <w:i w:val="0"/>
                <w:color w:val="2C2C2C"/>
                <w:sz w:val="19"/>
              </w:rPr>
              <w:tab/>
            </w:r>
            <w:r>
              <w:rPr>
                <w:rFonts w:ascii="Calibri" w:hAnsi="Calibri" w:cs="Calibri" w:eastAsia="Calibri"/>
                <w:b/>
                <w:i w:val="0"/>
                <w:color w:val="1A3A5C"/>
                <w:sz w:val="19"/>
              </w:rPr>
              <w:t>Округление</w:t>
            </w:r>
            <w:r>
              <w:rPr>
                <w:rFonts w:ascii="Calibri" w:hAnsi="Calibri" w:cs="Calibri" w:eastAsia="Calibri"/>
                <w:b w:val="0"/>
                <w:i w:val="0"/>
                <w:color w:val="2C2C2C"/>
                <w:sz w:val="19"/>
              </w:rPr>
              <w:t xml:space="preserve"> — </w:t>
            </w:r>
            <w:r>
              <w:rPr>
                <w:rFonts w:ascii="Calibri" w:hAnsi="Calibri" w:cs="Calibri" w:eastAsia="Calibri"/>
                <w:b w:val="0"/>
                <w:i w:val="0"/>
                <w:color w:val="2C2C2C"/>
                <w:sz w:val="19"/>
              </w:rPr>
              <w:t>денежные величины — до целых евро, доходности — до одного знака после запятой; копейки остаются только в разбивке по арендаторам</w:t>
            </w:r>
          </w:p>
        </w:tc>
      </w:tr>
    </w:tbl>
    <w:p>
      <w:pPr>
        <w:spacing w:before="0" w:after="0" w:line="240" w:lineRule="auto"/>
      </w:pPr>
      <w:r>
        <w:rPr>
          <w:rFonts w:ascii="Calibri" w:hAnsi="Calibri" w:cs="Calibri" w:eastAsia="Calibri"/>
          <w:b w:val="0"/>
          <w:i w:val="0"/>
          <w:color w:val="2C2C2C"/>
          <w:sz w:val="12"/>
        </w:rPr>
      </w:r>
    </w:p>
    <w:tbl>
      <w:tblPr>
        <w:tblW w:type="auto" w:w="0"/>
        <w:tblBorders>
          <w:top w:val="single" w:sz="4" w:space="0" w:color="DDE3EA"/>
          <w:start w:val="single" w:sz="18" w:space="0" w:color="C9A961"/>
          <w:bottom w:val="single" w:sz="4" w:space="0" w:color="DDE3EA"/>
          <w:end w:val="single" w:sz="4" w:space="0" w:color="DDE3EA"/>
          <w:insideH w:val="none" w:sz="0" w:space="0" w:color="auto"/>
          <w:insideV w:val="none" w:sz="0" w:space="0" w:color="auto"/>
        </w:tblBorders>
        <w:tblLayout w:type="fixed"/>
        <w:tblLook w:firstColumn="1" w:firstRow="1" w:lastColumn="0" w:lastRow="0" w:noHBand="0" w:noVBand="1" w:val="04A0"/>
      </w:tblPr>
      <w:tblGrid>
        <w:gridCol w:w="9558"/>
      </w:tblGrid>
      <w:tr>
        <w:tc>
          <w:tcPr>
            <w:tcW w:type="dxa" w:w="9558"/>
            <w:shd w:val="clear" w:color="auto" w:fill="FFFFFF"/>
            <w:tcMar>
              <w:top w:w="160" w:type="dxa"/>
              <w:start w:w="240" w:type="dxa"/>
              <w:bottom w:w="160" w:type="dxa"/>
              <w:end w:w="240" w:type="dxa"/>
            </w:tcMar>
          </w:tcPr>
          <w:p>
            <w:pPr>
              <w:spacing w:after="140"/>
            </w:pPr>
            <w:r>
              <w:rPr>
                <w:rFonts w:ascii="Calibri" w:hAnsi="Calibri" w:cs="Calibri" w:eastAsia="Calibri"/>
                <w:b/>
                <w:i w:val="0"/>
                <w:color w:val="1A3A5C"/>
                <w:spacing w:val="24"/>
                <w:sz w:val="21"/>
              </w:rPr>
              <w:t>ИСТОЧНИКИ И ДАТА ДАННЫХ</w:t>
            </w:r>
          </w:p>
          <w:p>
            <w:pPr>
              <w:keepNext w:val="1"/>
              <w:keepLines w:val="1"/>
              <w:tabs>
                <w:tab w:val="left" w:pos="480"/>
              </w:tabs>
              <w:spacing w:before="0" w:after="50"/>
              <w:ind w:left="480" w:hanging="240"/>
            </w:pPr>
            <w:r>
              <w:rPr>
                <w:rFonts w:ascii="Calibri" w:hAnsi="Calibri" w:cs="Calibri" w:eastAsia="Calibri"/>
                <w:b w:val="0"/>
                <w:i w:val="0"/>
                <w:color w:val="C9A961"/>
                <w:sz w:val="21"/>
              </w:rPr>
              <w:t>•</w:t>
            </w:r>
            <w:r>
              <w:rPr>
                <w:rFonts w:ascii="Calibri" w:hAnsi="Calibri" w:cs="Calibri" w:eastAsia="Calibri"/>
                <w:b w:val="0"/>
                <w:i w:val="0"/>
                <w:color w:val="2C2C2C"/>
                <w:sz w:val="19"/>
              </w:rPr>
              <w:tab/>
            </w:r>
            <w:r>
              <w:rPr>
                <w:rFonts w:ascii="Calibri" w:hAnsi="Calibri" w:cs="Calibri" w:eastAsia="Calibri"/>
                <w:b/>
                <w:i w:val="0"/>
                <w:color w:val="1A3A5C"/>
                <w:sz w:val="19"/>
              </w:rPr>
              <w:t>Дата выгрузки данных</w:t>
            </w:r>
            <w:r>
              <w:rPr>
                <w:rFonts w:ascii="Calibri" w:hAnsi="Calibri" w:cs="Calibri" w:eastAsia="Calibri"/>
                <w:b w:val="0"/>
                <w:i w:val="0"/>
                <w:color w:val="2C2C2C"/>
                <w:sz w:val="19"/>
              </w:rPr>
              <w:t xml:space="preserve"> — </w:t>
            </w:r>
            <w:r>
              <w:rPr>
                <w:rFonts w:ascii="Calibri" w:hAnsi="Calibri" w:cs="Calibri" w:eastAsia="Calibri"/>
                <w:b w:val="0"/>
                <w:i w:val="0"/>
                <w:color w:val="2C2C2C"/>
                <w:sz w:val="19"/>
              </w:rPr>
              <w:t>27.07.2026 — листинги и расчёты приведены по состоянию на эту дату</w:t>
            </w:r>
          </w:p>
          <w:p>
            <w:pPr>
              <w:keepLines w:val="1"/>
              <w:tabs>
                <w:tab w:val="left" w:pos="480"/>
              </w:tabs>
              <w:spacing w:before="0" w:after="50"/>
              <w:ind w:left="480" w:hanging="240"/>
            </w:pPr>
            <w:r>
              <w:rPr>
                <w:rFonts w:ascii="Calibri" w:hAnsi="Calibri" w:cs="Calibri" w:eastAsia="Calibri"/>
                <w:b w:val="0"/>
                <w:i w:val="0"/>
                <w:color w:val="C9A961"/>
                <w:sz w:val="21"/>
              </w:rPr>
              <w:t>•</w:t>
            </w:r>
            <w:r>
              <w:rPr>
                <w:rFonts w:ascii="Calibri" w:hAnsi="Calibri" w:cs="Calibri" w:eastAsia="Calibri"/>
                <w:b w:val="0"/>
                <w:i w:val="0"/>
                <w:color w:val="2C2C2C"/>
                <w:sz w:val="19"/>
              </w:rPr>
              <w:tab/>
            </w:r>
            <w:r>
              <w:rPr>
                <w:rFonts w:ascii="Calibri" w:hAnsi="Calibri" w:cs="Calibri" w:eastAsia="Calibri"/>
                <w:b/>
                <w:i w:val="0"/>
                <w:color w:val="1A3A5C"/>
                <w:sz w:val="19"/>
              </w:rPr>
              <w:t>Steenovenweg 11‑13, Montfoort</w:t>
            </w:r>
            <w:r>
              <w:rPr>
                <w:rFonts w:ascii="Calibri" w:hAnsi="Calibri" w:cs="Calibri" w:eastAsia="Calibri"/>
                <w:b w:val="0"/>
                <w:i w:val="0"/>
                <w:color w:val="2C2C2C"/>
                <w:sz w:val="19"/>
              </w:rPr>
              <w:t xml:space="preserve"> — </w:t>
            </w:r>
            <w:r>
              <w:rPr>
                <w:rFonts w:ascii="Calibri" w:hAnsi="Calibri" w:cs="Calibri" w:eastAsia="Calibri"/>
                <w:b w:val="0"/>
                <w:i w:val="0"/>
                <w:color w:val="2C2C2C"/>
                <w:sz w:val="19"/>
              </w:rPr>
              <w:t xml:space="preserve">funda in business — </w:t>
            </w:r>
            <w:hyperlink r:id="rId14">
              <w:r>
                <w:rPr>
                  <w:rFonts w:ascii="Calibri" w:hAnsi="Calibri" w:cs="Calibri" w:eastAsia="Calibri"/>
                  <w:b w:val="0"/>
                  <w:i w:val="0"/>
                  <w:color w:val="1A3A5C"/>
                  <w:sz w:val="19"/>
                  <w:u w:val="single"/>
                </w:rPr>
                <w:t>https://www.fundainbusiness.nl/en/belegging/montfoort/object-44425433-steenovenweg-11-13/</w:t>
              </w:r>
            </w:hyperlink>
          </w:p>
          <w:p>
            <w:pPr>
              <w:keepLines w:val="1"/>
              <w:tabs>
                <w:tab w:val="left" w:pos="480"/>
              </w:tabs>
              <w:spacing w:before="0" w:after="50"/>
              <w:ind w:left="480" w:hanging="240"/>
            </w:pPr>
            <w:r>
              <w:rPr>
                <w:rFonts w:ascii="Calibri" w:hAnsi="Calibri" w:cs="Calibri" w:eastAsia="Calibri"/>
                <w:b w:val="0"/>
                <w:i w:val="0"/>
                <w:color w:val="C9A961"/>
                <w:sz w:val="21"/>
              </w:rPr>
              <w:t>•</w:t>
            </w:r>
            <w:r>
              <w:rPr>
                <w:rFonts w:ascii="Calibri" w:hAnsi="Calibri" w:cs="Calibri" w:eastAsia="Calibri"/>
                <w:b w:val="0"/>
                <w:i w:val="0"/>
                <w:color w:val="2C2C2C"/>
                <w:sz w:val="19"/>
              </w:rPr>
              <w:tab/>
            </w:r>
            <w:r>
              <w:rPr>
                <w:rFonts w:ascii="Calibri" w:hAnsi="Calibri" w:cs="Calibri" w:eastAsia="Calibri"/>
                <w:b/>
                <w:i w:val="0"/>
                <w:color w:val="1A3A5C"/>
                <w:sz w:val="19"/>
              </w:rPr>
              <w:t>Decimalaan 3‑5‑7‑9 и Nieuw‑Amsterdamlaan 4‑6, Utrecht</w:t>
            </w:r>
            <w:r>
              <w:rPr>
                <w:rFonts w:ascii="Calibri" w:hAnsi="Calibri" w:cs="Calibri" w:eastAsia="Calibri"/>
                <w:b w:val="0"/>
                <w:i w:val="0"/>
                <w:color w:val="2C2C2C"/>
                <w:sz w:val="19"/>
              </w:rPr>
              <w:t xml:space="preserve"> — </w:t>
            </w:r>
            <w:r>
              <w:rPr>
                <w:rFonts w:ascii="Calibri" w:hAnsi="Calibri" w:cs="Calibri" w:eastAsia="Calibri"/>
                <w:b w:val="0"/>
                <w:i w:val="0"/>
                <w:color w:val="2C2C2C"/>
                <w:sz w:val="19"/>
              </w:rPr>
              <w:t xml:space="preserve">funda in business — </w:t>
            </w:r>
            <w:hyperlink r:id="rId33">
              <w:r>
                <w:rPr>
                  <w:rFonts w:ascii="Calibri" w:hAnsi="Calibri" w:cs="Calibri" w:eastAsia="Calibri"/>
                  <w:b w:val="0"/>
                  <w:i w:val="0"/>
                  <w:color w:val="1A3A5C"/>
                  <w:sz w:val="19"/>
                  <w:u w:val="single"/>
                </w:rPr>
                <w:t>https://www.fundainbusiness.nl/en/belegging/utrecht/object-43068622-decimalaan-3/</w:t>
              </w:r>
            </w:hyperlink>
          </w:p>
          <w:p>
            <w:pPr>
              <w:keepLines w:val="1"/>
              <w:tabs>
                <w:tab w:val="left" w:pos="480"/>
              </w:tabs>
              <w:spacing w:before="0" w:after="50"/>
              <w:ind w:left="480" w:hanging="240"/>
            </w:pPr>
            <w:r>
              <w:rPr>
                <w:rFonts w:ascii="Calibri" w:hAnsi="Calibri" w:cs="Calibri" w:eastAsia="Calibri"/>
                <w:b w:val="0"/>
                <w:i w:val="0"/>
                <w:color w:val="C9A961"/>
                <w:sz w:val="21"/>
              </w:rPr>
              <w:t>•</w:t>
            </w:r>
            <w:r>
              <w:rPr>
                <w:rFonts w:ascii="Calibri" w:hAnsi="Calibri" w:cs="Calibri" w:eastAsia="Calibri"/>
                <w:b w:val="0"/>
                <w:i w:val="0"/>
                <w:color w:val="2C2C2C"/>
                <w:sz w:val="19"/>
              </w:rPr>
              <w:tab/>
            </w:r>
            <w:r>
              <w:rPr>
                <w:rFonts w:ascii="Calibri" w:hAnsi="Calibri" w:cs="Calibri" w:eastAsia="Calibri"/>
                <w:b/>
                <w:i w:val="0"/>
                <w:color w:val="1A3A5C"/>
                <w:sz w:val="19"/>
              </w:rPr>
              <w:t>Archimedesbaan 11 и 7‑9, Nieuwegein</w:t>
            </w:r>
            <w:r>
              <w:rPr>
                <w:rFonts w:ascii="Calibri" w:hAnsi="Calibri" w:cs="Calibri" w:eastAsia="Calibri"/>
                <w:b w:val="0"/>
                <w:i w:val="0"/>
                <w:color w:val="2C2C2C"/>
                <w:sz w:val="19"/>
              </w:rPr>
              <w:t xml:space="preserve"> — </w:t>
            </w:r>
            <w:r>
              <w:rPr>
                <w:rFonts w:ascii="Calibri" w:hAnsi="Calibri" w:cs="Calibri" w:eastAsia="Calibri"/>
                <w:b w:val="0"/>
                <w:i w:val="0"/>
                <w:color w:val="2C2C2C"/>
                <w:sz w:val="19"/>
              </w:rPr>
              <w:t xml:space="preserve">funda in business — </w:t>
            </w:r>
            <w:hyperlink r:id="rId52">
              <w:r>
                <w:rPr>
                  <w:rFonts w:ascii="Calibri" w:hAnsi="Calibri" w:cs="Calibri" w:eastAsia="Calibri"/>
                  <w:b w:val="0"/>
                  <w:i w:val="0"/>
                  <w:color w:val="1A3A5C"/>
                  <w:sz w:val="19"/>
                  <w:u w:val="single"/>
                </w:rPr>
                <w:t>https://www.fundainbusiness.nl/en/belegging/nieuwegein/object-80846890-archimedesbaan-11/</w:t>
              </w:r>
            </w:hyperlink>
          </w:p>
          <w:p>
            <w:pPr>
              <w:keepLines w:val="1"/>
              <w:tabs>
                <w:tab w:val="left" w:pos="480"/>
              </w:tabs>
              <w:spacing w:before="0" w:after="50"/>
              <w:ind w:left="480" w:hanging="240"/>
            </w:pPr>
            <w:r>
              <w:rPr>
                <w:rFonts w:ascii="Calibri" w:hAnsi="Calibri" w:cs="Calibri" w:eastAsia="Calibri"/>
                <w:b w:val="0"/>
                <w:i w:val="0"/>
                <w:color w:val="C9A961"/>
                <w:sz w:val="21"/>
              </w:rPr>
              <w:t>•</w:t>
            </w:r>
            <w:r>
              <w:rPr>
                <w:rFonts w:ascii="Calibri" w:hAnsi="Calibri" w:cs="Calibri" w:eastAsia="Calibri"/>
                <w:b w:val="0"/>
                <w:i w:val="0"/>
                <w:color w:val="2C2C2C"/>
                <w:sz w:val="19"/>
              </w:rPr>
              <w:tab/>
            </w:r>
            <w:r>
              <w:rPr>
                <w:rFonts w:ascii="Calibri" w:hAnsi="Calibri" w:cs="Calibri" w:eastAsia="Calibri"/>
                <w:b/>
                <w:i w:val="0"/>
                <w:color w:val="1A3A5C"/>
                <w:sz w:val="19"/>
              </w:rPr>
              <w:t>Население городов</w:t>
            </w:r>
            <w:r>
              <w:rPr>
                <w:rFonts w:ascii="Calibri" w:hAnsi="Calibri" w:cs="Calibri" w:eastAsia="Calibri"/>
                <w:b w:val="0"/>
                <w:i w:val="0"/>
                <w:color w:val="2C2C2C"/>
                <w:sz w:val="19"/>
              </w:rPr>
              <w:t xml:space="preserve"> — </w:t>
            </w:r>
            <w:r>
              <w:rPr>
                <w:rFonts w:ascii="Calibri" w:hAnsi="Calibri" w:cs="Calibri" w:eastAsia="Calibri"/>
                <w:b w:val="0"/>
                <w:i w:val="0"/>
                <w:color w:val="2C2C2C"/>
                <w:sz w:val="19"/>
              </w:rPr>
              <w:t>открытые статистические данные по муниципалитетам (Centraal Bureau voor de Statistiek, CBS StatLine), на 1 января 2026 года</w:t>
            </w:r>
          </w:p>
        </w:tc>
      </w:tr>
    </w:tbl>
    <w:p>
      <w:pPr>
        <w:spacing w:before="0" w:after="0" w:line="240" w:lineRule="auto"/>
      </w:pPr>
      <w:r>
        <w:rPr>
          <w:rFonts w:ascii="Calibri" w:hAnsi="Calibri" w:cs="Calibri" w:eastAsia="Calibri"/>
          <w:b w:val="0"/>
          <w:i w:val="0"/>
          <w:color w:val="2C2C2C"/>
          <w:sz w:val="12"/>
        </w:rPr>
      </w:r>
    </w:p>
    <w:tbl>
      <w:tblPr>
        <w:tblW w:type="auto" w:w="0"/>
        <w:tblBorders>
          <w:top w:val="single" w:sz="4" w:space="0" w:color="DDE3EA"/>
          <w:start w:val="single" w:sz="18" w:space="0" w:color="C9A961"/>
          <w:bottom w:val="single" w:sz="4" w:space="0" w:color="DDE3EA"/>
          <w:end w:val="single" w:sz="4" w:space="0" w:color="DDE3EA"/>
          <w:insideH w:val="none" w:sz="0" w:space="0" w:color="auto"/>
          <w:insideV w:val="none" w:sz="0" w:space="0" w:color="auto"/>
        </w:tblBorders>
        <w:tblLayout w:type="fixed"/>
        <w:tblLook w:firstColumn="1" w:firstRow="1" w:lastColumn="0" w:lastRow="0" w:noHBand="0" w:noVBand="1" w:val="04A0"/>
      </w:tblPr>
      <w:tblGrid>
        <w:gridCol w:w="9558"/>
      </w:tblGrid>
      <w:tr>
        <w:tc>
          <w:tcPr>
            <w:tcW w:type="dxa" w:w="9558"/>
            <w:shd w:val="clear" w:color="auto" w:fill="FFFFFF"/>
            <w:tcMar>
              <w:top w:w="160" w:type="dxa"/>
              <w:start w:w="240" w:type="dxa"/>
              <w:bottom w:w="160" w:type="dxa"/>
              <w:end w:w="240" w:type="dxa"/>
            </w:tcMar>
          </w:tcPr>
          <w:p>
            <w:pPr>
              <w:spacing w:after="140"/>
            </w:pPr>
            <w:r>
              <w:rPr>
                <w:rFonts w:ascii="Calibri" w:hAnsi="Calibri" w:cs="Calibri" w:eastAsia="Calibri"/>
                <w:b/>
                <w:i w:val="0"/>
                <w:color w:val="1A3A5C"/>
                <w:spacing w:val="24"/>
                <w:sz w:val="21"/>
              </w:rPr>
              <w:t>ГЛОССАРИЙ</w:t>
            </w:r>
          </w:p>
          <w:tbl>
            <w:tblPr>
              <w:tblW w:type="auto" w:w="0"/>
              <w:jc w:val="left"/>
              <w:tblBorders>
                <w:top w:val="none" w:sz="0" w:space="0" w:color="auto"/>
                <w:start w:val="none" w:sz="0" w:space="0" w:color="auto"/>
                <w:bottom w:val="none" w:sz="0" w:space="0" w:color="auto"/>
                <w:end w:val="none" w:sz="0" w:space="0" w:color="auto"/>
                <w:insideH w:val="none" w:sz="0" w:space="0" w:color="auto"/>
                <w:insideV w:val="none" w:sz="0" w:space="0" w:color="auto"/>
              </w:tblBorders>
              <w:tblLayout w:type="fixed"/>
              <w:tblLook w:firstColumn="1" w:firstRow="1" w:lastColumn="0" w:lastRow="0" w:noHBand="0" w:noVBand="1" w:val="04A0"/>
            </w:tblPr>
            <w:tblGrid>
              <w:gridCol w:w="4539"/>
              <w:gridCol w:w="4539"/>
            </w:tblGrid>
            <w:tr>
              <w:tc>
                <w:tcPr>
                  <w:tcW w:type="dxa" w:w="4539"/>
                  <w:tcMar>
                    <w:top w:w="20" w:type="dxa"/>
                    <w:start w:w="0" w:type="dxa"/>
                    <w:bottom w:w="20" w:type="dxa"/>
                    <w:end w:w="160" w:type="dxa"/>
                  </w:tcMar>
                </w:tcPr>
                <w:p>
                  <w:pPr>
                    <w:spacing w:after="40"/>
                  </w:pPr>
                  <w:r>
                    <w:rPr>
                      <w:rFonts w:ascii="Calibri" w:hAnsi="Calibri" w:cs="Calibri" w:eastAsia="Calibri"/>
                      <w:b/>
                      <w:i w:val="0"/>
                      <w:color w:val="1A3A5C"/>
                      <w:sz w:val="19"/>
                    </w:rPr>
                    <w:t>k.k. (kosten koper)</w:t>
                  </w:r>
                  <w:r>
                    <w:rPr>
                      <w:rFonts w:ascii="Calibri" w:hAnsi="Calibri" w:cs="Calibri" w:eastAsia="Calibri"/>
                      <w:b w:val="0"/>
                      <w:i w:val="0"/>
                      <w:color w:val="2C2C2C"/>
                      <w:sz w:val="19"/>
                    </w:rPr>
                    <w:t xml:space="preserve"> — </w:t>
                  </w:r>
                  <w:r>
                    <w:rPr>
                      <w:rFonts w:ascii="Calibri" w:hAnsi="Calibri" w:cs="Calibri" w:eastAsia="Calibri"/>
                      <w:b w:val="0"/>
                      <w:i w:val="0"/>
                      <w:color w:val="2C2C2C"/>
                      <w:sz w:val="19"/>
                    </w:rPr>
                    <w:t>признак цены: налог на переход права и расходы по сделке покупатель платит сверх запрашиваемой цены</w:t>
                  </w:r>
                </w:p>
              </w:tc>
              <w:tc>
                <w:tcPr>
                  <w:tcW w:type="dxa" w:w="4539"/>
                  <w:tcMar>
                    <w:top w:w="20" w:type="dxa"/>
                    <w:start w:w="0" w:type="dxa"/>
                    <w:bottom w:w="20" w:type="dxa"/>
                    <w:end w:w="160" w:type="dxa"/>
                  </w:tcMar>
                </w:tcPr>
                <w:p>
                  <w:pPr>
                    <w:spacing w:after="40"/>
                  </w:pPr>
                  <w:r>
                    <w:rPr>
                      <w:rFonts w:ascii="Calibri" w:hAnsi="Calibri" w:cs="Calibri" w:eastAsia="Calibri"/>
                      <w:b/>
                      <w:i w:val="0"/>
                      <w:color w:val="1A3A5C"/>
                      <w:sz w:val="19"/>
                    </w:rPr>
                    <w:t>bestemmingsplan</w:t>
                  </w:r>
                  <w:r>
                    <w:rPr>
                      <w:rFonts w:ascii="Calibri" w:hAnsi="Calibri" w:cs="Calibri" w:eastAsia="Calibri"/>
                      <w:b w:val="0"/>
                      <w:i w:val="0"/>
                      <w:color w:val="2C2C2C"/>
                      <w:sz w:val="19"/>
                    </w:rPr>
                    <w:t xml:space="preserve"> — </w:t>
                  </w:r>
                  <w:r>
                    <w:rPr>
                      <w:rFonts w:ascii="Calibri" w:hAnsi="Calibri" w:cs="Calibri" w:eastAsia="Calibri"/>
                      <w:b w:val="0"/>
                      <w:i w:val="0"/>
                      <w:color w:val="2C2C2C"/>
                      <w:sz w:val="19"/>
                    </w:rPr>
                    <w:t>муниципальный план назначения территории: задаёт разрешённое использование участка и здания</w:t>
                  </w:r>
                </w:p>
              </w:tc>
            </w:tr>
            <w:tr>
              <w:tc>
                <w:tcPr>
                  <w:tcW w:type="dxa" w:w="4539"/>
                  <w:tcMar>
                    <w:top w:w="20" w:type="dxa"/>
                    <w:start w:w="0" w:type="dxa"/>
                    <w:bottom w:w="20" w:type="dxa"/>
                    <w:end w:w="160" w:type="dxa"/>
                  </w:tcMar>
                </w:tcPr>
                <w:p>
                  <w:pPr>
                    <w:spacing w:after="40"/>
                  </w:pPr>
                  <w:r>
                    <w:rPr>
                      <w:rFonts w:ascii="Calibri" w:hAnsi="Calibri" w:cs="Calibri" w:eastAsia="Calibri"/>
                      <w:b/>
                      <w:i w:val="0"/>
                      <w:color w:val="1A3A5C"/>
                      <w:sz w:val="19"/>
                    </w:rPr>
                    <w:t>v.o.n. (vrij op naam)</w:t>
                  </w:r>
                  <w:r>
                    <w:rPr>
                      <w:rFonts w:ascii="Calibri" w:hAnsi="Calibri" w:cs="Calibri" w:eastAsia="Calibri"/>
                      <w:b w:val="0"/>
                      <w:i w:val="0"/>
                      <w:color w:val="2C2C2C"/>
                      <w:sz w:val="19"/>
                    </w:rPr>
                    <w:t xml:space="preserve"> — </w:t>
                  </w:r>
                  <w:r>
                    <w:rPr>
                      <w:rFonts w:ascii="Calibri" w:hAnsi="Calibri" w:cs="Calibri" w:eastAsia="Calibri"/>
                      <w:b w:val="0"/>
                      <w:i w:val="0"/>
                      <w:color w:val="2C2C2C"/>
                      <w:sz w:val="19"/>
                    </w:rPr>
                    <w:t>признак цены: расходы по сделке уже включены в цену и остаются на продавце</w:t>
                  </w:r>
                </w:p>
              </w:tc>
              <w:tc>
                <w:tcPr>
                  <w:tcW w:type="dxa" w:w="4539"/>
                  <w:tcMar>
                    <w:top w:w="20" w:type="dxa"/>
                    <w:start w:w="0" w:type="dxa"/>
                    <w:bottom w:w="20" w:type="dxa"/>
                    <w:end w:w="160" w:type="dxa"/>
                  </w:tcMar>
                </w:tcPr>
                <w:p>
                  <w:pPr>
                    <w:spacing w:after="40"/>
                  </w:pPr>
                  <w:r>
                    <w:rPr>
                      <w:rFonts w:ascii="Calibri" w:hAnsi="Calibri" w:cs="Calibri" w:eastAsia="Calibri"/>
                      <w:b/>
                      <w:i w:val="0"/>
                      <w:color w:val="1A3A5C"/>
                      <w:sz w:val="19"/>
                    </w:rPr>
                    <w:t>WBB (Wet bodembescherming)</w:t>
                  </w:r>
                  <w:r>
                    <w:rPr>
                      <w:rFonts w:ascii="Calibri" w:hAnsi="Calibri" w:cs="Calibri" w:eastAsia="Calibri"/>
                      <w:b w:val="0"/>
                      <w:i w:val="0"/>
                      <w:color w:val="2C2C2C"/>
                      <w:sz w:val="19"/>
                    </w:rPr>
                    <w:t xml:space="preserve"> — </w:t>
                  </w:r>
                  <w:r>
                    <w:rPr>
                      <w:rFonts w:ascii="Calibri" w:hAnsi="Calibri" w:cs="Calibri" w:eastAsia="Calibri"/>
                      <w:b w:val="0"/>
                      <w:i w:val="0"/>
                      <w:color w:val="2C2C2C"/>
                      <w:sz w:val="19"/>
                    </w:rPr>
                    <w:t>закон об охране почв: определяет порядок исследования грунта и обязанность по его санации</w:t>
                  </w:r>
                </w:p>
              </w:tc>
            </w:tr>
            <w:tr>
              <w:tc>
                <w:tcPr>
                  <w:tcW w:type="dxa" w:w="4539"/>
                  <w:tcMar>
                    <w:top w:w="20" w:type="dxa"/>
                    <w:start w:w="0" w:type="dxa"/>
                    <w:bottom w:w="20" w:type="dxa"/>
                    <w:end w:w="160" w:type="dxa"/>
                  </w:tcMar>
                </w:tcPr>
                <w:p>
                  <w:pPr>
                    <w:spacing w:after="40"/>
                  </w:pPr>
                  <w:r>
                    <w:rPr>
                      <w:rFonts w:ascii="Calibri" w:hAnsi="Calibri" w:cs="Calibri" w:eastAsia="Calibri"/>
                      <w:b/>
                      <w:i w:val="0"/>
                      <w:color w:val="1A3A5C"/>
                      <w:sz w:val="19"/>
                    </w:rPr>
                    <w:t>v.v.o. (verhuurbaar vloeroppervlak)</w:t>
                  </w:r>
                  <w:r>
                    <w:rPr>
                      <w:rFonts w:ascii="Calibri" w:hAnsi="Calibri" w:cs="Calibri" w:eastAsia="Calibri"/>
                      <w:b w:val="0"/>
                      <w:i w:val="0"/>
                      <w:color w:val="2C2C2C"/>
                      <w:sz w:val="19"/>
                    </w:rPr>
                    <w:t xml:space="preserve"> — </w:t>
                  </w:r>
                  <w:r>
                    <w:rPr>
                      <w:rFonts w:ascii="Calibri" w:hAnsi="Calibri" w:cs="Calibri" w:eastAsia="Calibri"/>
                      <w:b w:val="0"/>
                      <w:i w:val="0"/>
                      <w:color w:val="2C2C2C"/>
                      <w:sz w:val="19"/>
                    </w:rPr>
                    <w:t>арендуемая площадь пола — база для расчёта арендной платы</w:t>
                  </w:r>
                </w:p>
              </w:tc>
              <w:tc>
                <w:tcPr>
                  <w:tcW w:type="dxa" w:w="4539"/>
                  <w:tcMar>
                    <w:top w:w="20" w:type="dxa"/>
                    <w:start w:w="0" w:type="dxa"/>
                    <w:bottom w:w="20" w:type="dxa"/>
                    <w:end w:w="160" w:type="dxa"/>
                  </w:tcMar>
                </w:tcPr>
                <w:p>
                  <w:pPr>
                    <w:spacing w:after="40"/>
                  </w:pPr>
                  <w:r>
                    <w:rPr>
                      <w:rFonts w:ascii="Calibri" w:hAnsi="Calibri" w:cs="Calibri" w:eastAsia="Calibri"/>
                      <w:b/>
                      <w:i w:val="0"/>
                      <w:color w:val="1A3A5C"/>
                      <w:sz w:val="19"/>
                    </w:rPr>
                    <w:t>ROZ (Raad voor Onroerende Zaken)</w:t>
                  </w:r>
                  <w:r>
                    <w:rPr>
                      <w:rFonts w:ascii="Calibri" w:hAnsi="Calibri" w:cs="Calibri" w:eastAsia="Calibri"/>
                      <w:b w:val="0"/>
                      <w:i w:val="0"/>
                      <w:color w:val="2C2C2C"/>
                      <w:sz w:val="19"/>
                    </w:rPr>
                    <w:t xml:space="preserve"> — </w:t>
                  </w:r>
                  <w:r>
                    <w:rPr>
                      <w:rFonts w:ascii="Calibri" w:hAnsi="Calibri" w:cs="Calibri" w:eastAsia="Calibri"/>
                      <w:b w:val="0"/>
                      <w:i w:val="0"/>
                      <w:color w:val="2C2C2C"/>
                      <w:sz w:val="19"/>
                    </w:rPr>
                    <w:t>совет по недвижимости; его типовые формы договоров аренды приняты на рынке за стандарт</w:t>
                  </w:r>
                </w:p>
              </w:tc>
            </w:tr>
            <w:tr>
              <w:tc>
                <w:tcPr>
                  <w:tcW w:type="dxa" w:w="4539"/>
                  <w:tcMar>
                    <w:top w:w="20" w:type="dxa"/>
                    <w:start w:w="0" w:type="dxa"/>
                    <w:bottom w:w="20" w:type="dxa"/>
                    <w:end w:w="160" w:type="dxa"/>
                  </w:tcMar>
                </w:tcPr>
                <w:p>
                  <w:pPr>
                    <w:spacing w:after="40"/>
                  </w:pPr>
                  <w:r>
                    <w:rPr>
                      <w:rFonts w:ascii="Calibri" w:hAnsi="Calibri" w:cs="Calibri" w:eastAsia="Calibri"/>
                      <w:b/>
                      <w:i w:val="0"/>
                      <w:color w:val="1A3A5C"/>
                      <w:sz w:val="19"/>
                    </w:rPr>
                    <w:t>BAR (bruto aanvangsrendement)</w:t>
                  </w:r>
                  <w:r>
                    <w:rPr>
                      <w:rFonts w:ascii="Calibri" w:hAnsi="Calibri" w:cs="Calibri" w:eastAsia="Calibri"/>
                      <w:b w:val="0"/>
                      <w:i w:val="0"/>
                      <w:color w:val="2C2C2C"/>
                      <w:sz w:val="19"/>
                    </w:rPr>
                    <w:t xml:space="preserve"> — </w:t>
                  </w:r>
                  <w:r>
                    <w:rPr>
                      <w:rFonts w:ascii="Calibri" w:hAnsi="Calibri" w:cs="Calibri" w:eastAsia="Calibri"/>
                      <w:b w:val="0"/>
                      <w:i w:val="0"/>
                      <w:color w:val="2C2C2C"/>
                      <w:sz w:val="19"/>
                    </w:rPr>
                    <w:t>валовая начальная доходность: годовая арендная плата к цене или к цене входа</w:t>
                  </w:r>
                </w:p>
              </w:tc>
              <w:tc>
                <w:tcPr>
                  <w:tcW w:type="dxa" w:w="4539"/>
                  <w:tcMar>
                    <w:top w:w="20" w:type="dxa"/>
                    <w:start w:w="0" w:type="dxa"/>
                    <w:bottom w:w="20" w:type="dxa"/>
                    <w:end w:w="160" w:type="dxa"/>
                  </w:tcMar>
                </w:tcPr>
                <w:p>
                  <w:pPr>
                    <w:spacing w:after="40"/>
                  </w:pPr>
                  <w:r>
                    <w:rPr>
                      <w:rFonts w:ascii="Calibri" w:hAnsi="Calibri" w:cs="Calibri" w:eastAsia="Calibri"/>
                      <w:b/>
                      <w:i w:val="0"/>
                      <w:color w:val="1A3A5C"/>
                      <w:sz w:val="19"/>
                    </w:rPr>
                    <w:t>servicekosten</w:t>
                  </w:r>
                  <w:r>
                    <w:rPr>
                      <w:rFonts w:ascii="Calibri" w:hAnsi="Calibri" w:cs="Calibri" w:eastAsia="Calibri"/>
                      <w:b w:val="0"/>
                      <w:i w:val="0"/>
                      <w:color w:val="2C2C2C"/>
                      <w:sz w:val="19"/>
                    </w:rPr>
                    <w:t xml:space="preserve"> — </w:t>
                  </w:r>
                  <w:r>
                    <w:rPr>
                      <w:rFonts w:ascii="Calibri" w:hAnsi="Calibri" w:cs="Calibri" w:eastAsia="Calibri"/>
                      <w:b w:val="0"/>
                      <w:i w:val="0"/>
                      <w:color w:val="2C2C2C"/>
                      <w:sz w:val="19"/>
                    </w:rPr>
                    <w:t>плата за коммунальные и сервисные услуги, которую арендатор вносит сверх арендной ставки</w:t>
                  </w:r>
                </w:p>
              </w:tc>
            </w:tr>
            <w:tr>
              <w:tc>
                <w:tcPr>
                  <w:tcW w:type="dxa" w:w="4539"/>
                  <w:tcMar>
                    <w:top w:w="20" w:type="dxa"/>
                    <w:start w:w="0" w:type="dxa"/>
                    <w:bottom w:w="20" w:type="dxa"/>
                    <w:end w:w="160" w:type="dxa"/>
                  </w:tcMar>
                </w:tcPr>
                <w:p>
                  <w:pPr>
                    <w:spacing w:after="40"/>
                  </w:pPr>
                  <w:r>
                    <w:rPr>
                      <w:rFonts w:ascii="Calibri" w:hAnsi="Calibri" w:cs="Calibri" w:eastAsia="Calibri"/>
                      <w:b/>
                      <w:i w:val="0"/>
                      <w:color w:val="1A3A5C"/>
                      <w:sz w:val="19"/>
                    </w:rPr>
                    <w:t>NAR (netto aanvangsrendement)</w:t>
                  </w:r>
                  <w:r>
                    <w:rPr>
                      <w:rFonts w:ascii="Calibri" w:hAnsi="Calibri" w:cs="Calibri" w:eastAsia="Calibri"/>
                      <w:b w:val="0"/>
                      <w:i w:val="0"/>
                      <w:color w:val="2C2C2C"/>
                      <w:sz w:val="19"/>
                    </w:rPr>
                    <w:t xml:space="preserve"> — </w:t>
                  </w:r>
                  <w:r>
                    <w:rPr>
                      <w:rFonts w:ascii="Calibri" w:hAnsi="Calibri" w:cs="Calibri" w:eastAsia="Calibri"/>
                      <w:b w:val="0"/>
                      <w:i w:val="0"/>
                      <w:color w:val="2C2C2C"/>
                      <w:sz w:val="19"/>
                    </w:rPr>
                    <w:t>чистая начальная доходность: арендная плата за вычетом эксплуатационных расходов собственника к цене входа</w:t>
                  </w:r>
                </w:p>
              </w:tc>
              <w:tc>
                <w:tcPr>
                  <w:tcW w:type="dxa" w:w="4539"/>
                  <w:tcMar>
                    <w:top w:w="20" w:type="dxa"/>
                    <w:start w:w="0" w:type="dxa"/>
                    <w:bottom w:w="20" w:type="dxa"/>
                    <w:end w:w="160" w:type="dxa"/>
                  </w:tcMar>
                </w:tcPr>
                <w:p>
                  <w:pPr>
                    <w:spacing w:after="40"/>
                  </w:pPr>
                  <w:r>
                    <w:rPr>
                      <w:rFonts w:ascii="Calibri" w:hAnsi="Calibri" w:cs="Calibri" w:eastAsia="Calibri"/>
                      <w:b/>
                      <w:i w:val="0"/>
                      <w:color w:val="1A3A5C"/>
                      <w:sz w:val="19"/>
                    </w:rPr>
                    <w:t>herzieningstermijn</w:t>
                  </w:r>
                  <w:r>
                    <w:rPr>
                      <w:rFonts w:ascii="Calibri" w:hAnsi="Calibri" w:cs="Calibri" w:eastAsia="Calibri"/>
                      <w:b w:val="0"/>
                      <w:i w:val="0"/>
                      <w:color w:val="2C2C2C"/>
                      <w:sz w:val="19"/>
                    </w:rPr>
                    <w:t xml:space="preserve"> — </w:t>
                  </w:r>
                  <w:r>
                    <w:rPr>
                      <w:rFonts w:ascii="Calibri" w:hAnsi="Calibri" w:cs="Calibri" w:eastAsia="Calibri"/>
                      <w:b w:val="0"/>
                      <w:i w:val="0"/>
                      <w:color w:val="2C2C2C"/>
                      <w:sz w:val="19"/>
                    </w:rPr>
                    <w:t>срок пересмотра вычета НДС по недвижимости — десять лет с года ввода объекта в эксплуатацию</w:t>
                  </w:r>
                </w:p>
              </w:tc>
            </w:tr>
            <w:tr>
              <w:tc>
                <w:tcPr>
                  <w:tcW w:type="dxa" w:w="4539"/>
                  <w:tcMar>
                    <w:top w:w="20" w:type="dxa"/>
                    <w:start w:w="0" w:type="dxa"/>
                    <w:bottom w:w="20" w:type="dxa"/>
                    <w:end w:w="160" w:type="dxa"/>
                  </w:tcMar>
                </w:tcPr>
                <w:p>
                  <w:pPr>
                    <w:spacing w:after="40"/>
                  </w:pPr>
                  <w:r>
                    <w:rPr>
                      <w:rFonts w:ascii="Calibri" w:hAnsi="Calibri" w:cs="Calibri" w:eastAsia="Calibri"/>
                      <w:b/>
                      <w:i w:val="0"/>
                      <w:color w:val="1A3A5C"/>
                      <w:sz w:val="19"/>
                    </w:rPr>
                    <w:t>WALT (weighted average lease term)</w:t>
                  </w:r>
                  <w:r>
                    <w:rPr>
                      <w:rFonts w:ascii="Calibri" w:hAnsi="Calibri" w:cs="Calibri" w:eastAsia="Calibri"/>
                      <w:b w:val="0"/>
                      <w:i w:val="0"/>
                      <w:color w:val="2C2C2C"/>
                      <w:sz w:val="19"/>
                    </w:rPr>
                    <w:t xml:space="preserve"> — </w:t>
                  </w:r>
                  <w:r>
                    <w:rPr>
                      <w:rFonts w:ascii="Calibri" w:hAnsi="Calibri" w:cs="Calibri" w:eastAsia="Calibri"/>
                      <w:b w:val="0"/>
                      <w:i w:val="0"/>
                      <w:color w:val="2C2C2C"/>
                      <w:sz w:val="19"/>
                    </w:rPr>
                    <w:t>средневзвешенный оставшийся срок действующих договоров аренды</w:t>
                  </w:r>
                </w:p>
              </w:tc>
              <w:tc>
                <w:tcPr>
                  <w:tcW w:type="dxa" w:w="4539"/>
                  <w:tcMar>
                    <w:top w:w="20" w:type="dxa"/>
                    <w:start w:w="0" w:type="dxa"/>
                    <w:bottom w:w="20" w:type="dxa"/>
                    <w:end w:w="160" w:type="dxa"/>
                  </w:tcMar>
                </w:tcPr>
                <w:p>
                  <w:pPr>
                    <w:spacing w:after="40"/>
                  </w:pPr>
                  <w:r>
                    <w:rPr>
                      <w:rFonts w:ascii="Calibri" w:hAnsi="Calibri" w:cs="Calibri" w:eastAsia="Calibri"/>
                      <w:b/>
                      <w:i w:val="0"/>
                      <w:color w:val="1A3A5C"/>
                      <w:sz w:val="19"/>
                    </w:rPr>
                    <w:t>entresol</w:t>
                  </w:r>
                  <w:r>
                    <w:rPr>
                      <w:rFonts w:ascii="Calibri" w:hAnsi="Calibri" w:cs="Calibri" w:eastAsia="Calibri"/>
                      <w:b w:val="0"/>
                      <w:i w:val="0"/>
                      <w:color w:val="2C2C2C"/>
                      <w:sz w:val="19"/>
                    </w:rPr>
                    <w:t xml:space="preserve"> — </w:t>
                  </w:r>
                  <w:r>
                    <w:rPr>
                      <w:rFonts w:ascii="Calibri" w:hAnsi="Calibri" w:cs="Calibri" w:eastAsia="Calibri"/>
                      <w:b w:val="0"/>
                      <w:i w:val="0"/>
                      <w:color w:val="2C2C2C"/>
                      <w:sz w:val="19"/>
                    </w:rPr>
                    <w:t>антресоль: промежуточный ярус внутри производственного или складского помещения</w:t>
                  </w:r>
                </w:p>
              </w:tc>
            </w:tr>
            <w:tr>
              <w:tc>
                <w:tcPr>
                  <w:tcW w:type="dxa" w:w="4539"/>
                  <w:tcMar>
                    <w:top w:w="20" w:type="dxa"/>
                    <w:start w:w="0" w:type="dxa"/>
                    <w:bottom w:w="20" w:type="dxa"/>
                    <w:end w:w="160" w:type="dxa"/>
                  </w:tcMar>
                </w:tcPr>
                <w:p>
                  <w:pPr>
                    <w:spacing w:after="40"/>
                  </w:pPr>
                  <w:r>
                    <w:rPr>
                      <w:rFonts w:ascii="Calibri" w:hAnsi="Calibri" w:cs="Calibri" w:eastAsia="Calibri"/>
                      <w:b/>
                      <w:i w:val="0"/>
                      <w:color w:val="1A3A5C"/>
                      <w:sz w:val="19"/>
                    </w:rPr>
                    <w:t>overdrachtsbelasting</w:t>
                  </w:r>
                  <w:r>
                    <w:rPr>
                      <w:rFonts w:ascii="Calibri" w:hAnsi="Calibri" w:cs="Calibri" w:eastAsia="Calibri"/>
                      <w:b w:val="0"/>
                      <w:i w:val="0"/>
                      <w:color w:val="2C2C2C"/>
                      <w:sz w:val="19"/>
                    </w:rPr>
                    <w:t xml:space="preserve"> — </w:t>
                  </w:r>
                  <w:r>
                    <w:rPr>
                      <w:rFonts w:ascii="Calibri" w:hAnsi="Calibri" w:cs="Calibri" w:eastAsia="Calibri"/>
                      <w:b w:val="0"/>
                      <w:i w:val="0"/>
                      <w:color w:val="2C2C2C"/>
                      <w:sz w:val="19"/>
                    </w:rPr>
                    <w:t>налог на переход права собственности; для нежилой недвижимости ставка 2026 года — 10,4 %</w:t>
                  </w:r>
                </w:p>
              </w:tc>
              <w:tc>
                <w:tcPr>
                  <w:tcW w:type="dxa" w:w="4539"/>
                  <w:tcMar>
                    <w:top w:w="20" w:type="dxa"/>
                    <w:start w:w="0" w:type="dxa"/>
                    <w:bottom w:w="20" w:type="dxa"/>
                    <w:end w:w="160" w:type="dxa"/>
                  </w:tcMar>
                </w:tcPr>
                <w:p>
                  <w:pPr>
                    <w:spacing w:after="40"/>
                  </w:pPr>
                  <w:r>
                    <w:rPr>
                      <w:rFonts w:ascii="Calibri" w:hAnsi="Calibri" w:cs="Calibri" w:eastAsia="Calibri"/>
                      <w:b/>
                      <w:i w:val="0"/>
                      <w:color w:val="1A3A5C"/>
                      <w:sz w:val="19"/>
                    </w:rPr>
                    <w:t>bedrijfswoning</w:t>
                  </w:r>
                  <w:r>
                    <w:rPr>
                      <w:rFonts w:ascii="Calibri" w:hAnsi="Calibri" w:cs="Calibri" w:eastAsia="Calibri"/>
                      <w:b w:val="0"/>
                      <w:i w:val="0"/>
                      <w:color w:val="2C2C2C"/>
                      <w:sz w:val="19"/>
                    </w:rPr>
                    <w:t xml:space="preserve"> — </w:t>
                  </w:r>
                  <w:r>
                    <w:rPr>
                      <w:rFonts w:ascii="Calibri" w:hAnsi="Calibri" w:cs="Calibri" w:eastAsia="Calibri"/>
                      <w:b w:val="0"/>
                      <w:i w:val="0"/>
                      <w:color w:val="2C2C2C"/>
                      <w:sz w:val="19"/>
                    </w:rPr>
                    <w:t>служебное жильё при предприятии: жилая единица на участке производственного назначения</w:t>
                  </w:r>
                </w:p>
              </w:tc>
            </w:tr>
          </w:tbl>
          <w:p/>
        </w:tc>
      </w:tr>
    </w:tbl>
    <w:p>
      <w:pPr>
        <w:spacing w:before="0" w:after="0" w:line="240" w:lineRule="auto"/>
      </w:pPr>
      <w:r>
        <w:rPr>
          <w:rFonts w:ascii="Calibri" w:hAnsi="Calibri" w:cs="Calibri" w:eastAsia="Calibri"/>
          <w:b w:val="0"/>
          <w:i w:val="0"/>
          <w:color w:val="2C2C2C"/>
          <w:sz w:val="12"/>
        </w:rPr>
      </w:r>
    </w:p>
    <w:tbl>
      <w:tblPr>
        <w:tblW w:type="auto" w:w="0"/>
        <w:tblBorders>
          <w:top w:val="single" w:sz="4" w:space="0" w:color="DDE3EA"/>
          <w:start w:val="single" w:sz="18" w:space="0" w:color="C9A961"/>
          <w:bottom w:val="single" w:sz="4" w:space="0" w:color="DDE3EA"/>
          <w:end w:val="single" w:sz="4" w:space="0" w:color="DDE3EA"/>
          <w:insideH w:val="none" w:sz="0" w:space="0" w:color="auto"/>
          <w:insideV w:val="none" w:sz="0" w:space="0" w:color="auto"/>
        </w:tblBorders>
        <w:tblLayout w:type="fixed"/>
        <w:tblLook w:firstColumn="1" w:firstRow="1" w:lastColumn="0" w:lastRow="0" w:noHBand="0" w:noVBand="1" w:val="04A0"/>
      </w:tblPr>
      <w:tblGrid>
        <w:gridCol w:w="9558"/>
      </w:tblGrid>
      <w:tr>
        <w:tc>
          <w:tcPr>
            <w:tcW w:type="dxa" w:w="9558"/>
            <w:shd w:val="clear" w:color="auto" w:fill="FFFFFF"/>
            <w:tcMar>
              <w:top w:w="160" w:type="dxa"/>
              <w:start w:w="240" w:type="dxa"/>
              <w:bottom w:w="160" w:type="dxa"/>
              <w:end w:w="240" w:type="dxa"/>
            </w:tcMar>
          </w:tcPr>
          <w:p>
            <w:pPr>
              <w:spacing w:after="140"/>
            </w:pPr>
            <w:r>
              <w:rPr>
                <w:rFonts w:ascii="Calibri" w:hAnsi="Calibri" w:cs="Calibri" w:eastAsia="Calibri"/>
                <w:b/>
                <w:i w:val="0"/>
                <w:color w:val="1A3A5C"/>
                <w:spacing w:val="24"/>
                <w:sz w:val="21"/>
              </w:rPr>
              <w:t>КОНТАКТЫ БРОКЕРОВ</w:t>
            </w:r>
          </w:p>
          <w:p>
            <w:pPr>
              <w:keepNext w:val="1"/>
              <w:keepLines w:val="1"/>
              <w:tabs>
                <w:tab w:val="left" w:pos="480"/>
              </w:tabs>
              <w:spacing w:before="0" w:after="50"/>
              <w:ind w:left="480" w:hanging="240"/>
            </w:pPr>
            <w:r>
              <w:rPr>
                <w:rFonts w:ascii="Calibri" w:hAnsi="Calibri" w:cs="Calibri" w:eastAsia="Calibri"/>
                <w:b w:val="0"/>
                <w:i w:val="0"/>
                <w:color w:val="C9A961"/>
                <w:sz w:val="21"/>
              </w:rPr>
              <w:t>•</w:t>
            </w:r>
            <w:r>
              <w:rPr>
                <w:rFonts w:ascii="Calibri" w:hAnsi="Calibri" w:cs="Calibri" w:eastAsia="Calibri"/>
                <w:b w:val="0"/>
                <w:i w:val="0"/>
                <w:color w:val="2C2C2C"/>
                <w:sz w:val="19"/>
              </w:rPr>
              <w:tab/>
            </w:r>
            <w:r>
              <w:rPr>
                <w:rFonts w:ascii="Calibri" w:hAnsi="Calibri" w:cs="Calibri" w:eastAsia="Calibri"/>
                <w:b/>
                <w:i w:val="0"/>
                <w:color w:val="1A3A5C"/>
                <w:sz w:val="19"/>
              </w:rPr>
              <w:t>Steenovenweg 11‑13, Montfoort</w:t>
            </w:r>
            <w:r>
              <w:rPr>
                <w:rFonts w:ascii="Calibri" w:hAnsi="Calibri" w:cs="Calibri" w:eastAsia="Calibri"/>
                <w:b w:val="0"/>
                <w:i w:val="0"/>
                <w:color w:val="2C2C2C"/>
                <w:sz w:val="19"/>
              </w:rPr>
              <w:t xml:space="preserve"> — </w:t>
            </w:r>
            <w:r>
              <w:rPr>
                <w:rFonts w:ascii="Calibri" w:hAnsi="Calibri" w:cs="Calibri" w:eastAsia="Calibri"/>
                <w:b w:val="0"/>
                <w:i w:val="0"/>
                <w:color w:val="2C2C2C"/>
                <w:sz w:val="19"/>
              </w:rPr>
              <w:t>Ans de Wijn Bedrijfshuisvesting B.V., тел. 030‑2322303</w:t>
            </w:r>
          </w:p>
          <w:p>
            <w:pPr>
              <w:keepLines w:val="1"/>
              <w:tabs>
                <w:tab w:val="left" w:pos="480"/>
              </w:tabs>
              <w:spacing w:before="0" w:after="50"/>
              <w:ind w:left="480" w:hanging="240"/>
            </w:pPr>
            <w:r>
              <w:rPr>
                <w:rFonts w:ascii="Calibri" w:hAnsi="Calibri" w:cs="Calibri" w:eastAsia="Calibri"/>
                <w:b w:val="0"/>
                <w:i w:val="0"/>
                <w:color w:val="C9A961"/>
                <w:sz w:val="21"/>
              </w:rPr>
              <w:t>•</w:t>
            </w:r>
            <w:r>
              <w:rPr>
                <w:rFonts w:ascii="Calibri" w:hAnsi="Calibri" w:cs="Calibri" w:eastAsia="Calibri"/>
                <w:b w:val="0"/>
                <w:i w:val="0"/>
                <w:color w:val="2C2C2C"/>
                <w:sz w:val="19"/>
              </w:rPr>
              <w:tab/>
            </w:r>
            <w:r>
              <w:rPr>
                <w:rFonts w:ascii="Calibri" w:hAnsi="Calibri" w:cs="Calibri" w:eastAsia="Calibri"/>
                <w:b/>
                <w:i w:val="0"/>
                <w:color w:val="1A3A5C"/>
                <w:sz w:val="19"/>
              </w:rPr>
              <w:t>Decimalaan 3‑5‑7‑9 и Nieuw‑Amsterdamlaan 4‑6, Utrecht</w:t>
            </w:r>
            <w:r>
              <w:rPr>
                <w:rFonts w:ascii="Calibri" w:hAnsi="Calibri" w:cs="Calibri" w:eastAsia="Calibri"/>
                <w:b w:val="0"/>
                <w:i w:val="0"/>
                <w:color w:val="2C2C2C"/>
                <w:sz w:val="19"/>
              </w:rPr>
              <w:t xml:space="preserve"> — </w:t>
            </w:r>
            <w:r>
              <w:rPr>
                <w:rFonts w:ascii="Calibri" w:hAnsi="Calibri" w:cs="Calibri" w:eastAsia="Calibri"/>
                <w:b w:val="0"/>
                <w:i w:val="0"/>
                <w:color w:val="2C2C2C"/>
                <w:sz w:val="19"/>
              </w:rPr>
              <w:t>Brecheisen Bedrijfsmakelaars, тел. 030‑2331116</w:t>
            </w:r>
          </w:p>
          <w:p>
            <w:pPr>
              <w:keepLines w:val="1"/>
              <w:tabs>
                <w:tab w:val="left" w:pos="480"/>
              </w:tabs>
              <w:spacing w:before="0" w:after="50"/>
              <w:ind w:left="480" w:hanging="240"/>
            </w:pPr>
            <w:r>
              <w:rPr>
                <w:rFonts w:ascii="Calibri" w:hAnsi="Calibri" w:cs="Calibri" w:eastAsia="Calibri"/>
                <w:b w:val="0"/>
                <w:i w:val="0"/>
                <w:color w:val="C9A961"/>
                <w:sz w:val="21"/>
              </w:rPr>
              <w:t>•</w:t>
            </w:r>
            <w:r>
              <w:rPr>
                <w:rFonts w:ascii="Calibri" w:hAnsi="Calibri" w:cs="Calibri" w:eastAsia="Calibri"/>
                <w:b w:val="0"/>
                <w:i w:val="0"/>
                <w:color w:val="2C2C2C"/>
                <w:sz w:val="19"/>
              </w:rPr>
              <w:tab/>
            </w:r>
            <w:r>
              <w:rPr>
                <w:rFonts w:ascii="Calibri" w:hAnsi="Calibri" w:cs="Calibri" w:eastAsia="Calibri"/>
                <w:b/>
                <w:i w:val="0"/>
                <w:color w:val="1A3A5C"/>
                <w:sz w:val="19"/>
              </w:rPr>
              <w:t>Archimedesbaan 11 и 7‑9, Nieuwegein</w:t>
            </w:r>
            <w:r>
              <w:rPr>
                <w:rFonts w:ascii="Calibri" w:hAnsi="Calibri" w:cs="Calibri" w:eastAsia="Calibri"/>
                <w:b w:val="0"/>
                <w:i w:val="0"/>
                <w:color w:val="2C2C2C"/>
                <w:sz w:val="19"/>
              </w:rPr>
              <w:t xml:space="preserve"> — </w:t>
            </w:r>
            <w:r>
              <w:rPr>
                <w:rFonts w:ascii="Calibri" w:hAnsi="Calibri" w:cs="Calibri" w:eastAsia="Calibri"/>
                <w:b w:val="0"/>
                <w:i w:val="0"/>
                <w:color w:val="2C2C2C"/>
                <w:sz w:val="19"/>
              </w:rPr>
              <w:t>ActiVast Bedrijfshuisvesting, тел. 0318‑751188</w:t>
            </w:r>
          </w:p>
        </w:tc>
      </w:tr>
    </w:tbl>
    <w:p>
      <w:pPr>
        <w:spacing w:before="280" w:after="0"/>
        <w:jc w:val="both"/>
      </w:pPr>
      <w:r>
        <w:rPr>
          <w:rFonts w:ascii="Calibri" w:hAnsi="Calibri" w:cs="Calibri" w:eastAsia="Calibri"/>
          <w:b w:val="0"/>
          <w:i/>
          <w:color w:val="5A6E80"/>
          <w:sz w:val="17"/>
        </w:rPr>
        <w:t>Все расчёты в отчёте ориентировочные и выполнены по данным публикаций листингов. Отчёт не является инвестиционной рекомендацией, оценкой или офертой. Показатели, договоры аренды и технические характеристики подлежат проверке по документам продавца до принятия решения о сделке.</w:t>
      </w:r>
    </w:p>
    <w:sectPr w:rsidR="00FC693F" w:rsidRPr="0006063C" w:rsidSect="00034616">
      <w:headerReference w:type="default" r:id="rId68"/>
      <w:footerReference w:type="default" r:id="rId69"/>
      <w:pgSz w:w="11906" w:h="16838"/>
      <w:pgMar w:top="1077" w:right="1174" w:bottom="1134" w:left="1174"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fldSimple w:instr=" PAGE ">
      <w:r>
        <w:rPr>
          <w:rFonts w:ascii="Calibri" w:hAnsi="Calibri" w:cs="Calibri" w:eastAsia="Calibri"/>
          <w:b w:val="0"/>
          <w:i w:val="0"/>
          <w:color w:val="5A6E80"/>
          <w:sz w:val="17"/>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fldSimple w:instr=" PAGE ">
      <w:r>
        <w:rPr>
          <w:rFonts w:ascii="Calibri" w:hAnsi="Calibri" w:cs="Calibri" w:eastAsia="Calibri"/>
          <w:b w:val="0"/>
          <w:i w:val="0"/>
          <w:color w:val="5A6E80"/>
          <w:sz w:val="17"/>
        </w:rPr>
        <w:t>1</w:t>
      </w:r>
    </w:fldSimpl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fldSimple w:instr=" PAGE ">
      <w:r>
        <w:rPr>
          <w:rFonts w:ascii="Calibri" w:hAnsi="Calibri" w:cs="Calibri" w:eastAsia="Calibri"/>
          <w:b w:val="0"/>
          <w:i w:val="0"/>
          <w:color w:val="5A6E80"/>
          <w:sz w:val="17"/>
        </w:rPr>
        <w:t>1</w:t>
      </w:r>
    </w:fldSimple>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fldSimple w:instr=" PAGE ">
      <w:r>
        <w:rPr>
          <w:rFonts w:ascii="Calibri" w:hAnsi="Calibri" w:cs="Calibri" w:eastAsia="Calibri"/>
          <w:b w:val="0"/>
          <w:i w:val="0"/>
          <w:color w:val="5A6E80"/>
          <w:sz w:val="17"/>
        </w:rPr>
        <w:t>1</w:t>
      </w:r>
    </w:fldSimpl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fldSimple w:instr=" PAGE ">
      <w:r>
        <w:rPr>
          <w:rFonts w:ascii="Calibri" w:hAnsi="Calibri" w:cs="Calibri" w:eastAsia="Calibri"/>
          <w:b w:val="0"/>
          <w:i w:val="0"/>
          <w:color w:val="5A6E80"/>
          <w:sz w:val="17"/>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2" w:space="3" w:color="D8D8D8"/>
      </w:pBdr>
      <w:tabs>
        <w:tab w:pos="9558" w:val="right"/>
      </w:tabs>
      <w:spacing w:before="0" w:after="0"/>
    </w:pPr>
    <w:r>
      <w:rPr>
        <w:rFonts w:ascii="Calibri" w:hAnsi="Calibri" w:cs="Calibri" w:eastAsia="Calibri"/>
        <w:b w:val="0"/>
        <w:i w:val="0"/>
        <w:color w:val="5A6E80"/>
        <w:sz w:val="17"/>
      </w:rPr>
      <w:t>Сравнение объектов</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2" w:space="3" w:color="D8D8D8"/>
      </w:pBdr>
      <w:tabs>
        <w:tab w:pos="9558" w:val="right"/>
      </w:tabs>
      <w:spacing w:before="0" w:after="0"/>
    </w:pPr>
    <w:r>
      <w:rPr>
        <w:rFonts w:ascii="Calibri" w:hAnsi="Calibri" w:cs="Calibri" w:eastAsia="Calibri"/>
        <w:b w:val="0"/>
        <w:i w:val="0"/>
        <w:color w:val="5A6E80"/>
        <w:sz w:val="17"/>
      </w:rPr>
      <w:t>Steenovenweg 11‑13, Montfoort</w:t>
    </w:r>
    <w:r>
      <w:rPr>
        <w:rFonts w:ascii="Calibri" w:hAnsi="Calibri" w:cs="Calibri" w:eastAsia="Calibri"/>
        <w:b w:val="0"/>
        <w:i w:val="0"/>
        <w:color w:val="5A6E80"/>
        <w:sz w:val="17"/>
      </w:rPr>
      <w:tab/>
    </w:r>
    <w:r>
      <w:rPr>
        <w:rFonts w:ascii="Calibri" w:hAnsi="Calibri" w:cs="Calibri" w:eastAsia="Calibri"/>
        <w:b w:val="0"/>
        <w:i w:val="0"/>
        <w:color w:val="5A6E80"/>
        <w:sz w:val="17"/>
      </w:rPr>
      <w:t>€ 975.000</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2" w:space="3" w:color="D8D8D8"/>
      </w:pBdr>
      <w:tabs>
        <w:tab w:pos="9558" w:val="right"/>
      </w:tabs>
      <w:spacing w:before="0" w:after="0"/>
    </w:pPr>
    <w:r>
      <w:rPr>
        <w:rFonts w:ascii="Calibri" w:hAnsi="Calibri" w:cs="Calibri" w:eastAsia="Calibri"/>
        <w:b w:val="0"/>
        <w:i w:val="0"/>
        <w:color w:val="5A6E80"/>
        <w:sz w:val="17"/>
      </w:rPr>
      <w:t>Decimalaan 3‑5‑7‑9 и Nieuw‑Amsterdamlaan 4‑6, Utrecht</w:t>
    </w:r>
    <w:r>
      <w:rPr>
        <w:rFonts w:ascii="Calibri" w:hAnsi="Calibri" w:cs="Calibri" w:eastAsia="Calibri"/>
        <w:b w:val="0"/>
        <w:i w:val="0"/>
        <w:color w:val="5A6E80"/>
        <w:sz w:val="17"/>
      </w:rPr>
      <w:tab/>
    </w:r>
    <w:r>
      <w:rPr>
        <w:rFonts w:ascii="Calibri" w:hAnsi="Calibri" w:cs="Calibri" w:eastAsia="Calibri"/>
        <w:b w:val="0"/>
        <w:i w:val="0"/>
        <w:color w:val="5A6E80"/>
        <w:sz w:val="17"/>
      </w:rPr>
      <w:t>€ 2.975.000</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2" w:space="3" w:color="D8D8D8"/>
      </w:pBdr>
      <w:tabs>
        <w:tab w:pos="9558" w:val="right"/>
      </w:tabs>
      <w:spacing w:before="0" w:after="0"/>
    </w:pPr>
    <w:r>
      <w:rPr>
        <w:rFonts w:ascii="Calibri" w:hAnsi="Calibri" w:cs="Calibri" w:eastAsia="Calibri"/>
        <w:b w:val="0"/>
        <w:i w:val="0"/>
        <w:color w:val="5A6E80"/>
        <w:sz w:val="17"/>
      </w:rPr>
      <w:t>Archimedesbaan 11 и 7‑9, Nieuwegein</w:t>
    </w:r>
    <w:r>
      <w:rPr>
        <w:rFonts w:ascii="Calibri" w:hAnsi="Calibri" w:cs="Calibri" w:eastAsia="Calibri"/>
        <w:b w:val="0"/>
        <w:i w:val="0"/>
        <w:color w:val="5A6E80"/>
        <w:sz w:val="17"/>
      </w:rPr>
      <w:tab/>
    </w:r>
    <w:r>
      <w:rPr>
        <w:rFonts w:ascii="Calibri" w:hAnsi="Calibri" w:cs="Calibri" w:eastAsia="Calibri"/>
        <w:b w:val="0"/>
        <w:i w:val="0"/>
        <w:color w:val="5A6E80"/>
        <w:sz w:val="17"/>
      </w:rPr>
      <w:t>€ 1.750.000</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2" w:space="3" w:color="D8D8D8"/>
      </w:pBdr>
      <w:tabs>
        <w:tab w:pos="9558" w:val="right"/>
      </w:tabs>
      <w:spacing w:before="0" w:after="0"/>
    </w:pPr>
    <w:r>
      <w:rPr>
        <w:rFonts w:ascii="Calibri" w:hAnsi="Calibri" w:cs="Calibri" w:eastAsia="Calibri"/>
        <w:b w:val="0"/>
        <w:i w:val="0"/>
        <w:color w:val="5A6E80"/>
        <w:sz w:val="17"/>
      </w:rPr>
      <w:t>Методика, источники и глоссарий</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76" w:lineRule="auto"/>
    </w:pPr>
    <w:rPr>
      <w:rFonts w:ascii="Calibri" w:hAnsi="Calibri"/>
      <w:color w:val="2C2C2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276" w:lineRule="auto"/>
      <w:outlineLvl w:val="0"/>
    </w:pPr>
    <w:rPr>
      <w:rFonts w:ascii="Calibri" w:hAnsi="Calibri" w:cs="Calibri" w:eastAsia="Calibri"/>
      <w:b/>
      <w:bCs/>
      <w:color w:val="1A3A5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jpg"/><Relationship Id="rId14" Type="http://schemas.openxmlformats.org/officeDocument/2006/relationships/hyperlink" Target="https://www.fundainbusiness.nl/en/belegging/montfoort/object-44425433-steenovenweg-11-13/" TargetMode="External"/><Relationship Id="rId15" Type="http://schemas.openxmlformats.org/officeDocument/2006/relationships/image" Target="media/image2.png"/><Relationship Id="rId16" Type="http://schemas.openxmlformats.org/officeDocument/2006/relationships/image" Target="media/image3.jpg"/><Relationship Id="rId17" Type="http://schemas.openxmlformats.org/officeDocument/2006/relationships/image" Target="media/image4.jpg"/><Relationship Id="rId18" Type="http://schemas.openxmlformats.org/officeDocument/2006/relationships/image" Target="media/image5.jpg"/><Relationship Id="rId19" Type="http://schemas.openxmlformats.org/officeDocument/2006/relationships/image" Target="media/image6.jpg"/><Relationship Id="rId20" Type="http://schemas.openxmlformats.org/officeDocument/2006/relationships/image" Target="media/image7.jpg"/><Relationship Id="rId21" Type="http://schemas.openxmlformats.org/officeDocument/2006/relationships/image" Target="media/image8.jpg"/><Relationship Id="rId22" Type="http://schemas.openxmlformats.org/officeDocument/2006/relationships/image" Target="media/image9.jpg"/><Relationship Id="rId23" Type="http://schemas.openxmlformats.org/officeDocument/2006/relationships/image" Target="media/image10.jpg"/><Relationship Id="rId24" Type="http://schemas.openxmlformats.org/officeDocument/2006/relationships/image" Target="media/image11.jpg"/><Relationship Id="rId25" Type="http://schemas.openxmlformats.org/officeDocument/2006/relationships/image" Target="media/image12.jpg"/><Relationship Id="rId26" Type="http://schemas.openxmlformats.org/officeDocument/2006/relationships/image" Target="media/image13.jpg"/><Relationship Id="rId27" Type="http://schemas.openxmlformats.org/officeDocument/2006/relationships/image" Target="media/image14.jpg"/><Relationship Id="rId28" Type="http://schemas.openxmlformats.org/officeDocument/2006/relationships/image" Target="media/image15.jpg"/><Relationship Id="rId29" Type="http://schemas.openxmlformats.org/officeDocument/2006/relationships/image" Target="media/image16.jpg"/><Relationship Id="rId30" Type="http://schemas.openxmlformats.org/officeDocument/2006/relationships/header" Target="header3.xml"/><Relationship Id="rId31" Type="http://schemas.openxmlformats.org/officeDocument/2006/relationships/footer" Target="footer3.xml"/><Relationship Id="rId32" Type="http://schemas.openxmlformats.org/officeDocument/2006/relationships/image" Target="media/image17.jpg"/><Relationship Id="rId33" Type="http://schemas.openxmlformats.org/officeDocument/2006/relationships/hyperlink" Target="https://www.fundainbusiness.nl/en/belegging/utrecht/object-43068622-decimalaan-3/" TargetMode="External"/><Relationship Id="rId34" Type="http://schemas.openxmlformats.org/officeDocument/2006/relationships/image" Target="media/image18.png"/><Relationship Id="rId35" Type="http://schemas.openxmlformats.org/officeDocument/2006/relationships/image" Target="media/image19.jpg"/><Relationship Id="rId36" Type="http://schemas.openxmlformats.org/officeDocument/2006/relationships/image" Target="media/image20.jpg"/><Relationship Id="rId37" Type="http://schemas.openxmlformats.org/officeDocument/2006/relationships/image" Target="media/image21.jpg"/><Relationship Id="rId38" Type="http://schemas.openxmlformats.org/officeDocument/2006/relationships/image" Target="media/image22.jpg"/><Relationship Id="rId39" Type="http://schemas.openxmlformats.org/officeDocument/2006/relationships/image" Target="media/image23.jpg"/><Relationship Id="rId40" Type="http://schemas.openxmlformats.org/officeDocument/2006/relationships/image" Target="media/image24.jpg"/><Relationship Id="rId41" Type="http://schemas.openxmlformats.org/officeDocument/2006/relationships/image" Target="media/image25.jpg"/><Relationship Id="rId42" Type="http://schemas.openxmlformats.org/officeDocument/2006/relationships/image" Target="media/image26.jpg"/><Relationship Id="rId43" Type="http://schemas.openxmlformats.org/officeDocument/2006/relationships/image" Target="media/image27.jpg"/><Relationship Id="rId44" Type="http://schemas.openxmlformats.org/officeDocument/2006/relationships/image" Target="media/image28.jpg"/><Relationship Id="rId45" Type="http://schemas.openxmlformats.org/officeDocument/2006/relationships/image" Target="media/image29.jpg"/><Relationship Id="rId46" Type="http://schemas.openxmlformats.org/officeDocument/2006/relationships/image" Target="media/image30.jpg"/><Relationship Id="rId47" Type="http://schemas.openxmlformats.org/officeDocument/2006/relationships/image" Target="media/image31.jpg"/><Relationship Id="rId48" Type="http://schemas.openxmlformats.org/officeDocument/2006/relationships/image" Target="media/image32.jpg"/><Relationship Id="rId49" Type="http://schemas.openxmlformats.org/officeDocument/2006/relationships/header" Target="header4.xml"/><Relationship Id="rId50" Type="http://schemas.openxmlformats.org/officeDocument/2006/relationships/footer" Target="footer4.xml"/><Relationship Id="rId51" Type="http://schemas.openxmlformats.org/officeDocument/2006/relationships/image" Target="media/image33.jpg"/><Relationship Id="rId52" Type="http://schemas.openxmlformats.org/officeDocument/2006/relationships/hyperlink" Target="https://www.fundainbusiness.nl/en/belegging/nieuwegein/object-80846890-archimedesbaan-11/" TargetMode="External"/><Relationship Id="rId53" Type="http://schemas.openxmlformats.org/officeDocument/2006/relationships/image" Target="media/image34.png"/><Relationship Id="rId54" Type="http://schemas.openxmlformats.org/officeDocument/2006/relationships/image" Target="media/image35.jpg"/><Relationship Id="rId55" Type="http://schemas.openxmlformats.org/officeDocument/2006/relationships/image" Target="media/image36.jpg"/><Relationship Id="rId56" Type="http://schemas.openxmlformats.org/officeDocument/2006/relationships/image" Target="media/image37.jpg"/><Relationship Id="rId57" Type="http://schemas.openxmlformats.org/officeDocument/2006/relationships/image" Target="media/image38.jpg"/><Relationship Id="rId58" Type="http://schemas.openxmlformats.org/officeDocument/2006/relationships/image" Target="media/image39.jpg"/><Relationship Id="rId59" Type="http://schemas.openxmlformats.org/officeDocument/2006/relationships/image" Target="media/image40.jpg"/><Relationship Id="rId60" Type="http://schemas.openxmlformats.org/officeDocument/2006/relationships/image" Target="media/image41.jpg"/><Relationship Id="rId61" Type="http://schemas.openxmlformats.org/officeDocument/2006/relationships/image" Target="media/image42.jpg"/><Relationship Id="rId62" Type="http://schemas.openxmlformats.org/officeDocument/2006/relationships/image" Target="media/image43.jpg"/><Relationship Id="rId63" Type="http://schemas.openxmlformats.org/officeDocument/2006/relationships/image" Target="media/image44.jpg"/><Relationship Id="rId64" Type="http://schemas.openxmlformats.org/officeDocument/2006/relationships/image" Target="media/image45.jpg"/><Relationship Id="rId65" Type="http://schemas.openxmlformats.org/officeDocument/2006/relationships/image" Target="media/image46.jpg"/><Relationship Id="rId66" Type="http://schemas.openxmlformats.org/officeDocument/2006/relationships/image" Target="media/image47.jpg"/><Relationship Id="rId67" Type="http://schemas.openxmlformats.org/officeDocument/2006/relationships/image" Target="media/image48.jpg"/><Relationship Id="rId68" Type="http://schemas.openxmlformats.org/officeDocument/2006/relationships/header" Target="header5.xml"/><Relationship Id="rId69"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ОБЪЕКТЫ НЕДВИЖИМОСТИ</dc:title>
  <dc:subject>Нидерланды</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