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Arial" w:cs="Arial" w:eastAsia="Arial" w:hAnsi="Arial"/>
          <w:b/>
          <w:bCs/>
          <w:i w:val="false"/>
          <w:iCs w:val="false"/>
          <w:caps/>
          <w:color w:val="A9762F"/>
          <w:spacing w:val="60"/>
          <w:sz w:val="16"/>
          <w:szCs w:val="16"/>
        </w:rPr>
        <w:t xml:space="preserve">Информационная справка · Москва · 2 августа 2026</w:t>
      </w:r>
    </w:p>
    <w:p>
      <w:pPr>
        <w:spacing w:after="40"/>
      </w:pPr>
      <w:r>
        <w:rPr>
          <w:rFonts w:ascii="Georgia" w:cs="Georgia" w:eastAsia="Georgia" w:hAnsi="Georgia"/>
          <w:b/>
          <w:bCs/>
          <w:i w:val="false"/>
          <w:iCs w:val="false"/>
          <w:color w:val="1F2A44"/>
          <w:sz w:val="44"/>
          <w:szCs w:val="44"/>
        </w:rPr>
        <w:t xml:space="preserve">EDEN</w:t>
      </w:r>
    </w:p>
    <w:p>
      <w:pPr>
        <w:spacing w:after="60"/>
      </w:pPr>
      <w:r>
        <w:rPr>
          <w:rFonts w:ascii="Georgia" w:cs="Georgia" w:eastAsia="Georgia" w:hAnsi="Georgia"/>
          <w:b w:val="false"/>
          <w:bCs w:val="false"/>
          <w:i w:val="false"/>
          <w:iCs w:val="false"/>
          <w:color w:val="A9762F"/>
          <w:sz w:val="24"/>
          <w:szCs w:val="24"/>
        </w:rPr>
        <w:t xml:space="preserve">Private Residence — клубный дом де-люкс на 22 резиденции</w:t>
      </w:r>
    </w:p>
    <w:p>
      <w:pPr>
        <w:spacing w:after="150"/>
      </w:pPr>
      <w:r>
        <w:rPr>
          <w:rFonts w:ascii="Arial" w:cs="Arial" w:eastAsia="Arial" w:hAnsi="Arial"/>
          <w:b w:val="false"/>
          <w:bCs w:val="false"/>
          <w:i w:val="false"/>
          <w:iCs w:val="false"/>
          <w:color w:val="70788A"/>
          <w:sz w:val="18"/>
          <w:szCs w:val="18"/>
        </w:rPr>
        <w:t xml:space="preserve">Москва, ЦАО, Нижний Кисловский переулок, 7  ·  застройщик Sense  ·  м. «Арбатская»</w:t>
      </w:r>
    </w:p>
    <w:p>
      <w:pPr>
        <w:pBdr>
          <w:bottom w:val="single" w:color="D9D4CB" w:sz="6" w:space="2"/>
        </w:pBdr>
        <w:spacing w:after="130"/>
      </w:pPr>
      <w:r>
        <w:rPr>
          <w:rFonts w:ascii="Arial" w:cs="Arial" w:eastAsia="Arial" w:hAnsi="Arial"/>
          <w:b w:val="false"/>
          <w:bCs w:val="false"/>
          <w:i w:val="false"/>
          <w:iCs w:val="false"/>
          <w:color w:val="2A2E38"/>
          <w:sz w:val="19"/>
          <w:szCs w:val="19"/>
        </w:rPr>
        <w:t xml:space="preserve"/>
      </w:r>
    </w:p>
    <w:p>
      <w:pPr>
        <w:spacing w:after="90"/>
      </w:pPr>
      <w:r>
        <w:rPr>
          <w:rFonts w:ascii="Arial" w:cs="Arial" w:eastAsia="Arial" w:hAnsi="Arial"/>
          <w:b/>
          <w:bCs/>
          <w:i w:val="false"/>
          <w:iCs w:val="false"/>
          <w:caps/>
          <w:color w:val="1F2A44"/>
          <w:spacing w:val="60"/>
          <w:sz w:val="16"/>
          <w:szCs w:val="16"/>
        </w:rPr>
        <w:t xml:space="preserve">Основные параметры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A9762F" w:sz="18"/>
              <w:left w:val="single" w:color="FCFCFB" w:sz="26"/>
              <w:bottom w:val="none" w:color="auto" w:sz="0"/>
              <w:right w:val="single" w:color="FCFCFB" w:sz="26"/>
            </w:tcBorders>
            <w:shd w:fill="F5F2ED" w:color="auto" w:val="clear"/>
            <w:tcMar>
              <w:top w:type="dxa" w:w="118"/>
              <w:left w:type="dxa" w:w="170"/>
              <w:bottom w:type="dxa" w:w="118"/>
              <w:right w:type="dxa" w:w="110"/>
            </w:tcMar>
            <w:vAlign w:val="center"/>
          </w:tcPr>
          <w:p>
            <w:pPr>
              <w:spacing w:after="40" w:line="240" w:lineRule="auto"/>
            </w:pPr>
            <w:r>
              <w:rPr>
                <w:rFonts w:ascii="Georgia" w:cs="Georgia" w:eastAsia="Georgia" w:hAnsi="Georgia"/>
                <w:b/>
                <w:bCs/>
                <w:i w:val="false"/>
                <w:iCs w:val="false"/>
                <w:color w:val="1F2A44"/>
                <w:sz w:val="27"/>
                <w:szCs w:val="27"/>
              </w:rPr>
              <w:t xml:space="preserve">22</w:t>
            </w:r>
          </w:p>
          <w:p>
            <w:pPr>
              <w:spacing w:after="0" w:line="200" w:lineRule="auto"/>
            </w:pPr>
            <w:r>
              <w:rPr>
                <w:rFonts w:ascii="Arial" w:cs="Arial" w:eastAsia="Arial" w:hAnsi="Arial"/>
                <w:b w:val="false"/>
                <w:bCs w:val="false"/>
                <w:i w:val="false"/>
                <w:iCs w:val="false"/>
                <w:caps/>
                <w:color w:val="70788A"/>
                <w:spacing w:val="24"/>
                <w:sz w:val="13"/>
                <w:szCs w:val="13"/>
              </w:rPr>
              <w:t xml:space="preserve">Резиденции</w:t>
            </w:r>
          </w:p>
        </w:tc>
        <w:tc>
          <w:tcPr>
            <w:tcW w:type="dxa" w:w="2409"/>
            <w:tcBorders>
              <w:top w:val="single" w:color="A9762F" w:sz="18"/>
              <w:left w:val="single" w:color="FCFCFB" w:sz="26"/>
              <w:bottom w:val="none" w:color="auto" w:sz="0"/>
              <w:right w:val="single" w:color="FCFCFB" w:sz="26"/>
            </w:tcBorders>
            <w:shd w:fill="F5F2ED" w:color="auto" w:val="clear"/>
            <w:tcMar>
              <w:top w:type="dxa" w:w="118"/>
              <w:left w:type="dxa" w:w="170"/>
              <w:bottom w:type="dxa" w:w="118"/>
              <w:right w:type="dxa" w:w="110"/>
            </w:tcMar>
            <w:vAlign w:val="center"/>
          </w:tcPr>
          <w:p>
            <w:pPr>
              <w:spacing w:after="40" w:line="240" w:lineRule="auto"/>
            </w:pPr>
            <w:r>
              <w:rPr>
                <w:rFonts w:ascii="Georgia" w:cs="Georgia" w:eastAsia="Georgia" w:hAnsi="Georgia"/>
                <w:b/>
                <w:bCs/>
                <w:i w:val="false"/>
                <w:iCs w:val="false"/>
                <w:color w:val="1F2A44"/>
                <w:sz w:val="27"/>
                <w:szCs w:val="27"/>
              </w:rPr>
              <w:t xml:space="preserve">от 1,1 млрд ₽</w:t>
            </w:r>
          </w:p>
          <w:p>
            <w:pPr>
              <w:spacing w:after="0" w:line="200" w:lineRule="auto"/>
            </w:pPr>
            <w:r>
              <w:rPr>
                <w:rFonts w:ascii="Arial" w:cs="Arial" w:eastAsia="Arial" w:hAnsi="Arial"/>
                <w:b w:val="false"/>
                <w:bCs w:val="false"/>
                <w:i w:val="false"/>
                <w:iCs w:val="false"/>
                <w:caps/>
                <w:color w:val="70788A"/>
                <w:spacing w:val="24"/>
                <w:sz w:val="13"/>
                <w:szCs w:val="13"/>
              </w:rPr>
              <w:t xml:space="preserve">Старт продаж</w:t>
            </w:r>
          </w:p>
        </w:tc>
        <w:tc>
          <w:tcPr>
            <w:tcW w:type="dxa" w:w="2409"/>
            <w:tcBorders>
              <w:top w:val="single" w:color="A9762F" w:sz="18"/>
              <w:left w:val="single" w:color="FCFCFB" w:sz="26"/>
              <w:bottom w:val="none" w:color="auto" w:sz="0"/>
              <w:right w:val="single" w:color="FCFCFB" w:sz="26"/>
            </w:tcBorders>
            <w:shd w:fill="F5F2ED" w:color="auto" w:val="clear"/>
            <w:tcMar>
              <w:top w:type="dxa" w:w="118"/>
              <w:left w:type="dxa" w:w="170"/>
              <w:bottom w:type="dxa" w:w="118"/>
              <w:right w:type="dxa" w:w="110"/>
            </w:tcMar>
            <w:vAlign w:val="center"/>
          </w:tcPr>
          <w:p>
            <w:pPr>
              <w:spacing w:after="40" w:line="240" w:lineRule="auto"/>
            </w:pPr>
            <w:r>
              <w:rPr>
                <w:rFonts w:ascii="Georgia" w:cs="Georgia" w:eastAsia="Georgia" w:hAnsi="Georgia"/>
                <w:b/>
                <w:bCs/>
                <w:i w:val="false"/>
                <w:iCs w:val="false"/>
                <w:color w:val="1F2A44"/>
                <w:sz w:val="27"/>
                <w:szCs w:val="27"/>
              </w:rPr>
              <w:t xml:space="preserve">≈ 4,4 млн ₽</w:t>
            </w:r>
          </w:p>
          <w:p>
            <w:pPr>
              <w:spacing w:after="0" w:line="200" w:lineRule="auto"/>
            </w:pPr>
            <w:r>
              <w:rPr>
                <w:rFonts w:ascii="Arial" w:cs="Arial" w:eastAsia="Arial" w:hAnsi="Arial"/>
                <w:b w:val="false"/>
                <w:bCs w:val="false"/>
                <w:i w:val="false"/>
                <w:iCs w:val="false"/>
                <w:caps/>
                <w:color w:val="70788A"/>
                <w:spacing w:val="24"/>
                <w:sz w:val="13"/>
                <w:szCs w:val="13"/>
              </w:rPr>
              <w:t xml:space="preserve">Расчётная цена метра</w:t>
            </w:r>
          </w:p>
        </w:tc>
        <w:tc>
          <w:tcPr>
            <w:tcW w:type="dxa" w:w="2411"/>
            <w:tcBorders>
              <w:top w:val="single" w:color="B3282D" w:sz="18"/>
              <w:left w:val="single" w:color="FCFCFB" w:sz="26"/>
              <w:bottom w:val="none" w:color="auto" w:sz="0"/>
              <w:right w:val="single" w:color="FCFCFB" w:sz="26"/>
            </w:tcBorders>
            <w:shd w:fill="F7EEEE" w:color="auto" w:val="clear"/>
            <w:tcMar>
              <w:top w:type="dxa" w:w="118"/>
              <w:left w:type="dxa" w:w="170"/>
              <w:bottom w:type="dxa" w:w="118"/>
              <w:right w:type="dxa" w:w="110"/>
            </w:tcMar>
            <w:vAlign w:val="center"/>
          </w:tcPr>
          <w:p>
            <w:pPr>
              <w:spacing w:after="40" w:line="240" w:lineRule="auto"/>
            </w:pPr>
            <w:r>
              <w:rPr>
                <w:rFonts w:ascii="Georgia" w:cs="Georgia" w:eastAsia="Georgia" w:hAnsi="Georgia"/>
                <w:b/>
                <w:bCs/>
                <w:i w:val="false"/>
                <w:iCs w:val="false"/>
                <w:color w:val="B3282D"/>
                <w:sz w:val="27"/>
                <w:szCs w:val="27"/>
              </w:rPr>
              <w:t xml:space="preserve">III кв. 2029</w:t>
            </w:r>
          </w:p>
          <w:p>
            <w:pPr>
              <w:spacing w:after="0" w:line="200" w:lineRule="auto"/>
            </w:pPr>
            <w:r>
              <w:rPr>
                <w:rFonts w:ascii="Arial" w:cs="Arial" w:eastAsia="Arial" w:hAnsi="Arial"/>
                <w:b w:val="false"/>
                <w:bCs w:val="false"/>
                <w:i w:val="false"/>
                <w:iCs w:val="false"/>
                <w:caps/>
                <w:color w:val="70788A"/>
                <w:spacing w:val="24"/>
                <w:sz w:val="13"/>
                <w:szCs w:val="13"/>
              </w:rPr>
              <w:t xml:space="preserve">Срок сдачи</w:t>
            </w:r>
          </w:p>
        </w:tc>
      </w:tr>
    </w:tbl>
    <w:p>
      <w:pPr>
        <w:spacing w:after="50"/>
      </w:pPr>
      <w:r>
        <w:rPr>
          <w:rFonts w:ascii="Arial" w:cs="Arial" w:eastAsia="Arial" w:hAnsi="Arial"/>
          <w:b w:val="false"/>
          <w:bCs w:val="false"/>
          <w:i w:val="false"/>
          <w:iCs w:val="false"/>
          <w:color w:val="2A2E38"/>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19"/>
        <w:gridCol w:w="1900"/>
        <w:gridCol w:w="2919"/>
      </w:tblGrid>
      <w:tr>
        <w:tc>
          <w:tcPr>
            <w:tcW w:type="dxa" w:w="1900"/>
            <w:tcBorders>
              <w:top w:val="none" w:color="auto" w:sz="0"/>
              <w:left w:val="none" w:color="auto" w:sz="0"/>
              <w:bottom w:val="none" w:color="auto" w:sz="0"/>
              <w:right w:val="none" w:color="auto" w:sz="0"/>
            </w:tcBorders>
            <w:shd w:fill="FAF8F5" w:color="auto" w:val="clear"/>
            <w:tcMar>
              <w:top w:type="dxa" w:w="58"/>
              <w:left w:type="dxa" w:w="17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Название</w:t>
            </w:r>
          </w:p>
        </w:tc>
        <w:tc>
          <w:tcPr>
            <w:tcW w:type="dxa" w:w="2919"/>
            <w:tcBorders>
              <w:top w:val="none" w:color="auto" w:sz="0"/>
              <w:left w:val="none" w:color="auto" w:sz="0"/>
              <w:bottom w:val="none" w:color="auto" w:sz="0"/>
              <w:right w:val="none" w:color="auto" w:sz="0"/>
            </w:tcBorders>
            <w:shd w:fill="FAF8F5" w:color="auto" w:val="clear"/>
            <w:tcMar>
              <w:top w:type="dxa" w:w="58"/>
              <w:left w:type="dxa" w:w="60"/>
              <w:bottom w:type="dxa" w:w="58"/>
              <w:right w:type="dxa" w:w="60"/>
            </w:tcMar>
            <w:vAlign w:val="center"/>
          </w:tcPr>
          <w:p>
            <w:pPr>
              <w:spacing w:after="0" w:line="220" w:lineRule="auto"/>
            </w:pPr>
            <w:r>
              <w:rPr>
                <w:rFonts w:ascii="Arial" w:cs="Arial" w:eastAsia="Arial" w:hAnsi="Arial"/>
                <w:b/>
                <w:bCs/>
                <w:i w:val="false"/>
                <w:iCs w:val="false"/>
                <w:color w:val="1F2A44"/>
                <w:sz w:val="17"/>
                <w:szCs w:val="17"/>
              </w:rPr>
              <w:t xml:space="preserve">EDEN Private Residence</w:t>
            </w:r>
          </w:p>
        </w:tc>
        <w:tc>
          <w:tcPr>
            <w:tcW w:type="dxa" w:w="1900"/>
            <w:tcBorders>
              <w:top w:val="none" w:color="auto" w:sz="0"/>
              <w:left w:val="none" w:color="auto" w:sz="0"/>
              <w:bottom w:val="none" w:color="auto" w:sz="0"/>
              <w:right w:val="none" w:color="auto" w:sz="0"/>
            </w:tcBorders>
            <w:shd w:fill="FAF8F5" w:color="auto" w:val="clear"/>
            <w:tcMar>
              <w:top w:type="dxa" w:w="58"/>
              <w:left w:type="dxa" w:w="22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Адрес</w:t>
            </w:r>
          </w:p>
        </w:tc>
        <w:tc>
          <w:tcPr>
            <w:tcW w:type="dxa" w:w="2919"/>
            <w:tcBorders>
              <w:top w:val="none" w:color="auto" w:sz="0"/>
              <w:left w:val="none" w:color="auto" w:sz="0"/>
              <w:bottom w:val="none" w:color="auto" w:sz="0"/>
              <w:right w:val="none" w:color="auto" w:sz="0"/>
            </w:tcBorders>
            <w:shd w:fill="FAF8F5" w:color="auto" w:val="clear"/>
            <w:tcMar>
              <w:top w:type="dxa" w:w="58"/>
              <w:left w:type="dxa" w:w="60"/>
              <w:bottom w:type="dxa" w:w="58"/>
              <w:right w:type="dxa" w:w="170"/>
            </w:tcMar>
            <w:vAlign w:val="center"/>
          </w:tcPr>
          <w:p>
            <w:pPr>
              <w:spacing w:after="0" w:line="220" w:lineRule="auto"/>
            </w:pPr>
            <w:r>
              <w:rPr>
                <w:rFonts w:ascii="Arial" w:cs="Arial" w:eastAsia="Arial" w:hAnsi="Arial"/>
                <w:b/>
                <w:bCs/>
                <w:i w:val="false"/>
                <w:iCs w:val="false"/>
                <w:color w:val="1F2A44"/>
                <w:sz w:val="17"/>
                <w:szCs w:val="17"/>
              </w:rPr>
              <w:t xml:space="preserve">Нижний Кисловский пер., 7, стр. 1 и 2</w:t>
            </w:r>
          </w:p>
        </w:tc>
      </w:tr>
      <w:tr>
        <w:tc>
          <w:tcPr>
            <w:tcW w:type="dxa" w:w="1900"/>
            <w:tcBorders>
              <w:top w:val="none" w:color="auto" w:sz="0"/>
              <w:left w:val="none" w:color="auto" w:sz="0"/>
              <w:bottom w:val="none" w:color="auto" w:sz="0"/>
              <w:right w:val="none" w:color="auto" w:sz="0"/>
            </w:tcBorders>
            <w:tcMar>
              <w:top w:type="dxa" w:w="58"/>
              <w:left w:type="dxa" w:w="17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Округ и район</w:t>
            </w:r>
          </w:p>
        </w:tc>
        <w:tc>
          <w:tcPr>
            <w:tcW w:type="dxa" w:w="2919"/>
            <w:tcBorders>
              <w:top w:val="none" w:color="auto" w:sz="0"/>
              <w:left w:val="none" w:color="auto" w:sz="0"/>
              <w:bottom w:val="none" w:color="auto" w:sz="0"/>
              <w:right w:val="none" w:color="auto" w:sz="0"/>
            </w:tcBorders>
            <w:tcMar>
              <w:top w:type="dxa" w:w="58"/>
              <w:left w:type="dxa" w:w="60"/>
              <w:bottom w:type="dxa" w:w="58"/>
              <w:right w:type="dxa" w:w="60"/>
            </w:tcMar>
            <w:vAlign w:val="center"/>
          </w:tcPr>
          <w:p>
            <w:pPr>
              <w:spacing w:after="0" w:line="220" w:lineRule="auto"/>
            </w:pPr>
            <w:r>
              <w:rPr>
                <w:rFonts w:ascii="Arial" w:cs="Arial" w:eastAsia="Arial" w:hAnsi="Arial"/>
                <w:b/>
                <w:bCs/>
                <w:i w:val="false"/>
                <w:iCs w:val="false"/>
                <w:color w:val="1F2A44"/>
                <w:sz w:val="17"/>
                <w:szCs w:val="17"/>
              </w:rPr>
              <w:t xml:space="preserve">ЦАО, Арбат / Пресненский</w:t>
            </w:r>
          </w:p>
        </w:tc>
        <w:tc>
          <w:tcPr>
            <w:tcW w:type="dxa" w:w="1900"/>
            <w:tcBorders>
              <w:top w:val="none" w:color="auto" w:sz="0"/>
              <w:left w:val="none" w:color="auto" w:sz="0"/>
              <w:bottom w:val="none" w:color="auto" w:sz="0"/>
              <w:right w:val="none" w:color="auto" w:sz="0"/>
            </w:tcBorders>
            <w:tcMar>
              <w:top w:type="dxa" w:w="58"/>
              <w:left w:type="dxa" w:w="22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Застройщик</w:t>
            </w:r>
          </w:p>
        </w:tc>
        <w:tc>
          <w:tcPr>
            <w:tcW w:type="dxa" w:w="2919"/>
            <w:tcBorders>
              <w:top w:val="none" w:color="auto" w:sz="0"/>
              <w:left w:val="none" w:color="auto" w:sz="0"/>
              <w:bottom w:val="none" w:color="auto" w:sz="0"/>
              <w:right w:val="none" w:color="auto" w:sz="0"/>
            </w:tcBorders>
            <w:tcMar>
              <w:top w:type="dxa" w:w="58"/>
              <w:left w:type="dxa" w:w="60"/>
              <w:bottom w:type="dxa" w:w="58"/>
              <w:right w:type="dxa" w:w="170"/>
            </w:tcMar>
            <w:vAlign w:val="center"/>
          </w:tcPr>
          <w:p>
            <w:pPr>
              <w:spacing w:after="0" w:line="220" w:lineRule="auto"/>
            </w:pPr>
            <w:r>
              <w:rPr>
                <w:rFonts w:ascii="Arial" w:cs="Arial" w:eastAsia="Arial" w:hAnsi="Arial"/>
                <w:b/>
                <w:bCs/>
                <w:i w:val="false"/>
                <w:iCs w:val="false"/>
                <w:color w:val="1F2A44"/>
                <w:sz w:val="17"/>
                <w:szCs w:val="17"/>
              </w:rPr>
              <w:t xml:space="preserve">Sense · ООО СЗ «СЕНС.КИСЛОВСКИЙ»</w:t>
            </w:r>
          </w:p>
        </w:tc>
      </w:tr>
      <w:tr>
        <w:tc>
          <w:tcPr>
            <w:tcW w:type="dxa" w:w="1900"/>
            <w:tcBorders>
              <w:top w:val="none" w:color="auto" w:sz="0"/>
              <w:left w:val="none" w:color="auto" w:sz="0"/>
              <w:bottom w:val="none" w:color="auto" w:sz="0"/>
              <w:right w:val="none" w:color="auto" w:sz="0"/>
            </w:tcBorders>
            <w:shd w:fill="FAF8F5" w:color="auto" w:val="clear"/>
            <w:tcMar>
              <w:top w:type="dxa" w:w="58"/>
              <w:left w:type="dxa" w:w="17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Класс</w:t>
            </w:r>
          </w:p>
        </w:tc>
        <w:tc>
          <w:tcPr>
            <w:tcW w:type="dxa" w:w="2919"/>
            <w:tcBorders>
              <w:top w:val="none" w:color="auto" w:sz="0"/>
              <w:left w:val="none" w:color="auto" w:sz="0"/>
              <w:bottom w:val="none" w:color="auto" w:sz="0"/>
              <w:right w:val="none" w:color="auto" w:sz="0"/>
            </w:tcBorders>
            <w:shd w:fill="FAF8F5" w:color="auto" w:val="clear"/>
            <w:tcMar>
              <w:top w:type="dxa" w:w="58"/>
              <w:left w:type="dxa" w:w="60"/>
              <w:bottom w:type="dxa" w:w="58"/>
              <w:right w:type="dxa" w:w="60"/>
            </w:tcMar>
            <w:vAlign w:val="center"/>
          </w:tcPr>
          <w:p>
            <w:pPr>
              <w:spacing w:after="0" w:line="220" w:lineRule="auto"/>
            </w:pPr>
            <w:r>
              <w:rPr>
                <w:rFonts w:ascii="Arial" w:cs="Arial" w:eastAsia="Arial" w:hAnsi="Arial"/>
                <w:b/>
                <w:bCs/>
                <w:i w:val="false"/>
                <w:iCs w:val="false"/>
                <w:color w:val="1F2A44"/>
                <w:sz w:val="17"/>
                <w:szCs w:val="17"/>
              </w:rPr>
              <w:t xml:space="preserve">Де-люкс, клубный дом</w:t>
            </w:r>
          </w:p>
        </w:tc>
        <w:tc>
          <w:tcPr>
            <w:tcW w:type="dxa" w:w="1900"/>
            <w:tcBorders>
              <w:top w:val="none" w:color="auto" w:sz="0"/>
              <w:left w:val="none" w:color="auto" w:sz="0"/>
              <w:bottom w:val="none" w:color="auto" w:sz="0"/>
              <w:right w:val="none" w:color="auto" w:sz="0"/>
            </w:tcBorders>
            <w:shd w:fill="FAF8F5" w:color="auto" w:val="clear"/>
            <w:tcMar>
              <w:top w:type="dxa" w:w="58"/>
              <w:left w:type="dxa" w:w="22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Резиденций</w:t>
            </w:r>
          </w:p>
        </w:tc>
        <w:tc>
          <w:tcPr>
            <w:tcW w:type="dxa" w:w="2919"/>
            <w:tcBorders>
              <w:top w:val="none" w:color="auto" w:sz="0"/>
              <w:left w:val="none" w:color="auto" w:sz="0"/>
              <w:bottom w:val="none" w:color="auto" w:sz="0"/>
              <w:right w:val="none" w:color="auto" w:sz="0"/>
            </w:tcBorders>
            <w:shd w:fill="FAF8F5" w:color="auto" w:val="clear"/>
            <w:tcMar>
              <w:top w:type="dxa" w:w="58"/>
              <w:left w:type="dxa" w:w="60"/>
              <w:bottom w:type="dxa" w:w="58"/>
              <w:right w:type="dxa" w:w="170"/>
            </w:tcMar>
            <w:vAlign w:val="center"/>
          </w:tcPr>
          <w:p>
            <w:pPr>
              <w:spacing w:after="0" w:line="220" w:lineRule="auto"/>
            </w:pPr>
            <w:r>
              <w:rPr>
                <w:rFonts w:ascii="Arial" w:cs="Arial" w:eastAsia="Arial" w:hAnsi="Arial"/>
                <w:b/>
                <w:bCs/>
                <w:i w:val="false"/>
                <w:iCs w:val="false"/>
                <w:color w:val="1F2A44"/>
                <w:sz w:val="17"/>
                <w:szCs w:val="17"/>
              </w:rPr>
              <w:t xml:space="preserve">22</w:t>
            </w:r>
          </w:p>
        </w:tc>
      </w:tr>
      <w:tr>
        <w:tc>
          <w:tcPr>
            <w:tcW w:type="dxa" w:w="1900"/>
            <w:tcBorders>
              <w:top w:val="none" w:color="auto" w:sz="0"/>
              <w:left w:val="none" w:color="auto" w:sz="0"/>
              <w:bottom w:val="none" w:color="auto" w:sz="0"/>
              <w:right w:val="none" w:color="auto" w:sz="0"/>
            </w:tcBorders>
            <w:tcMar>
              <w:top w:type="dxa" w:w="58"/>
              <w:left w:type="dxa" w:w="17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Этажность</w:t>
            </w:r>
          </w:p>
        </w:tc>
        <w:tc>
          <w:tcPr>
            <w:tcW w:type="dxa" w:w="2919"/>
            <w:tcBorders>
              <w:top w:val="none" w:color="auto" w:sz="0"/>
              <w:left w:val="none" w:color="auto" w:sz="0"/>
              <w:bottom w:val="none" w:color="auto" w:sz="0"/>
              <w:right w:val="none" w:color="auto" w:sz="0"/>
            </w:tcBorders>
            <w:tcMar>
              <w:top w:type="dxa" w:w="58"/>
              <w:left w:type="dxa" w:w="60"/>
              <w:bottom w:type="dxa" w:w="58"/>
              <w:right w:type="dxa" w:w="60"/>
            </w:tcMar>
            <w:vAlign w:val="center"/>
          </w:tcPr>
          <w:p>
            <w:pPr>
              <w:spacing w:after="0" w:line="220" w:lineRule="auto"/>
            </w:pPr>
            <w:r>
              <w:rPr>
                <w:rFonts w:ascii="Arial" w:cs="Arial" w:eastAsia="Arial" w:hAnsi="Arial"/>
                <w:b/>
                <w:bCs/>
                <w:i w:val="false"/>
                <w:iCs w:val="false"/>
                <w:color w:val="1F2A44"/>
                <w:sz w:val="17"/>
                <w:szCs w:val="17"/>
              </w:rPr>
              <w:t xml:space="preserve">Переменная, 6–9 этажей</w:t>
            </w:r>
          </w:p>
        </w:tc>
        <w:tc>
          <w:tcPr>
            <w:tcW w:type="dxa" w:w="1900"/>
            <w:tcBorders>
              <w:top w:val="none" w:color="auto" w:sz="0"/>
              <w:left w:val="none" w:color="auto" w:sz="0"/>
              <w:bottom w:val="none" w:color="auto" w:sz="0"/>
              <w:right w:val="none" w:color="auto" w:sz="0"/>
            </w:tcBorders>
            <w:tcMar>
              <w:top w:type="dxa" w:w="58"/>
              <w:left w:type="dxa" w:w="22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Архитектура</w:t>
            </w:r>
          </w:p>
        </w:tc>
        <w:tc>
          <w:tcPr>
            <w:tcW w:type="dxa" w:w="2919"/>
            <w:tcBorders>
              <w:top w:val="none" w:color="auto" w:sz="0"/>
              <w:left w:val="none" w:color="auto" w:sz="0"/>
              <w:bottom w:val="none" w:color="auto" w:sz="0"/>
              <w:right w:val="none" w:color="auto" w:sz="0"/>
            </w:tcBorders>
            <w:tcMar>
              <w:top w:type="dxa" w:w="58"/>
              <w:left w:type="dxa" w:w="60"/>
              <w:bottom w:type="dxa" w:w="58"/>
              <w:right w:type="dxa" w:w="170"/>
            </w:tcMar>
            <w:vAlign w:val="center"/>
          </w:tcPr>
          <w:p>
            <w:pPr>
              <w:spacing w:after="0" w:line="220" w:lineRule="auto"/>
            </w:pPr>
            <w:r>
              <w:rPr>
                <w:rFonts w:ascii="Arial" w:cs="Arial" w:eastAsia="Arial" w:hAnsi="Arial"/>
                <w:b/>
                <w:bCs/>
                <w:i w:val="false"/>
                <w:iCs w:val="false"/>
                <w:color w:val="1F2A44"/>
                <w:sz w:val="17"/>
                <w:szCs w:val="17"/>
              </w:rPr>
              <w:t xml:space="preserve">Gregory Tuck Architects (США)</w:t>
            </w:r>
          </w:p>
        </w:tc>
      </w:tr>
      <w:tr>
        <w:tc>
          <w:tcPr>
            <w:tcW w:type="dxa" w:w="1900"/>
            <w:tcBorders>
              <w:top w:val="none" w:color="auto" w:sz="0"/>
              <w:left w:val="none" w:color="auto" w:sz="0"/>
              <w:bottom w:val="none" w:color="auto" w:sz="0"/>
              <w:right w:val="none" w:color="auto" w:sz="0"/>
            </w:tcBorders>
            <w:shd w:fill="FAF8F5" w:color="auto" w:val="clear"/>
            <w:tcMar>
              <w:top w:type="dxa" w:w="58"/>
              <w:left w:type="dxa" w:w="17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Площади</w:t>
            </w:r>
          </w:p>
        </w:tc>
        <w:tc>
          <w:tcPr>
            <w:tcW w:type="dxa" w:w="2919"/>
            <w:tcBorders>
              <w:top w:val="none" w:color="auto" w:sz="0"/>
              <w:left w:val="none" w:color="auto" w:sz="0"/>
              <w:bottom w:val="none" w:color="auto" w:sz="0"/>
              <w:right w:val="none" w:color="auto" w:sz="0"/>
            </w:tcBorders>
            <w:shd w:fill="FAF8F5" w:color="auto" w:val="clear"/>
            <w:tcMar>
              <w:top w:type="dxa" w:w="58"/>
              <w:left w:type="dxa" w:w="60"/>
              <w:bottom w:type="dxa" w:w="58"/>
              <w:right w:type="dxa" w:w="60"/>
            </w:tcMar>
            <w:vAlign w:val="center"/>
          </w:tcPr>
          <w:p>
            <w:pPr>
              <w:spacing w:after="0" w:line="220" w:lineRule="auto"/>
            </w:pPr>
            <w:r>
              <w:rPr>
                <w:rFonts w:ascii="Arial" w:cs="Arial" w:eastAsia="Arial" w:hAnsi="Arial"/>
                <w:b/>
                <w:bCs/>
                <w:i w:val="false"/>
                <w:iCs w:val="false"/>
                <w:color w:val="1F2A44"/>
                <w:sz w:val="17"/>
                <w:szCs w:val="17"/>
              </w:rPr>
              <w:t xml:space="preserve">107,3 – 410,6 м²</w:t>
            </w:r>
          </w:p>
        </w:tc>
        <w:tc>
          <w:tcPr>
            <w:tcW w:type="dxa" w:w="1900"/>
            <w:tcBorders>
              <w:top w:val="none" w:color="auto" w:sz="0"/>
              <w:left w:val="none" w:color="auto" w:sz="0"/>
              <w:bottom w:val="none" w:color="auto" w:sz="0"/>
              <w:right w:val="none" w:color="auto" w:sz="0"/>
            </w:tcBorders>
            <w:shd w:fill="FAF8F5" w:color="auto" w:val="clear"/>
            <w:tcMar>
              <w:top w:type="dxa" w:w="58"/>
              <w:left w:type="dxa" w:w="22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Потолки</w:t>
            </w:r>
          </w:p>
        </w:tc>
        <w:tc>
          <w:tcPr>
            <w:tcW w:type="dxa" w:w="2919"/>
            <w:tcBorders>
              <w:top w:val="none" w:color="auto" w:sz="0"/>
              <w:left w:val="none" w:color="auto" w:sz="0"/>
              <w:bottom w:val="none" w:color="auto" w:sz="0"/>
              <w:right w:val="none" w:color="auto" w:sz="0"/>
            </w:tcBorders>
            <w:shd w:fill="FAF8F5" w:color="auto" w:val="clear"/>
            <w:tcMar>
              <w:top w:type="dxa" w:w="58"/>
              <w:left w:type="dxa" w:w="60"/>
              <w:bottom w:type="dxa" w:w="58"/>
              <w:right w:type="dxa" w:w="170"/>
            </w:tcMar>
            <w:vAlign w:val="center"/>
          </w:tcPr>
          <w:p>
            <w:pPr>
              <w:spacing w:after="0" w:line="220" w:lineRule="auto"/>
            </w:pPr>
            <w:r>
              <w:rPr>
                <w:rFonts w:ascii="Arial" w:cs="Arial" w:eastAsia="Arial" w:hAnsi="Arial"/>
                <w:b/>
                <w:bCs/>
                <w:i w:val="false"/>
                <w:iCs w:val="false"/>
                <w:color w:val="1F2A44"/>
                <w:sz w:val="17"/>
                <w:szCs w:val="17"/>
              </w:rPr>
              <w:t xml:space="preserve">3,6 – 4,2 м</w:t>
            </w:r>
          </w:p>
        </w:tc>
      </w:tr>
      <w:tr>
        <w:tc>
          <w:tcPr>
            <w:tcW w:type="dxa" w:w="1900"/>
            <w:tcBorders>
              <w:top w:val="none" w:color="auto" w:sz="0"/>
              <w:left w:val="none" w:color="auto" w:sz="0"/>
              <w:bottom w:val="none" w:color="auto" w:sz="0"/>
              <w:right w:val="none" w:color="auto" w:sz="0"/>
            </w:tcBorders>
            <w:tcMar>
              <w:top w:type="dxa" w:w="58"/>
              <w:left w:type="dxa" w:w="17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Отделка</w:t>
            </w:r>
          </w:p>
        </w:tc>
        <w:tc>
          <w:tcPr>
            <w:tcW w:type="dxa" w:w="2919"/>
            <w:tcBorders>
              <w:top w:val="none" w:color="auto" w:sz="0"/>
              <w:left w:val="none" w:color="auto" w:sz="0"/>
              <w:bottom w:val="none" w:color="auto" w:sz="0"/>
              <w:right w:val="none" w:color="auto" w:sz="0"/>
            </w:tcBorders>
            <w:tcMar>
              <w:top w:type="dxa" w:w="58"/>
              <w:left w:type="dxa" w:w="60"/>
              <w:bottom w:type="dxa" w:w="58"/>
              <w:right w:type="dxa" w:w="60"/>
            </w:tcMar>
            <w:vAlign w:val="center"/>
          </w:tcPr>
          <w:p>
            <w:pPr>
              <w:spacing w:after="0" w:line="220" w:lineRule="auto"/>
            </w:pPr>
            <w:r>
              <w:rPr>
                <w:rFonts w:ascii="Arial" w:cs="Arial" w:eastAsia="Arial" w:hAnsi="Arial"/>
                <w:b/>
                <w:bCs/>
                <w:i w:val="false"/>
                <w:iCs w:val="false"/>
                <w:color w:val="1F2A44"/>
                <w:sz w:val="17"/>
                <w:szCs w:val="17"/>
              </w:rPr>
              <w:t xml:space="preserve">Без отделки</w:t>
            </w:r>
          </w:p>
        </w:tc>
        <w:tc>
          <w:tcPr>
            <w:tcW w:type="dxa" w:w="1900"/>
            <w:tcBorders>
              <w:top w:val="none" w:color="auto" w:sz="0"/>
              <w:left w:val="none" w:color="auto" w:sz="0"/>
              <w:bottom w:val="none" w:color="auto" w:sz="0"/>
              <w:right w:val="none" w:color="auto" w:sz="0"/>
            </w:tcBorders>
            <w:tcMar>
              <w:top w:type="dxa" w:w="58"/>
              <w:left w:type="dxa" w:w="22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Паркинг</w:t>
            </w:r>
          </w:p>
        </w:tc>
        <w:tc>
          <w:tcPr>
            <w:tcW w:type="dxa" w:w="2919"/>
            <w:tcBorders>
              <w:top w:val="none" w:color="auto" w:sz="0"/>
              <w:left w:val="none" w:color="auto" w:sz="0"/>
              <w:bottom w:val="none" w:color="auto" w:sz="0"/>
              <w:right w:val="none" w:color="auto" w:sz="0"/>
            </w:tcBorders>
            <w:tcMar>
              <w:top w:type="dxa" w:w="58"/>
              <w:left w:type="dxa" w:w="60"/>
              <w:bottom w:type="dxa" w:w="58"/>
              <w:right w:type="dxa" w:w="170"/>
            </w:tcMar>
            <w:vAlign w:val="center"/>
          </w:tcPr>
          <w:p>
            <w:pPr>
              <w:spacing w:after="0" w:line="220" w:lineRule="auto"/>
            </w:pPr>
            <w:r>
              <w:rPr>
                <w:rFonts w:ascii="Arial" w:cs="Arial" w:eastAsia="Arial" w:hAnsi="Arial"/>
                <w:b/>
                <w:bCs/>
                <w:i w:val="false"/>
                <w:iCs w:val="false"/>
                <w:color w:val="1F2A44"/>
                <w:sz w:val="17"/>
                <w:szCs w:val="17"/>
              </w:rPr>
              <w:t xml:space="preserve">43 места, три подземных уровня</w:t>
            </w:r>
          </w:p>
        </w:tc>
      </w:tr>
      <w:tr>
        <w:tc>
          <w:tcPr>
            <w:tcW w:type="dxa" w:w="1900"/>
            <w:tcBorders>
              <w:top w:val="none" w:color="auto" w:sz="0"/>
              <w:left w:val="none" w:color="auto" w:sz="0"/>
              <w:bottom w:val="none" w:color="auto" w:sz="0"/>
              <w:right w:val="none" w:color="auto" w:sz="0"/>
            </w:tcBorders>
            <w:shd w:fill="FAF8F5" w:color="auto" w:val="clear"/>
            <w:tcMar>
              <w:top w:type="dxa" w:w="58"/>
              <w:left w:type="dxa" w:w="17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Срок сдачи</w:t>
            </w:r>
          </w:p>
        </w:tc>
        <w:tc>
          <w:tcPr>
            <w:tcW w:type="dxa" w:w="2919"/>
            <w:tcBorders>
              <w:top w:val="none" w:color="auto" w:sz="0"/>
              <w:left w:val="none" w:color="auto" w:sz="0"/>
              <w:bottom w:val="none" w:color="auto" w:sz="0"/>
              <w:right w:val="none" w:color="auto" w:sz="0"/>
            </w:tcBorders>
            <w:shd w:fill="FAF8F5" w:color="auto" w:val="clear"/>
            <w:tcMar>
              <w:top w:type="dxa" w:w="58"/>
              <w:left w:type="dxa" w:w="60"/>
              <w:bottom w:type="dxa" w:w="58"/>
              <w:right w:type="dxa" w:w="60"/>
            </w:tcMar>
            <w:vAlign w:val="center"/>
          </w:tcPr>
          <w:p>
            <w:pPr>
              <w:spacing w:after="0" w:line="220" w:lineRule="auto"/>
            </w:pPr>
            <w:r>
              <w:rPr>
                <w:rFonts w:ascii="Arial" w:cs="Arial" w:eastAsia="Arial" w:hAnsi="Arial"/>
                <w:b/>
                <w:bCs/>
                <w:i w:val="false"/>
                <w:iCs w:val="false"/>
                <w:color w:val="1F2A44"/>
                <w:sz w:val="17"/>
                <w:szCs w:val="17"/>
              </w:rPr>
              <w:t xml:space="preserve">III квартал 2029 года</w:t>
            </w:r>
          </w:p>
        </w:tc>
        <w:tc>
          <w:tcPr>
            <w:tcW w:type="dxa" w:w="1900"/>
            <w:tcBorders>
              <w:top w:val="none" w:color="auto" w:sz="0"/>
              <w:left w:val="none" w:color="auto" w:sz="0"/>
              <w:bottom w:val="none" w:color="auto" w:sz="0"/>
              <w:right w:val="none" w:color="auto" w:sz="0"/>
            </w:tcBorders>
            <w:shd w:fill="FAF8F5" w:color="auto" w:val="clear"/>
            <w:tcMar>
              <w:top w:type="dxa" w:w="58"/>
              <w:left w:type="dxa" w:w="22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Стадия</w:t>
            </w:r>
          </w:p>
        </w:tc>
        <w:tc>
          <w:tcPr>
            <w:tcW w:type="dxa" w:w="2919"/>
            <w:tcBorders>
              <w:top w:val="none" w:color="auto" w:sz="0"/>
              <w:left w:val="none" w:color="auto" w:sz="0"/>
              <w:bottom w:val="none" w:color="auto" w:sz="0"/>
              <w:right w:val="none" w:color="auto" w:sz="0"/>
            </w:tcBorders>
            <w:shd w:fill="FAF8F5" w:color="auto" w:val="clear"/>
            <w:tcMar>
              <w:top w:type="dxa" w:w="58"/>
              <w:left w:type="dxa" w:w="60"/>
              <w:bottom w:type="dxa" w:w="58"/>
              <w:right w:type="dxa" w:w="170"/>
            </w:tcMar>
            <w:vAlign w:val="center"/>
          </w:tcPr>
          <w:p>
            <w:pPr>
              <w:spacing w:after="0" w:line="220" w:lineRule="auto"/>
            </w:pPr>
            <w:r>
              <w:rPr>
                <w:rFonts w:ascii="Arial" w:cs="Arial" w:eastAsia="Arial" w:hAnsi="Arial"/>
                <w:b/>
                <w:bCs/>
                <w:i w:val="false"/>
                <w:iCs w:val="false"/>
                <w:color w:val="1F2A44"/>
                <w:sz w:val="17"/>
                <w:szCs w:val="17"/>
              </w:rPr>
              <w:t xml:space="preserve">Котлован</w:t>
            </w:r>
          </w:p>
        </w:tc>
      </w:tr>
      <w:tr>
        <w:tc>
          <w:tcPr>
            <w:tcW w:type="dxa" w:w="1900"/>
            <w:tcBorders>
              <w:top w:val="none" w:color="auto" w:sz="0"/>
              <w:left w:val="none" w:color="auto" w:sz="0"/>
              <w:bottom w:val="none" w:color="auto" w:sz="0"/>
              <w:right w:val="none" w:color="auto" w:sz="0"/>
            </w:tcBorders>
            <w:tcMar>
              <w:top w:type="dxa" w:w="58"/>
              <w:left w:type="dxa" w:w="17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Форма сделки</w:t>
            </w:r>
          </w:p>
        </w:tc>
        <w:tc>
          <w:tcPr>
            <w:tcW w:type="dxa" w:w="2919"/>
            <w:tcBorders>
              <w:top w:val="none" w:color="auto" w:sz="0"/>
              <w:left w:val="none" w:color="auto" w:sz="0"/>
              <w:bottom w:val="none" w:color="auto" w:sz="0"/>
              <w:right w:val="none" w:color="auto" w:sz="0"/>
            </w:tcBorders>
            <w:tcMar>
              <w:top w:type="dxa" w:w="58"/>
              <w:left w:type="dxa" w:w="60"/>
              <w:bottom w:type="dxa" w:w="58"/>
              <w:right w:type="dxa" w:w="60"/>
            </w:tcMar>
            <w:vAlign w:val="center"/>
          </w:tcPr>
          <w:p>
            <w:pPr>
              <w:spacing w:after="0" w:line="220" w:lineRule="auto"/>
            </w:pPr>
            <w:r>
              <w:rPr>
                <w:rFonts w:ascii="Arial" w:cs="Arial" w:eastAsia="Arial" w:hAnsi="Arial"/>
                <w:b/>
                <w:bCs/>
                <w:i w:val="false"/>
                <w:iCs w:val="false"/>
                <w:color w:val="1F2A44"/>
                <w:sz w:val="17"/>
                <w:szCs w:val="17"/>
              </w:rPr>
              <w:t xml:space="preserve">ДДУ с эскроу</w:t>
            </w:r>
          </w:p>
        </w:tc>
        <w:tc>
          <w:tcPr>
            <w:tcW w:type="dxa" w:w="1900"/>
            <w:tcBorders>
              <w:top w:val="none" w:color="auto" w:sz="0"/>
              <w:left w:val="none" w:color="auto" w:sz="0"/>
              <w:bottom w:val="none" w:color="auto" w:sz="0"/>
              <w:right w:val="none" w:color="auto" w:sz="0"/>
            </w:tcBorders>
            <w:tcMar>
              <w:top w:type="dxa" w:w="58"/>
              <w:left w:type="dxa" w:w="220"/>
              <w:bottom w:type="dxa" w:w="58"/>
              <w:right w:type="dxa" w:w="60"/>
            </w:tcMar>
            <w:vAlign w:val="center"/>
          </w:tcPr>
          <w:p>
            <w:pPr>
              <w:spacing w:after="0" w:line="220" w:lineRule="auto"/>
            </w:pPr>
            <w:r>
              <w:rPr>
                <w:rFonts w:ascii="Arial" w:cs="Arial" w:eastAsia="Arial" w:hAnsi="Arial"/>
                <w:b w:val="false"/>
                <w:bCs w:val="false"/>
                <w:i w:val="false"/>
                <w:iCs w:val="false"/>
                <w:caps/>
                <w:color w:val="70788A"/>
                <w:spacing w:val="16"/>
                <w:sz w:val="14"/>
                <w:szCs w:val="14"/>
              </w:rPr>
              <w:t xml:space="preserve">Цена</w:t>
            </w:r>
          </w:p>
        </w:tc>
        <w:tc>
          <w:tcPr>
            <w:tcW w:type="dxa" w:w="2919"/>
            <w:tcBorders>
              <w:top w:val="none" w:color="auto" w:sz="0"/>
              <w:left w:val="none" w:color="auto" w:sz="0"/>
              <w:bottom w:val="none" w:color="auto" w:sz="0"/>
              <w:right w:val="none" w:color="auto" w:sz="0"/>
            </w:tcBorders>
            <w:tcMar>
              <w:top w:type="dxa" w:w="58"/>
              <w:left w:type="dxa" w:w="60"/>
              <w:bottom w:type="dxa" w:w="58"/>
              <w:right w:type="dxa" w:w="170"/>
            </w:tcMar>
            <w:vAlign w:val="center"/>
          </w:tcPr>
          <w:p>
            <w:pPr>
              <w:spacing w:after="0" w:line="220" w:lineRule="auto"/>
            </w:pPr>
            <w:r>
              <w:rPr>
                <w:rFonts w:ascii="Arial" w:cs="Arial" w:eastAsia="Arial" w:hAnsi="Arial"/>
                <w:b/>
                <w:bCs/>
                <w:i w:val="false"/>
                <w:iCs w:val="false"/>
                <w:color w:val="1F2A44"/>
                <w:sz w:val="17"/>
                <w:szCs w:val="17"/>
              </w:rPr>
              <w:t xml:space="preserve">От 1,1 млрд ₽ · прайс не публикуется</w:t>
            </w:r>
          </w:p>
        </w:tc>
      </w:tr>
    </w:tbl>
    <w:p>
      <w:pPr>
        <w:spacing w:after="40"/>
      </w:pPr>
      <w:r>
        <w:rPr>
          <w:rFonts w:ascii="Arial" w:cs="Arial" w:eastAsia="Arial" w:hAnsi="Arial"/>
          <w:b w:val="false"/>
          <w:bCs w:val="false"/>
          <w:i w:val="false"/>
          <w:iCs w:val="false"/>
          <w:color w:val="2A2E38"/>
          <w:sz w:val="19"/>
          <w:szCs w:val="19"/>
        </w:rPr>
        <w:t xml:space="preserve"/>
      </w:r>
    </w:p>
    <w:p>
      <w:pPr>
        <w:spacing w:after="60" w:line="230" w:lineRule="auto"/>
        <w:ind w:right="1560"/>
      </w:pPr>
      <w:r>
        <w:rPr>
          <w:rFonts w:ascii="Arial" w:cs="Arial" w:eastAsia="Arial" w:hAnsi="Arial"/>
          <w:b w:val="false"/>
          <w:bCs w:val="false"/>
          <w:i w:val="false"/>
          <w:iCs w:val="false"/>
          <w:color w:val="70788A"/>
          <w:sz w:val="15"/>
          <w:szCs w:val="15"/>
        </w:rPr>
        <w:t xml:space="preserve">Проект продаётся закрыто: публичной рекламной кампании нет, прайс-лист застройщик не публикует, объявлений на Циан и Яндекс Недвижимости нет. Единственная опубликованная ценовая цифра — старт продаж «от 1,1 млрд ₽ за резиденцию площадью около 250 кв. м». Всё, что в справке посчитано из неё, помечено словом «расчёт».</w:t>
      </w:r>
    </w:p>
    <w:p>
      <w:pPr>
        <w:spacing w:after="40"/>
      </w:pPr>
      <w:r>
        <w:rPr>
          <w:rFonts w:ascii="Arial" w:cs="Arial" w:eastAsia="Arial" w:hAnsi="Arial"/>
          <w:b w:val="false"/>
          <w:bCs w:val="false"/>
          <w:i w:val="false"/>
          <w:iCs w:val="false"/>
          <w:color w:val="2A2E38"/>
          <w:sz w:val="19"/>
          <w:szCs w:val="19"/>
        </w:rPr>
        <w:t xml:space="preserve"/>
      </w:r>
    </w:p>
    <w:p>
      <w:pPr>
        <w:spacing w:after="90"/>
      </w:pPr>
      <w:r>
        <w:rPr>
          <w:rFonts w:ascii="Arial" w:cs="Arial" w:eastAsia="Arial" w:hAnsi="Arial"/>
          <w:b/>
          <w:bCs/>
          <w:i w:val="false"/>
          <w:iCs w:val="false"/>
          <w:caps/>
          <w:color w:val="1F2A44"/>
          <w:spacing w:val="60"/>
          <w:sz w:val="16"/>
          <w:szCs w:val="16"/>
        </w:rPr>
        <w:t xml:space="preserve">Расположение и ближайшие конкуренты</w:t>
      </w:r>
    </w:p>
    <w:p>
      <w:pPr>
        <w:spacing w:after="46"/>
        <w:jc w:val="center"/>
      </w:pPr>
      <w:r>
        <w:drawing>
          <wp:inline distT="0" distB="0" distL="0" distR="0">
            <wp:extent cx="6124575"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324225"/>
                    </a:xfrm>
                    <a:prstGeom prst="rect">
                      <a:avLst/>
                    </a:prstGeom>
                  </pic:spPr>
                </pic:pic>
              </a:graphicData>
            </a:graphic>
          </wp:inline>
        </w:drawing>
      </w:r>
    </w:p>
    <w:p>
      <w:pPr>
        <w:spacing w:after="60" w:line="230" w:lineRule="auto"/>
        <w:ind w:right="1560"/>
      </w:pPr>
      <w:r>
        <w:rPr>
          <w:rFonts w:ascii="Arial" w:cs="Arial" w:eastAsia="Arial" w:hAnsi="Arial"/>
          <w:b w:val="false"/>
          <w:bCs w:val="false"/>
          <w:i w:val="false"/>
          <w:iCs w:val="false"/>
          <w:color w:val="70788A"/>
          <w:sz w:val="15"/>
          <w:szCs w:val="15"/>
        </w:rPr>
        <w:t xml:space="preserve">Дом стоит между Большой Никитской и Воздвиженкой, в 200–250 метрах от Александровского сада и станции «Арбатская». До Кремля — около 900 метров. Источники расходятся в оценке пешей доступности метро: от 2 до 6 минут.</w:t>
      </w:r>
    </w:p>
    <w:p>
      <w:pPr>
        <w:keepNext/>
        <w:keepLines/>
        <w:pageBreakBefore/>
        <w:pBdr>
          <w:bottom w:val="single" w:color="A9762F" w:sz="10" w:space="8"/>
        </w:pBdr>
        <w:spacing w:after="160"/>
      </w:pPr>
      <w:r>
        <w:rPr>
          <w:rFonts w:ascii="Georgia" w:cs="Georgia" w:eastAsia="Georgia" w:hAnsi="Georgia"/>
          <w:b/>
          <w:bCs/>
          <w:i w:val="false"/>
          <w:iCs w:val="false"/>
          <w:color w:val="1F2A44"/>
          <w:sz w:val="36"/>
          <w:szCs w:val="36"/>
        </w:rPr>
        <w:t xml:space="preserve">Что это за дом</w:t>
      </w:r>
    </w:p>
    <w:p>
      <w:pPr>
        <w:spacing w:after="180" w:line="258" w:lineRule="auto"/>
        <w:ind w:right="1560"/>
      </w:pPr>
      <w:r>
        <w:rPr>
          <w:rFonts w:ascii="Arial" w:cs="Arial" w:eastAsia="Arial" w:hAnsi="Arial"/>
          <w:b w:val="false"/>
          <w:bCs w:val="false"/>
          <w:i w:val="false"/>
          <w:iCs w:val="false"/>
          <w:color w:val="2A2E38"/>
          <w:sz w:val="19"/>
          <w:szCs w:val="19"/>
        </w:rPr>
        <w:t xml:space="preserve">EDEN — не жилой комплекс, а один клубный дом на 22 квартиры в историческом центре. Для понимания масштаба: жилой площади в нём 6,2 тыс. м² при общей площади здания 17,1 тыс. м² и участке 0,3 гектара. То есть на жильё приходится чуть больше трети здания, остальное — паркинг на трёх подземных уровнях, лобби, технические и сервисные помещения.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600"/>
        <w:gridCol w:w="2938"/>
      </w:tblGrid>
      <w:tr>
        <w:trPr>
          <w:tblHeader/>
        </w:trPr>
        <w:tc>
          <w:tcPr>
            <w:tcW w:type="dxa" w:w="26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FFFFFF"/>
                <w:sz w:val="16"/>
                <w:szCs w:val="16"/>
              </w:rPr>
              <w:t xml:space="preserve">Тип квартир</w:t>
            </w:r>
          </w:p>
        </w:tc>
        <w:tc>
          <w:tcPr>
            <w:tcW w:type="dxa" w:w="15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Сколько</w:t>
            </w:r>
          </w:p>
        </w:tc>
        <w:tc>
          <w:tcPr>
            <w:tcW w:type="dxa" w:w="26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Площади</w:t>
            </w:r>
          </w:p>
        </w:tc>
        <w:tc>
          <w:tcPr>
            <w:tcW w:type="dxa" w:w="2938"/>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Ориентировочная цена</w:t>
            </w:r>
          </w:p>
        </w:tc>
      </w:tr>
      <w:tr>
        <w:tc>
          <w:tcPr>
            <w:tcW w:type="dxa" w:w="26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2-комнатные</w:t>
            </w:r>
          </w:p>
        </w:tc>
        <w:tc>
          <w:tcPr>
            <w:tcW w:type="dxa" w:w="15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1</w:t>
            </w:r>
          </w:p>
        </w:tc>
        <w:tc>
          <w:tcPr>
            <w:tcW w:type="dxa" w:w="26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107,3 м²</w:t>
            </w:r>
          </w:p>
        </w:tc>
        <w:tc>
          <w:tcPr>
            <w:tcW w:type="dxa" w:w="29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 0,5 млрд ₽</w:t>
            </w:r>
          </w:p>
        </w:tc>
      </w:tr>
      <w:tr>
        <w:tc>
          <w:tcPr>
            <w:tcW w:type="dxa" w:w="26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3-комнатные</w:t>
            </w:r>
          </w:p>
        </w:tc>
        <w:tc>
          <w:tcPr>
            <w:tcW w:type="dxa" w:w="15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3</w:t>
            </w:r>
          </w:p>
        </w:tc>
        <w:tc>
          <w:tcPr>
            <w:tcW w:type="dxa" w:w="26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224 – 288 м²</w:t>
            </w:r>
          </w:p>
        </w:tc>
        <w:tc>
          <w:tcPr>
            <w:tcW w:type="dxa" w:w="2938"/>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 1,0 – 1,3 млрд ₽</w:t>
            </w:r>
          </w:p>
        </w:tc>
      </w:tr>
      <w:tr>
        <w:tc>
          <w:tcPr>
            <w:tcW w:type="dxa" w:w="26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4-комнатные и более</w:t>
            </w:r>
          </w:p>
        </w:tc>
        <w:tc>
          <w:tcPr>
            <w:tcW w:type="dxa" w:w="15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18</w:t>
            </w:r>
          </w:p>
        </w:tc>
        <w:tc>
          <w:tcPr>
            <w:tcW w:type="dxa" w:w="26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228 – 410,6 м²</w:t>
            </w:r>
          </w:p>
        </w:tc>
        <w:tc>
          <w:tcPr>
            <w:tcW w:type="dxa" w:w="29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 1,0 – 1,8 млрд ₽</w:t>
            </w:r>
          </w:p>
        </w:tc>
      </w:tr>
      <w:tr>
        <w:tc>
          <w:tcPr>
            <w:tcW w:type="dxa" w:w="2600"/>
            <w:tcBorders>
              <w:top w:val="single" w:color="D9D4CB" w:sz="4"/>
              <w:left w:val="none" w:color="auto" w:sz="0"/>
              <w:bottom w:val="single" w:color="D9D4CB" w:sz="4"/>
              <w:right w:val="none" w:color="auto" w:sz="0"/>
            </w:tcBorders>
            <w:shd w:fill="F5F2ED"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1F2A44"/>
                <w:sz w:val="17"/>
                <w:szCs w:val="17"/>
              </w:rPr>
              <w:t xml:space="preserve">Всего</w:t>
            </w:r>
          </w:p>
        </w:tc>
        <w:tc>
          <w:tcPr>
            <w:tcW w:type="dxa" w:w="1500"/>
            <w:tcBorders>
              <w:top w:val="single" w:color="D9D4CB" w:sz="4"/>
              <w:left w:val="none" w:color="auto" w:sz="0"/>
              <w:bottom w:val="single" w:color="D9D4CB" w:sz="4"/>
              <w:right w:val="none" w:color="auto" w:sz="0"/>
            </w:tcBorders>
            <w:shd w:fill="F5F2ED"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1F2A44"/>
                <w:sz w:val="17"/>
                <w:szCs w:val="17"/>
              </w:rPr>
              <w:t xml:space="preserve">22</w:t>
            </w:r>
          </w:p>
        </w:tc>
        <w:tc>
          <w:tcPr>
            <w:tcW w:type="dxa" w:w="2600"/>
            <w:tcBorders>
              <w:top w:val="single" w:color="D9D4CB" w:sz="4"/>
              <w:left w:val="none" w:color="auto" w:sz="0"/>
              <w:bottom w:val="single" w:color="D9D4CB" w:sz="4"/>
              <w:right w:val="none" w:color="auto" w:sz="0"/>
            </w:tcBorders>
            <w:shd w:fill="F5F2ED"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1F2A44"/>
                <w:sz w:val="17"/>
                <w:szCs w:val="17"/>
              </w:rPr>
              <w:t xml:space="preserve">107,3 – 410,6 м²</w:t>
            </w:r>
          </w:p>
        </w:tc>
        <w:tc>
          <w:tcPr>
            <w:tcW w:type="dxa" w:w="2938"/>
            <w:tcBorders>
              <w:top w:val="single" w:color="D9D4CB" w:sz="4"/>
              <w:left w:val="none" w:color="auto" w:sz="0"/>
              <w:bottom w:val="single" w:color="D9D4CB" w:sz="4"/>
              <w:right w:val="none" w:color="auto" w:sz="0"/>
            </w:tcBorders>
            <w:shd w:fill="F5F2ED"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1F2A44"/>
                <w:sz w:val="17"/>
                <w:szCs w:val="17"/>
              </w:rPr>
              <w:t xml:space="preserve">≈ 27 млрд ₽</w:t>
            </w:r>
          </w:p>
        </w:tc>
      </w:tr>
    </w:tbl>
    <w:p>
      <w:pPr>
        <w:spacing w:after="30"/>
      </w:pPr>
      <w:r>
        <w:rPr>
          <w:rFonts w:ascii="Arial" w:cs="Arial" w:eastAsia="Arial" w:hAnsi="Arial"/>
          <w:b w:val="false"/>
          <w:bCs w:val="false"/>
          <w:i w:val="false"/>
          <w:iCs w:val="false"/>
          <w:color w:val="2A2E38"/>
          <w:sz w:val="19"/>
          <w:szCs w:val="19"/>
        </w:rPr>
        <w:t xml:space="preserve"/>
      </w:r>
    </w:p>
    <w:p>
      <w:pPr>
        <w:spacing w:after="60" w:line="230" w:lineRule="auto"/>
        <w:ind w:right="1560"/>
      </w:pPr>
      <w:r>
        <w:rPr>
          <w:rFonts w:ascii="Arial" w:cs="Arial" w:eastAsia="Arial" w:hAnsi="Arial"/>
          <w:b w:val="false"/>
          <w:bCs w:val="false"/>
          <w:i w:val="false"/>
          <w:iCs w:val="false"/>
          <w:color w:val="70788A"/>
          <w:sz w:val="15"/>
          <w:szCs w:val="15"/>
        </w:rPr>
        <w:t xml:space="preserve">Цены в последней колонке — расчёт: площади умножены на 4,4 млн ₽ за метр, полученные из опубликованного старта продаж. Застройщик поквартирный прайс не публикует, поэтому это порядок величины, а не прайс-лист.</w:t>
      </w:r>
    </w:p>
    <w:p>
      <w:pPr>
        <w:spacing w:after="40"/>
      </w:pPr>
      <w:r>
        <w:rPr>
          <w:rFonts w:ascii="Arial" w:cs="Arial" w:eastAsia="Arial" w:hAnsi="Arial"/>
          <w:b w:val="false"/>
          <w:bCs w:val="false"/>
          <w:i w:val="false"/>
          <w:iCs w:val="false"/>
          <w:color w:val="2A2E38"/>
          <w:sz w:val="19"/>
          <w:szCs w:val="19"/>
        </w:rPr>
        <w:t xml:space="preserve"/>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Дом штучный даже по меркам центра. </w:t>
      </w:r>
      <w:r>
        <w:rPr>
          <w:rFonts w:ascii="Arial" w:cs="Arial" w:eastAsia="Arial" w:hAnsi="Arial"/>
          <w:b/>
          <w:bCs/>
          <w:i w:val="false"/>
          <w:iCs w:val="false"/>
          <w:color w:val="2A2E38"/>
          <w:sz w:val="19"/>
          <w:szCs w:val="19"/>
        </w:rPr>
        <w:t xml:space="preserve">22 резиденции при средней площади 282 м² — это формат, где квартира занимает целый этаж или половину этажа. Потолки 3,6–4,2 метра, панорамное остекление, переменная этажность от шести до девяти этажей, чтобы вписаться в историческую застройку переулка.</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Паркинга хватает с запасом: 43 машиноместа на 22 квартиры, почти два на резиденцию. </w:t>
      </w:r>
      <w:r>
        <w:rPr>
          <w:rFonts w:ascii="Arial" w:cs="Arial" w:eastAsia="Arial" w:hAnsi="Arial"/>
          <w:b w:val="false"/>
          <w:bCs w:val="false"/>
          <w:i w:val="false"/>
          <w:iCs w:val="false"/>
          <w:color w:val="2A2E38"/>
          <w:sz w:val="19"/>
          <w:szCs w:val="19"/>
        </w:rPr>
        <w:t xml:space="preserve">Для центра это редкость: в соседнем «Никитском 6» на 61 квартиру приходится 135 мест, тоже с запасом, а в большинстве старых домов района паркинга нет вовсе.</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Лифтовое хозяйство под стать: восемь пассажирских и три грузовых лифта на 22 квартиры. Архитектура — американское бюро Gregory Tuck Architects, застройщик Sense (среди совладельцев — группа ПИК).</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Квартиры продаются без отделки. </w:t>
      </w:r>
      <w:r>
        <w:rPr>
          <w:rFonts w:ascii="Arial" w:cs="Arial" w:eastAsia="Arial" w:hAnsi="Arial"/>
          <w:b/>
          <w:bCs/>
          <w:i w:val="false"/>
          <w:iCs w:val="false"/>
          <w:color w:val="2A2E38"/>
          <w:sz w:val="19"/>
          <w:szCs w:val="19"/>
        </w:rPr>
        <w:t xml:space="preserve">Это норма для сегмента, но означает, что к цене покупателю нужно прибавить ремонт: при площади 282 м² и де-люксовом уровне отделки это ещё несколько сотен миллионов рублей и год-полтора работ после сдачи.</w:t>
      </w:r>
    </w:p>
    <w:p>
      <w:pPr>
        <w:keepNext/>
        <w:keepLines/>
        <w:pBdr>
          <w:bottom w:val="single" w:color="A9762F" w:sz="10" w:space="8"/>
        </w:pBdr>
        <w:spacing w:after="160"/>
      </w:pPr>
      <w:r>
        <w:rPr>
          <w:rFonts w:ascii="Georgia" w:cs="Georgia" w:eastAsia="Georgia" w:hAnsi="Georgia"/>
          <w:b/>
          <w:bCs/>
          <w:i w:val="false"/>
          <w:iCs w:val="false"/>
          <w:color w:val="1F2A44"/>
          <w:sz w:val="36"/>
          <w:szCs w:val="36"/>
        </w:rPr>
        <w:t xml:space="preserve">Сколько это стоит</w:t>
      </w:r>
    </w:p>
    <w:p>
      <w:pPr>
        <w:spacing w:after="180" w:line="258" w:lineRule="auto"/>
        <w:ind w:right="1560"/>
      </w:pPr>
      <w:r>
        <w:rPr>
          <w:rFonts w:ascii="Arial" w:cs="Arial" w:eastAsia="Arial" w:hAnsi="Arial"/>
          <w:b w:val="false"/>
          <w:bCs w:val="false"/>
          <w:i w:val="false"/>
          <w:iCs w:val="false"/>
          <w:color w:val="2A2E38"/>
          <w:sz w:val="19"/>
          <w:szCs w:val="19"/>
        </w:rPr>
        <w:t xml:space="preserve">Прайс-листа нет, поэтому отталкиваемся от единственной опубликованной цифры: старт продаж «от 1,1 млрд ₽ за резиденцию площадью около 250 кв. м». Делим одно на другое — получаем 4,4 млн ₽ за метр. Это и есть тот уровень, с которым дальше сравниваем рынок.</w:t>
      </w:r>
    </w:p>
    <w:p>
      <w:pPr>
        <w:spacing w:after="60"/>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67050"/>
                    </a:xfrm>
                    <a:prstGeom prst="rect">
                      <a:avLst/>
                    </a:prstGeom>
                  </pic:spPr>
                </pic:pic>
              </a:graphicData>
            </a:graphic>
          </wp:inline>
        </w:drawing>
      </w:r>
    </w:p>
    <w:p>
      <w:pPr>
        <w:spacing w:after="220"/>
        <w:ind w:right="1560"/>
      </w:pPr>
      <w:r>
        <w:rPr>
          <w:rFonts w:ascii="Arial" w:cs="Arial" w:eastAsia="Arial" w:hAnsi="Arial"/>
          <w:b w:val="false"/>
          <w:bCs w:val="false"/>
          <w:i/>
          <w:iCs/>
          <w:color w:val="70788A"/>
          <w:sz w:val="16"/>
          <w:szCs w:val="16"/>
        </w:rPr>
        <w:t xml:space="preserve">Красный столбик — расчёт по старту продаж, остальные — опубликованные цены предложения NF Group.</w:t>
      </w:r>
    </w:p>
    <w:p>
      <w:pPr>
        <w:spacing w:after="40"/>
      </w:pPr>
      <w:r>
        <w:rPr>
          <w:rFonts w:ascii="Arial" w:cs="Arial" w:eastAsia="Arial" w:hAnsi="Arial"/>
          <w:b w:val="false"/>
          <w:bCs w:val="false"/>
          <w:i w:val="false"/>
          <w:iCs w:val="false"/>
          <w:color w:val="2A2E38"/>
          <w:sz w:val="19"/>
          <w:szCs w:val="19"/>
        </w:rPr>
        <w:t xml:space="preserve"/>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EDEN дороже своего района на 39 %. </w:t>
      </w:r>
      <w:r>
        <w:rPr>
          <w:rFonts w:ascii="Arial" w:cs="Arial" w:eastAsia="Arial" w:hAnsi="Arial"/>
          <w:b/>
          <w:bCs/>
          <w:i w:val="false"/>
          <w:iCs w:val="false"/>
          <w:color w:val="2A2E38"/>
          <w:sz w:val="19"/>
          <w:szCs w:val="19"/>
        </w:rPr>
        <w:t xml:space="preserve">Средняя цена предложения на Арбате — 3 169 тыс. ₽ за метр, у EDEN получается около 4 400 тыс. То есть дом продаётся не по цене района, а по цене отдельной категории.</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И дороже среднего по всему классу делюкс на 36 %. </w:t>
      </w:r>
      <w:r>
        <w:rPr>
          <w:rFonts w:ascii="Arial" w:cs="Arial" w:eastAsia="Arial" w:hAnsi="Arial"/>
          <w:b/>
          <w:bCs/>
          <w:i w:val="false"/>
          <w:iCs w:val="false"/>
          <w:color w:val="2A2E38"/>
          <w:sz w:val="19"/>
          <w:szCs w:val="19"/>
        </w:rPr>
        <w:t xml:space="preserve">Средняя цена делюкс-предложения по Москве на июнь 2026 — 3 242 тыс. ₽ за метр. EDEN идёт ближе к Остоженке и Пречистенке (4 798 тыс.) — самому дорогому адресу города.</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В деньгах это выглядит так: самая маленькая квартира 107,3 м² — около 470 млн ₽, самая большая 410,6 м² — около 1,8 млрд ₽, средняя резиденция — примерно 1,24 млрд ₽. Весь дом целиком — порядка 27 млрд ₽.</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Ипотека в проекте не работает. </w:t>
      </w:r>
      <w:r>
        <w:rPr>
          <w:rFonts w:ascii="Arial" w:cs="Arial" w:eastAsia="Arial" w:hAnsi="Arial"/>
          <w:b w:val="false"/>
          <w:bCs w:val="false"/>
          <w:i w:val="false"/>
          <w:iCs w:val="false"/>
          <w:color w:val="2A2E38"/>
          <w:sz w:val="19"/>
          <w:szCs w:val="19"/>
        </w:rPr>
        <w:t xml:space="preserve">Порталы указывают, что ипотечные и военные программы по дому недоступны. Для сегмента это обычное дело: сделки идут за собственные средства, и круг покупателей ограничен наличием живых денег, а не кредитоспособностью.</w:t>
      </w:r>
    </w:p>
    <w:p>
      <w:pPr>
        <w:keepNext/>
        <w:keepLines/>
        <w:pBdr>
          <w:bottom w:val="single" w:color="A9762F" w:sz="10" w:space="8"/>
        </w:pBdr>
        <w:spacing w:after="160"/>
      </w:pPr>
      <w:r>
        <w:rPr>
          <w:rFonts w:ascii="Georgia" w:cs="Georgia" w:eastAsia="Georgia" w:hAnsi="Georgia"/>
          <w:b/>
          <w:bCs/>
          <w:i w:val="false"/>
          <w:iCs w:val="false"/>
          <w:color w:val="1F2A44"/>
          <w:sz w:val="36"/>
          <w:szCs w:val="36"/>
        </w:rPr>
        <w:t xml:space="preserve">В какой рынок продаётся этот дом</w:t>
      </w:r>
    </w:p>
    <w:p>
      <w:pPr>
        <w:spacing w:after="180" w:line="258" w:lineRule="auto"/>
        <w:ind w:right="1560"/>
      </w:pPr>
      <w:r>
        <w:rPr>
          <w:rFonts w:ascii="Arial" w:cs="Arial" w:eastAsia="Arial" w:hAnsi="Arial"/>
          <w:b w:val="false"/>
          <w:bCs w:val="false"/>
          <w:i w:val="false"/>
          <w:iCs w:val="false"/>
          <w:color w:val="2A2E38"/>
          <w:sz w:val="19"/>
          <w:szCs w:val="19"/>
        </w:rPr>
        <w:t xml:space="preserve">Дальше — не про сам дом, а про то, сколько покупателей на такой формат вообще существует. Цифры взяты из отчётов консультантов и относятся ко всей Москве.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2600"/>
        <w:gridCol w:w="2138"/>
      </w:tblGrid>
      <w:tr>
        <w:trPr>
          <w:tblHeader/>
        </w:trPr>
        <w:tc>
          <w:tcPr>
            <w:tcW w:type="dxa" w:w="49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FFFFFF"/>
                <w:sz w:val="16"/>
                <w:szCs w:val="16"/>
              </w:rPr>
              <w:t xml:space="preserve">Показатель рынка делюкс</w:t>
            </w:r>
          </w:p>
        </w:tc>
        <w:tc>
          <w:tcPr>
            <w:tcW w:type="dxa" w:w="26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Значение</w:t>
            </w:r>
          </w:p>
        </w:tc>
        <w:tc>
          <w:tcPr>
            <w:tcW w:type="dxa" w:w="2138"/>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Источник</w:t>
            </w:r>
          </w:p>
        </w:tc>
      </w:tr>
      <w:tr>
        <w:tc>
          <w:tcPr>
            <w:tcW w:type="dxa" w:w="49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Сделок в классе делюкс за 2025 год</w:t>
            </w:r>
          </w:p>
        </w:tc>
        <w:tc>
          <w:tcPr>
            <w:tcW w:type="dxa" w:w="26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300</w:t>
            </w:r>
          </w:p>
        </w:tc>
        <w:tc>
          <w:tcPr>
            <w:tcW w:type="dxa" w:w="21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NF Group</w:t>
            </w:r>
          </w:p>
        </w:tc>
      </w:tr>
      <w:tr>
        <w:tc>
          <w:tcPr>
            <w:tcW w:type="dxa" w:w="49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Сделок за I полугодие 2026 года</w:t>
            </w:r>
          </w:p>
        </w:tc>
        <w:tc>
          <w:tcPr>
            <w:tcW w:type="dxa" w:w="26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110 (−35 %)</w:t>
            </w:r>
          </w:p>
        </w:tc>
        <w:tc>
          <w:tcPr>
            <w:tcW w:type="dxa" w:w="2138"/>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NF Group</w:t>
            </w:r>
          </w:p>
        </w:tc>
      </w:tr>
      <w:tr>
        <w:tc>
          <w:tcPr>
            <w:tcW w:type="dxa" w:w="49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Средняя площадь сделки в делюксе</w:t>
            </w:r>
          </w:p>
        </w:tc>
        <w:tc>
          <w:tcPr>
            <w:tcW w:type="dxa" w:w="26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153 – 162 м²</w:t>
            </w:r>
          </w:p>
        </w:tc>
        <w:tc>
          <w:tcPr>
            <w:tcW w:type="dxa" w:w="21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NF Group</w:t>
            </w:r>
          </w:p>
        </w:tc>
      </w:tr>
      <w:tr>
        <w:tc>
          <w:tcPr>
            <w:tcW w:type="dxa" w:w="49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Средняя стоимость сделки в делюксе</w:t>
            </w:r>
          </w:p>
        </w:tc>
        <w:tc>
          <w:tcPr>
            <w:tcW w:type="dxa" w:w="26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437 – 515 млн ₽</w:t>
            </w:r>
          </w:p>
        </w:tc>
        <w:tc>
          <w:tcPr>
            <w:tcW w:type="dxa" w:w="2138"/>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NF Group</w:t>
            </w:r>
          </w:p>
        </w:tc>
      </w:tr>
      <w:tr>
        <w:tc>
          <w:tcPr>
            <w:tcW w:type="dxa" w:w="49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Квартир делюкс в продаже, июнь 2026</w:t>
            </w:r>
          </w:p>
        </w:tc>
        <w:tc>
          <w:tcPr>
            <w:tcW w:type="dxa" w:w="26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1 090 (+11 %)</w:t>
            </w:r>
          </w:p>
        </w:tc>
        <w:tc>
          <w:tcPr>
            <w:tcW w:type="dxa" w:w="21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NF Group</w:t>
            </w:r>
          </w:p>
        </w:tc>
      </w:tr>
      <w:tr>
        <w:tc>
          <w:tcPr>
            <w:tcW w:type="dxa" w:w="49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Срок реализации элитного проекта</w:t>
            </w:r>
          </w:p>
        </w:tc>
        <w:tc>
          <w:tcPr>
            <w:tcW w:type="dxa" w:w="26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4 – 5 лет</w:t>
            </w:r>
          </w:p>
        </w:tc>
        <w:tc>
          <w:tcPr>
            <w:tcW w:type="dxa" w:w="2138"/>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NF Group</w:t>
            </w:r>
          </w:p>
        </w:tc>
      </w:tr>
    </w:tbl>
    <w:p>
      <w:pPr>
        <w:spacing w:after="30"/>
      </w:pPr>
      <w:r>
        <w:rPr>
          <w:rFonts w:ascii="Arial" w:cs="Arial" w:eastAsia="Arial" w:hAnsi="Arial"/>
          <w:b w:val="false"/>
          <w:bCs w:val="false"/>
          <w:i w:val="false"/>
          <w:iCs w:val="false"/>
          <w:color w:val="2A2E38"/>
          <w:sz w:val="19"/>
          <w:szCs w:val="19"/>
        </w:rPr>
        <w:t xml:space="preserve"/>
      </w:r>
    </w:p>
    <w:p>
      <w:pPr>
        <w:spacing w:after="60" w:line="230" w:lineRule="auto"/>
        <w:ind w:right="1560"/>
      </w:pPr>
      <w:r>
        <w:rPr>
          <w:rFonts w:ascii="Arial" w:cs="Arial" w:eastAsia="Arial" w:hAnsi="Arial"/>
          <w:b w:val="false"/>
          <w:bCs w:val="false"/>
          <w:i w:val="false"/>
          <w:iCs w:val="false"/>
          <w:color w:val="70788A"/>
          <w:sz w:val="15"/>
          <w:szCs w:val="15"/>
        </w:rPr>
        <w:t xml:space="preserve">Делюкс — самый узкий класс московского рынка жилья: по критериям NF Group это проекты в пределах ЦАО со средней площадью квартиры от 110 м². EDEN в эти критерии попадает.</w:t>
      </w:r>
    </w:p>
    <w:p>
      <w:pPr>
        <w:spacing w:after="40"/>
      </w:pPr>
      <w:r>
        <w:rPr>
          <w:rFonts w:ascii="Arial" w:cs="Arial" w:eastAsia="Arial" w:hAnsi="Arial"/>
          <w:b w:val="false"/>
          <w:bCs w:val="false"/>
          <w:i w:val="false"/>
          <w:iCs w:val="false"/>
          <w:color w:val="2A2E38"/>
          <w:sz w:val="19"/>
          <w:szCs w:val="19"/>
        </w:rPr>
        <w:t xml:space="preserve"/>
      </w:r>
    </w:p>
    <w:p>
      <w:pPr>
        <w:keepNext/>
        <w:keepLines/>
        <w:spacing w:after="110" w:before="170"/>
      </w:pPr>
      <w:r>
        <w:rPr>
          <w:rFonts w:ascii="Georgia" w:cs="Georgia" w:eastAsia="Georgia" w:hAnsi="Georgia"/>
          <w:b/>
          <w:bCs/>
          <w:i w:val="false"/>
          <w:iCs w:val="false"/>
          <w:color w:val="1F2A44"/>
          <w:sz w:val="24"/>
          <w:szCs w:val="24"/>
        </w:rPr>
        <w:t xml:space="preserve">Сколько бывает сделок дороже миллиарда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600"/>
        <w:gridCol w:w="3138"/>
      </w:tblGrid>
      <w:tr>
        <w:trPr>
          <w:tblHeader/>
        </w:trPr>
        <w:tc>
          <w:tcPr>
            <w:tcW w:type="dxa" w:w="39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FFFFFF"/>
                <w:sz w:val="16"/>
                <w:szCs w:val="16"/>
              </w:rPr>
              <w:t xml:space="preserve">Период</w:t>
            </w:r>
          </w:p>
        </w:tc>
        <w:tc>
          <w:tcPr>
            <w:tcW w:type="dxa" w:w="26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Сколько</w:t>
            </w:r>
          </w:p>
        </w:tc>
        <w:tc>
          <w:tcPr>
            <w:tcW w:type="dxa" w:w="3138"/>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Источник</w:t>
            </w:r>
          </w:p>
        </w:tc>
      </w:tr>
      <w:tr>
        <w:tc>
          <w:tcPr>
            <w:tcW w:type="dxa" w:w="39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2023 год</w:t>
            </w:r>
          </w:p>
        </w:tc>
        <w:tc>
          <w:tcPr>
            <w:tcW w:type="dxa" w:w="26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5 сделок</w:t>
            </w:r>
          </w:p>
        </w:tc>
        <w:tc>
          <w:tcPr>
            <w:tcW w:type="dxa" w:w="31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Whitewill</w:t>
            </w:r>
          </w:p>
        </w:tc>
      </w:tr>
      <w:tr>
        <w:tc>
          <w:tcPr>
            <w:tcW w:type="dxa" w:w="39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2024 год</w:t>
            </w:r>
          </w:p>
        </w:tc>
        <w:tc>
          <w:tcPr>
            <w:tcW w:type="dxa" w:w="26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9 сделок</w:t>
            </w:r>
          </w:p>
        </w:tc>
        <w:tc>
          <w:tcPr>
            <w:tcW w:type="dxa" w:w="3138"/>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Whitewill</w:t>
            </w:r>
          </w:p>
        </w:tc>
      </w:tr>
      <w:tr>
        <w:tc>
          <w:tcPr>
            <w:tcW w:type="dxa" w:w="39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2025 год</w:t>
            </w:r>
          </w:p>
        </w:tc>
        <w:tc>
          <w:tcPr>
            <w:tcW w:type="dxa" w:w="26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20 сделок</w:t>
            </w:r>
          </w:p>
        </w:tc>
        <w:tc>
          <w:tcPr>
            <w:tcW w:type="dxa" w:w="31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Whitewill</w:t>
            </w:r>
          </w:p>
        </w:tc>
      </w:tr>
      <w:tr>
        <w:tc>
          <w:tcPr>
            <w:tcW w:type="dxa" w:w="39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2025 год</w:t>
            </w:r>
          </w:p>
        </w:tc>
        <w:tc>
          <w:tcPr>
            <w:tcW w:type="dxa" w:w="26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22 квартиры</w:t>
            </w:r>
          </w:p>
        </w:tc>
        <w:tc>
          <w:tcPr>
            <w:tcW w:type="dxa" w:w="3138"/>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Kalinka Ecosystem</w:t>
            </w:r>
          </w:p>
        </w:tc>
      </w:tr>
      <w:tr>
        <w:tc>
          <w:tcPr>
            <w:tcW w:type="dxa" w:w="39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Оценка годового спроса</w:t>
            </w:r>
          </w:p>
        </w:tc>
        <w:tc>
          <w:tcPr>
            <w:tcW w:type="dxa" w:w="26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20 – 25 лотов</w:t>
            </w:r>
          </w:p>
        </w:tc>
        <w:tc>
          <w:tcPr>
            <w:tcW w:type="dxa" w:w="31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Intermark</w:t>
            </w:r>
          </w:p>
        </w:tc>
      </w:tr>
      <w:tr>
        <w:tc>
          <w:tcPr>
            <w:tcW w:type="dxa" w:w="39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В продаже на март 2026</w:t>
            </w:r>
          </w:p>
        </w:tc>
        <w:tc>
          <w:tcPr>
            <w:tcW w:type="dxa" w:w="26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85 лотов</w:t>
            </w:r>
          </w:p>
        </w:tc>
        <w:tc>
          <w:tcPr>
            <w:tcW w:type="dxa" w:w="3138"/>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Whitewill, годом ранее 73</w:t>
            </w:r>
          </w:p>
        </w:tc>
      </w:tr>
    </w:tbl>
    <w:p>
      <w:pPr>
        <w:spacing w:after="30"/>
      </w:pPr>
      <w:r>
        <w:rPr>
          <w:rFonts w:ascii="Arial" w:cs="Arial" w:eastAsia="Arial" w:hAnsi="Arial"/>
          <w:b w:val="false"/>
          <w:bCs w:val="false"/>
          <w:i w:val="false"/>
          <w:iCs w:val="false"/>
          <w:color w:val="2A2E38"/>
          <w:sz w:val="19"/>
          <w:szCs w:val="19"/>
        </w:rPr>
        <w:t xml:space="preserve"/>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Сегмент растёт, но остаётся крошечным. </w:t>
      </w:r>
      <w:r>
        <w:rPr>
          <w:rFonts w:ascii="Arial" w:cs="Arial" w:eastAsia="Arial" w:hAnsi="Arial"/>
          <w:b/>
          <w:bCs/>
          <w:i w:val="false"/>
          <w:iCs w:val="false"/>
          <w:color w:val="2A2E38"/>
          <w:sz w:val="19"/>
          <w:szCs w:val="19"/>
        </w:rPr>
        <w:t xml:space="preserve">Пять сделок дороже миллиарда за 2023 год, девять за 2024-й, двадцать за 2025-й. Intermark оценивает годовой спрос в 20–25 таких лотов на всю Москву. При этом предложение растёт быстрее спроса: на март 2026 в продаже стояло 85 лотов дороже миллиарда против 73 годом ранее.</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А теперь сопоставим. </w:t>
      </w:r>
      <w:r>
        <w:rPr>
          <w:rFonts w:ascii="Arial" w:cs="Arial" w:eastAsia="Arial" w:hAnsi="Arial"/>
          <w:b/>
          <w:bCs/>
          <w:i w:val="false"/>
          <w:iCs w:val="false"/>
          <w:color w:val="2A2E38"/>
          <w:sz w:val="19"/>
          <w:szCs w:val="19"/>
        </w:rPr>
        <w:t xml:space="preserve">В EDEN 22 резиденции, и по расчётной цене большинство из них дороже миллиарда рублей. До сдачи дома 37 месяцев, то есть чуть больше трёх лет. Чтобы распродаться к вводу, дому нужно закрывать около семи таких сделок в год — а это 29–36 % всего московского рынка сделок дороже миллиарда, три года подряд.</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Это не приговор проекту: элитные дома в Москве продаются в среднем четыре-пять лет с начала строительства, и застройщик явно рассчитывает на срок за горизонтом ввода. Но это задаёт реалистичную рамку ожиданий: быстрой распродажи в таком формате не бывает.</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Плюс общий фон. </w:t>
      </w:r>
      <w:r>
        <w:rPr>
          <w:rFonts w:ascii="Arial" w:cs="Arial" w:eastAsia="Arial" w:hAnsi="Arial"/>
          <w:b/>
          <w:bCs/>
          <w:i w:val="false"/>
          <w:iCs w:val="false"/>
          <w:color w:val="2A2E38"/>
          <w:sz w:val="19"/>
          <w:szCs w:val="19"/>
        </w:rPr>
        <w:t xml:space="preserve">Класс делюкс за первое полугодие 2026 года дал 110 сделок против 300 за весь 2025-й — падение на 35 % к прошлому году. Одновременно объём предложения вырос до 1 090 квартир, плюс 11 %. Спрос сжимается, предложение растёт — NF Group прямо называет это «рынком покупателя».</w:t>
      </w:r>
    </w:p>
    <w:p>
      <w:pPr>
        <w:keepNext/>
        <w:keepLines/>
        <w:pBdr>
          <w:bottom w:val="single" w:color="A9762F" w:sz="10" w:space="8"/>
        </w:pBdr>
        <w:spacing w:after="160"/>
      </w:pPr>
      <w:r>
        <w:rPr>
          <w:rFonts w:ascii="Georgia" w:cs="Georgia" w:eastAsia="Georgia" w:hAnsi="Georgia"/>
          <w:b/>
          <w:bCs/>
          <w:i w:val="false"/>
          <w:iCs w:val="false"/>
          <w:color w:val="1F2A44"/>
          <w:sz w:val="36"/>
          <w:szCs w:val="36"/>
        </w:rPr>
        <w:t xml:space="preserve">Ближайшие конкуренты</w:t>
      </w:r>
    </w:p>
    <w:p>
      <w:pPr>
        <w:spacing w:after="180" w:line="258" w:lineRule="auto"/>
        <w:ind w:right="1560"/>
      </w:pPr>
      <w:r>
        <w:rPr>
          <w:rFonts w:ascii="Arial" w:cs="Arial" w:eastAsia="Arial" w:hAnsi="Arial"/>
          <w:b w:val="false"/>
          <w:bCs w:val="false"/>
          <w:i w:val="false"/>
          <w:iCs w:val="false"/>
          <w:color w:val="2A2E38"/>
          <w:sz w:val="19"/>
          <w:szCs w:val="19"/>
        </w:rPr>
        <w:t xml:space="preserve">В пешей доступности от EDEN сейчас строятся и продаются два сопоставимых клубных дома. Оба сдаются в 2026 году, то есть на три года раньше.</w:t>
      </w:r>
    </w:p>
    <w:tbl>
      <w:tblPr>
        <w:tblW w:type="dxa" w:w="10638"/>
        <w:tblBorders>
          <w:top w:val="single" w:color="auto" w:sz="4"/>
          <w:left w:val="single" w:color="auto" w:sz="4"/>
          <w:bottom w:val="single" w:color="auto" w:sz="4"/>
          <w:right w:val="single" w:color="auto" w:sz="4"/>
          <w:insideH w:val="single" w:color="auto" w:sz="4"/>
          <w:insideV w:val="single" w:color="auto" w:sz="4"/>
        </w:tblBorders>
      </w:tblPr>
      <w:tblGrid>
        <w:gridCol w:w="1700"/>
        <w:gridCol w:w="1350"/>
        <w:gridCol w:w="800"/>
        <w:gridCol w:w="1100"/>
        <w:gridCol w:w="700"/>
        <w:gridCol w:w="900"/>
        <w:gridCol w:w="800"/>
        <w:gridCol w:w="800"/>
        <w:gridCol w:w="900"/>
        <w:gridCol w:w="1000"/>
        <w:gridCol w:w="588"/>
      </w:tblGrid>
      <w:tr>
        <w:trPr>
          <w:tblHeader/>
        </w:trPr>
        <w:tc>
          <w:tcPr>
            <w:tcW w:type="dxa" w:w="17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FFFFFF"/>
                <w:sz w:val="16"/>
                <w:szCs w:val="16"/>
              </w:rPr>
              <w:t xml:space="preserve">Проект</w:t>
            </w:r>
          </w:p>
        </w:tc>
        <w:tc>
          <w:tcPr>
            <w:tcW w:type="dxa" w:w="135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Адрес</w:t>
            </w:r>
          </w:p>
        </w:tc>
        <w:tc>
          <w:tcPr>
            <w:tcW w:type="dxa" w:w="8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Класс</w:t>
            </w:r>
          </w:p>
        </w:tc>
        <w:tc>
          <w:tcPr>
            <w:tcW w:type="dxa" w:w="11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Квартир</w:t>
            </w:r>
          </w:p>
        </w:tc>
        <w:tc>
          <w:tcPr>
            <w:tcW w:type="dxa" w:w="7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Этажей</w:t>
            </w:r>
          </w:p>
        </w:tc>
        <w:tc>
          <w:tcPr>
            <w:tcW w:type="dxa" w:w="9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Сдача</w:t>
            </w:r>
          </w:p>
        </w:tc>
        <w:tc>
          <w:tcPr>
            <w:tcW w:type="dxa" w:w="8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Площади,
м²</w:t>
            </w:r>
          </w:p>
        </w:tc>
        <w:tc>
          <w:tcPr>
            <w:tcW w:type="dxa" w:w="8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Цена,
млн ₽</w:t>
            </w:r>
          </w:p>
        </w:tc>
        <w:tc>
          <w:tcPr>
            <w:tcW w:type="dxa" w:w="9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Цена за м²,
тыс. ₽</w:t>
            </w:r>
          </w:p>
        </w:tc>
        <w:tc>
          <w:tcPr>
            <w:tcW w:type="dxa" w:w="10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Отделка</w:t>
            </w:r>
          </w:p>
        </w:tc>
        <w:tc>
          <w:tcPr>
            <w:tcW w:type="dxa" w:w="588"/>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Мест</w:t>
            </w:r>
          </w:p>
        </w:tc>
      </w:tr>
      <w:tr>
        <w:tc>
          <w:tcPr>
            <w:tcW w:type="dxa" w:w="17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 EDEN Private Residence</w:t>
            </w:r>
          </w:p>
        </w:tc>
        <w:tc>
          <w:tcPr>
            <w:tcW w:type="dxa" w:w="135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Н. Кисловский пер., 7</w:t>
            </w:r>
          </w:p>
        </w:tc>
        <w:tc>
          <w:tcPr>
            <w:tcW w:type="dxa" w:w="8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де-люкс</w:t>
            </w:r>
          </w:p>
        </w:tc>
        <w:tc>
          <w:tcPr>
            <w:tcW w:type="dxa" w:w="11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22</w:t>
            </w:r>
          </w:p>
        </w:tc>
        <w:tc>
          <w:tcPr>
            <w:tcW w:type="dxa" w:w="7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6–9</w:t>
            </w:r>
          </w:p>
        </w:tc>
        <w:tc>
          <w:tcPr>
            <w:tcW w:type="dxa" w:w="9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III кв. 2029</w:t>
            </w:r>
          </w:p>
        </w:tc>
        <w:tc>
          <w:tcPr>
            <w:tcW w:type="dxa" w:w="8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107 – 411</w:t>
            </w:r>
          </w:p>
        </w:tc>
        <w:tc>
          <w:tcPr>
            <w:tcW w:type="dxa" w:w="8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от 1 100</w:t>
            </w:r>
          </w:p>
        </w:tc>
        <w:tc>
          <w:tcPr>
            <w:tcW w:type="dxa" w:w="9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 4 400</w:t>
            </w:r>
          </w:p>
        </w:tc>
        <w:tc>
          <w:tcPr>
            <w:tcW w:type="dxa" w:w="10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без отделки</w:t>
            </w:r>
          </w:p>
        </w:tc>
        <w:tc>
          <w:tcPr>
            <w:tcW w:type="dxa" w:w="58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43</w:t>
            </w:r>
          </w:p>
        </w:tc>
      </w:tr>
      <w:tr>
        <w:tc>
          <w:tcPr>
            <w:tcW w:type="dxa" w:w="17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Клубный дом «Никитский 6»</w:t>
            </w:r>
          </w:p>
        </w:tc>
        <w:tc>
          <w:tcPr>
            <w:tcW w:type="dxa" w:w="135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Никитский б-р, 6/20</w:t>
            </w:r>
          </w:p>
        </w:tc>
        <w:tc>
          <w:tcPr>
            <w:tcW w:type="dxa" w:w="8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де-люкс</w:t>
            </w:r>
          </w:p>
        </w:tc>
        <w:tc>
          <w:tcPr>
            <w:tcW w:type="dxa" w:w="11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57 + 4 пентхауса</w:t>
            </w:r>
          </w:p>
        </w:tc>
        <w:tc>
          <w:tcPr>
            <w:tcW w:type="dxa" w:w="7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8</w:t>
            </w:r>
          </w:p>
        </w:tc>
        <w:tc>
          <w:tcPr>
            <w:tcW w:type="dxa" w:w="9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IV кв. 2026</w:t>
            </w:r>
          </w:p>
        </w:tc>
        <w:tc>
          <w:tcPr>
            <w:tcW w:type="dxa" w:w="8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90 – 539</w:t>
            </w:r>
          </w:p>
        </w:tc>
        <w:tc>
          <w:tcPr>
            <w:tcW w:type="dxa" w:w="8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281 – 869</w:t>
            </w:r>
          </w:p>
        </w:tc>
        <w:tc>
          <w:tcPr>
            <w:tcW w:type="dxa" w:w="9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2 460 – 3 150</w:t>
            </w:r>
          </w:p>
        </w:tc>
        <w:tc>
          <w:tcPr>
            <w:tcW w:type="dxa" w:w="10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дизайнерская</w:t>
            </w:r>
          </w:p>
        </w:tc>
        <w:tc>
          <w:tcPr>
            <w:tcW w:type="dxa" w:w="588"/>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135</w:t>
            </w:r>
          </w:p>
        </w:tc>
      </w:tr>
      <w:tr>
        <w:tc>
          <w:tcPr>
            <w:tcW w:type="dxa" w:w="17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«Большая Никитская, 16»</w:t>
            </w:r>
          </w:p>
        </w:tc>
        <w:tc>
          <w:tcPr>
            <w:tcW w:type="dxa" w:w="135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Б. Никитская, 16</w:t>
            </w:r>
          </w:p>
        </w:tc>
        <w:tc>
          <w:tcPr>
            <w:tcW w:type="dxa" w:w="8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элит</w:t>
            </w:r>
          </w:p>
        </w:tc>
        <w:tc>
          <w:tcPr>
            <w:tcW w:type="dxa" w:w="11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4</w:t>
            </w:r>
          </w:p>
        </w:tc>
        <w:tc>
          <w:tcPr>
            <w:tcW w:type="dxa" w:w="7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4</w:t>
            </w:r>
          </w:p>
        </w:tc>
        <w:tc>
          <w:tcPr>
            <w:tcW w:type="dxa" w:w="9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III кв. 2026</w:t>
            </w:r>
          </w:p>
        </w:tc>
        <w:tc>
          <w:tcPr>
            <w:tcW w:type="dxa" w:w="8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139 – 234</w:t>
            </w:r>
          </w:p>
        </w:tc>
        <w:tc>
          <w:tcPr>
            <w:tcW w:type="dxa" w:w="8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не опубл.</w:t>
            </w:r>
          </w:p>
        </w:tc>
        <w:tc>
          <w:tcPr>
            <w:tcW w:type="dxa" w:w="9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не опубл.</w:t>
            </w:r>
          </w:p>
        </w:tc>
        <w:tc>
          <w:tcPr>
            <w:tcW w:type="dxa" w:w="10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не опубл.</w:t>
            </w:r>
          </w:p>
        </w:tc>
        <w:tc>
          <w:tcPr>
            <w:tcW w:type="dxa" w:w="58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есть</w:t>
            </w:r>
          </w:p>
        </w:tc>
      </w:tr>
    </w:tbl>
    <w:p>
      <w:pPr>
        <w:spacing w:after="30"/>
      </w:pPr>
      <w:r>
        <w:rPr>
          <w:rFonts w:ascii="Arial" w:cs="Arial" w:eastAsia="Arial" w:hAnsi="Arial"/>
          <w:b w:val="false"/>
          <w:bCs w:val="false"/>
          <w:i w:val="false"/>
          <w:iCs w:val="false"/>
          <w:color w:val="2A2E38"/>
          <w:sz w:val="19"/>
          <w:szCs w:val="19"/>
        </w:rPr>
        <w:t xml:space="preserve"/>
      </w:r>
    </w:p>
    <w:p>
      <w:pPr>
        <w:spacing w:after="60" w:line="230" w:lineRule="auto"/>
        <w:ind w:right="1560"/>
      </w:pPr>
      <w:r>
        <w:rPr>
          <w:rFonts w:ascii="Arial" w:cs="Arial" w:eastAsia="Arial" w:hAnsi="Arial"/>
          <w:b w:val="false"/>
          <w:bCs w:val="false"/>
          <w:i w:val="false"/>
          <w:iCs w:val="false"/>
          <w:color w:val="70788A"/>
          <w:sz w:val="15"/>
          <w:szCs w:val="15"/>
        </w:rPr>
        <w:t xml:space="preserve">«Никитский 6» — застройщик R4S, ООО СЗ «Третий Рим»: 57 квартир и 4 пентхауса, из них 32 в продаже, потолки 3,2 м (3,7 м в пентхаусах), дизайнерская отделка с кухней и сантехникой. «Большая Никитская, 16» — тот же R4S Group: реставрация доходного дома 1906 года, всего 4 квартиры, цены не публикуются.</w:t>
      </w:r>
    </w:p>
    <w:p>
      <w:pPr>
        <w:spacing w:after="40"/>
      </w:pPr>
      <w:r>
        <w:rPr>
          <w:rFonts w:ascii="Arial" w:cs="Arial" w:eastAsia="Arial" w:hAnsi="Arial"/>
          <w:b w:val="false"/>
          <w:bCs w:val="false"/>
          <w:i w:val="false"/>
          <w:iCs w:val="false"/>
          <w:color w:val="2A2E38"/>
          <w:sz w:val="19"/>
          <w:szCs w:val="19"/>
        </w:rPr>
        <w:t xml:space="preserve"/>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По цене метра EDEN дороже ближайшего конкурента в полтора раза. </w:t>
      </w:r>
      <w:r>
        <w:rPr>
          <w:rFonts w:ascii="Arial" w:cs="Arial" w:eastAsia="Arial" w:hAnsi="Arial"/>
          <w:b/>
          <w:bCs/>
          <w:i w:val="false"/>
          <w:iCs w:val="false"/>
          <w:color w:val="2A2E38"/>
          <w:sz w:val="19"/>
          <w:szCs w:val="19"/>
        </w:rPr>
        <w:t xml:space="preserve">«Никитский 6» в трёхстах метрах идёт по 2,46–3,15 млн ₽ за метр против расчётных 4,4 млн у EDEN. Разница объяснима только позиционированием: адрес, камерность и потолки против готовности и отделки.</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Причём конкурент продаёт готовый продукт, а EDEN — котлован. </w:t>
      </w:r>
      <w:r>
        <w:rPr>
          <w:rFonts w:ascii="Arial" w:cs="Arial" w:eastAsia="Arial" w:hAnsi="Arial"/>
          <w:b/>
          <w:bCs/>
          <w:i w:val="false"/>
          <w:iCs w:val="false"/>
          <w:color w:val="2A2E38"/>
          <w:sz w:val="19"/>
          <w:szCs w:val="19"/>
        </w:rPr>
        <w:t xml:space="preserve">«Никитский 6» сдаётся в IV квартале 2026 года и идёт с дизайнерской отделкой, укомплектованной кухней и сантехникой. EDEN сдаётся в III квартале 2029-го и без отделки: между покупкой и переездом — три года стройки плюс ремонт.</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Прямых конкурентов в этом бюджете рядом почти нет: «Большая Никитская, 16» — это всего четыре квартиры в отреставрированном доме 1906 года, а других строящихся клубных домов такого уровня в Кисловских переулках на сегодня не заявлено. Так что конкуренция у EDEN не соседская, а общегородская — с Остоженкой, Пречистенкой и Патриаршими.</w:t>
      </w:r>
    </w:p>
    <w:p>
      <w:pPr>
        <w:keepNext/>
        <w:keepLines/>
        <w:pBdr>
          <w:bottom w:val="single" w:color="A9762F" w:sz="10" w:space="8"/>
        </w:pBdr>
        <w:spacing w:after="160"/>
      </w:pPr>
      <w:r>
        <w:rPr>
          <w:rFonts w:ascii="Georgia" w:cs="Georgia" w:eastAsia="Georgia" w:hAnsi="Georgia"/>
          <w:b/>
          <w:bCs/>
          <w:i w:val="false"/>
          <w:iCs w:val="false"/>
          <w:color w:val="1F2A44"/>
          <w:sz w:val="36"/>
          <w:szCs w:val="36"/>
        </w:rPr>
        <w:t xml:space="preserve">Кто строит</w:t>
      </w:r>
    </w:p>
    <w:p>
      <w:pPr>
        <w:spacing w:after="180" w:line="258" w:lineRule="auto"/>
        <w:ind w:right="1560"/>
      </w:pPr>
      <w:r>
        <w:rPr>
          <w:rFonts w:ascii="Arial" w:cs="Arial" w:eastAsia="Arial" w:hAnsi="Arial"/>
          <w:b w:val="false"/>
          <w:bCs w:val="false"/>
          <w:i w:val="false"/>
          <w:iCs w:val="false"/>
          <w:color w:val="2A2E38"/>
          <w:sz w:val="19"/>
          <w:szCs w:val="19"/>
        </w:rPr>
        <w:t xml:space="preserve">Sense — молодой девелопер: компанию возглавляет Юрий Матвеев, учредитель — ООО «Проф Инжиниринг», связанное с группой ПИК и её акционером. Портфель небольшой и почти весь ещё не сдан.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3200"/>
        <w:gridCol w:w="1338"/>
      </w:tblGrid>
      <w:tr>
        <w:trPr>
          <w:tblHeader/>
        </w:trPr>
        <w:tc>
          <w:tcPr>
            <w:tcW w:type="dxa" w:w="27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FFFFFF"/>
                <w:sz w:val="16"/>
                <w:szCs w:val="16"/>
              </w:rPr>
              <w:t xml:space="preserve">Проект</w:t>
            </w:r>
          </w:p>
        </w:tc>
        <w:tc>
          <w:tcPr>
            <w:tcW w:type="dxa" w:w="24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Адрес</w:t>
            </w:r>
          </w:p>
        </w:tc>
        <w:tc>
          <w:tcPr>
            <w:tcW w:type="dxa" w:w="3200"/>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Что это</w:t>
            </w:r>
          </w:p>
        </w:tc>
        <w:tc>
          <w:tcPr>
            <w:tcW w:type="dxa" w:w="1338"/>
            <w:tcBorders>
              <w:top w:val="single" w:color="1F2A44" w:sz="4"/>
              <w:left w:val="none" w:color="auto" w:sz="0"/>
              <w:bottom w:val="single" w:color="D9D4CB" w:sz="4"/>
              <w:right w:val="none" w:color="auto" w:sz="0"/>
            </w:tcBorders>
            <w:shd w:fill="1F2A44"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bCs/>
                <w:i w:val="false"/>
                <w:iCs w:val="false"/>
                <w:color w:val="FFFFFF"/>
                <w:sz w:val="16"/>
                <w:szCs w:val="16"/>
              </w:rPr>
              <w:t xml:space="preserve">Срок</w:t>
            </w:r>
          </w:p>
        </w:tc>
      </w:tr>
      <w:tr>
        <w:tc>
          <w:tcPr>
            <w:tcW w:type="dxa" w:w="27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Logos</w:t>
            </w:r>
          </w:p>
        </w:tc>
        <w:tc>
          <w:tcPr>
            <w:tcW w:type="dxa" w:w="24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Даниловский район</w:t>
            </w:r>
          </w:p>
        </w:tc>
        <w:tc>
          <w:tcPr>
            <w:tcW w:type="dxa" w:w="32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Апарт-комплекс, премиум</w:t>
            </w:r>
          </w:p>
        </w:tc>
        <w:tc>
          <w:tcPr>
            <w:tcW w:type="dxa" w:w="13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Сдан</w:t>
            </w:r>
          </w:p>
        </w:tc>
      </w:tr>
      <w:tr>
        <w:tc>
          <w:tcPr>
            <w:tcW w:type="dxa" w:w="27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PHANTOM</w:t>
            </w:r>
          </w:p>
        </w:tc>
        <w:tc>
          <w:tcPr>
            <w:tcW w:type="dxa" w:w="24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Малая Сухаревская пл.</w:t>
            </w:r>
          </w:p>
        </w:tc>
        <w:tc>
          <w:tcPr>
            <w:tcW w:type="dxa" w:w="32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Клубный дом, 52 квартиры</w:t>
            </w:r>
          </w:p>
        </w:tc>
        <w:tc>
          <w:tcPr>
            <w:tcW w:type="dxa" w:w="1338"/>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III кв. 2027</w:t>
            </w:r>
          </w:p>
        </w:tc>
      </w:tr>
      <w:tr>
        <w:tc>
          <w:tcPr>
            <w:tcW w:type="dxa" w:w="27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 EDEN Private Residence</w:t>
            </w:r>
          </w:p>
        </w:tc>
        <w:tc>
          <w:tcPr>
            <w:tcW w:type="dxa" w:w="24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Н. Кисловский пер., 7</w:t>
            </w:r>
          </w:p>
        </w:tc>
        <w:tc>
          <w:tcPr>
            <w:tcW w:type="dxa" w:w="32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Клубный дом, 22 резиденции</w:t>
            </w:r>
          </w:p>
        </w:tc>
        <w:tc>
          <w:tcPr>
            <w:tcW w:type="dxa" w:w="13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III кв. 2029</w:t>
            </w:r>
          </w:p>
        </w:tc>
      </w:tr>
      <w:tr>
        <w:tc>
          <w:tcPr>
            <w:tcW w:type="dxa" w:w="27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Omni Tower</w:t>
            </w:r>
          </w:p>
        </w:tc>
        <w:tc>
          <w:tcPr>
            <w:tcW w:type="dxa" w:w="24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ул. Алексея Свиридова</w:t>
            </w:r>
          </w:p>
        </w:tc>
        <w:tc>
          <w:tcPr>
            <w:tcW w:type="dxa" w:w="3200"/>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Бизнес-центр класса А, 66,8 тыс. м²</w:t>
            </w:r>
          </w:p>
        </w:tc>
        <w:tc>
          <w:tcPr>
            <w:tcW w:type="dxa" w:w="1338"/>
            <w:tcBorders>
              <w:top w:val="single" w:color="D9D4CB" w:sz="4"/>
              <w:left w:val="none" w:color="auto" w:sz="0"/>
              <w:bottom w:val="single" w:color="D9D4CB" w:sz="4"/>
              <w:right w:val="none" w:color="auto" w:sz="0"/>
            </w:tcBorders>
            <w:shd w:fill="FBFAF8" w:color="auto" w:val="clear"/>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2028</w:t>
            </w:r>
          </w:p>
        </w:tc>
      </w:tr>
      <w:tr>
        <w:tc>
          <w:tcPr>
            <w:tcW w:type="dxa" w:w="27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bCs/>
                <w:i w:val="false"/>
                <w:iCs w:val="false"/>
                <w:color w:val="2A2E38"/>
                <w:sz w:val="17"/>
                <w:szCs w:val="17"/>
              </w:rPr>
              <w:t xml:space="preserve">Две городские усадьбы</w:t>
            </w:r>
          </w:p>
        </w:tc>
        <w:tc>
          <w:tcPr>
            <w:tcW w:type="dxa" w:w="24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Москва</w:t>
            </w:r>
          </w:p>
        </w:tc>
        <w:tc>
          <w:tcPr>
            <w:tcW w:type="dxa" w:w="3200"/>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left"/>
            </w:pPr>
            <w:r>
              <w:rPr>
                <w:rFonts w:ascii="Arial" w:cs="Arial" w:eastAsia="Arial" w:hAnsi="Arial"/>
                <w:b w:val="false"/>
                <w:bCs w:val="false"/>
                <w:i w:val="false"/>
                <w:iCs w:val="false"/>
                <w:color w:val="2A2E38"/>
                <w:sz w:val="17"/>
                <w:szCs w:val="17"/>
              </w:rPr>
              <w:t xml:space="preserve">Реставрация объектов наследия</w:t>
            </w:r>
          </w:p>
        </w:tc>
        <w:tc>
          <w:tcPr>
            <w:tcW w:type="dxa" w:w="1338"/>
            <w:tcBorders>
              <w:top w:val="single" w:color="D9D4CB" w:sz="4"/>
              <w:left w:val="none" w:color="auto" w:sz="0"/>
              <w:bottom w:val="single" w:color="D9D4CB" w:sz="4"/>
              <w:right w:val="none" w:color="auto" w:sz="0"/>
            </w:tcBorders>
            <w:tcMar>
              <w:top w:type="dxa" w:w="52"/>
              <w:left w:type="dxa" w:w="100"/>
              <w:bottom w:type="dxa" w:w="52"/>
              <w:right w:type="dxa" w:w="100"/>
            </w:tcMar>
            <w:vAlign w:val="center"/>
          </w:tcPr>
          <w:p>
            <w:pPr>
              <w:spacing w:after="0" w:line="240" w:lineRule="auto"/>
              <w:jc w:val="center"/>
            </w:pPr>
            <w:r>
              <w:rPr>
                <w:rFonts w:ascii="Arial" w:cs="Arial" w:eastAsia="Arial" w:hAnsi="Arial"/>
                <w:b w:val="false"/>
                <w:bCs w:val="false"/>
                <w:i w:val="false"/>
                <w:iCs w:val="false"/>
                <w:color w:val="2A2E38"/>
                <w:sz w:val="17"/>
                <w:szCs w:val="17"/>
              </w:rPr>
              <w:t xml:space="preserve">В работе</w:t>
            </w:r>
          </w:p>
        </w:tc>
      </w:tr>
    </w:tbl>
    <w:p>
      <w:pPr>
        <w:spacing w:after="30"/>
      </w:pPr>
      <w:r>
        <w:rPr>
          <w:rFonts w:ascii="Arial" w:cs="Arial" w:eastAsia="Arial" w:hAnsi="Arial"/>
          <w:b w:val="false"/>
          <w:bCs w:val="false"/>
          <w:i w:val="false"/>
          <w:iCs w:val="false"/>
          <w:color w:val="2A2E38"/>
          <w:sz w:val="19"/>
          <w:szCs w:val="19"/>
        </w:rPr>
        <w:t xml:space="preserve"/>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Готовый объект у застройщика пока один — апарт-комплекс Logos в Даниловском районе. </w:t>
      </w:r>
      <w:r>
        <w:rPr>
          <w:rFonts w:ascii="Arial" w:cs="Arial" w:eastAsia="Arial" w:hAnsi="Arial"/>
          <w:b/>
          <w:bCs/>
          <w:i w:val="false"/>
          <w:iCs w:val="false"/>
          <w:color w:val="2A2E38"/>
          <w:sz w:val="19"/>
          <w:szCs w:val="19"/>
        </w:rPr>
        <w:t xml:space="preserve">Всё остальное строится: клубный дом PHANTOM на Малой Сухаревской сдаётся в 2027 году, бизнес-центр Omni Tower — в 2028-м, EDEN — в 2029-м. Опыта сдачи жилья де-люкс у компании ещё нет, и ЕРЗ по этой причине пока не присваивает проекту потребительский рейтинг.</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Отдельная линия работы — реставрация двух городских усадеб XVIII и XX веков. Для проекта в историческом переулке это уместный опыт: EDEN встраивается в охраняемую историческую среду, и переменная этажность 6–9 этажей — следствие именно этих ограничений.</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Продажи идут по ДДУ с эскроу. </w:t>
      </w:r>
      <w:r>
        <w:rPr>
          <w:rFonts w:ascii="Arial" w:cs="Arial" w:eastAsia="Arial" w:hAnsi="Arial"/>
          <w:b w:val="false"/>
          <w:bCs w:val="false"/>
          <w:i w:val="false"/>
          <w:iCs w:val="false"/>
          <w:color w:val="2A2E38"/>
          <w:sz w:val="19"/>
          <w:szCs w:val="19"/>
        </w:rPr>
        <w:t xml:space="preserve">То есть деньги покупателя лежат в банке до сдачи дома, и застройщик получает их только после ввода. Для проекта на стадии котлована со сроком 2029 года это принципиально: риск недостроя закрыт стандартным механизмом 214-ФЗ.</w:t>
      </w:r>
    </w:p>
    <w:p>
      <w:pPr>
        <w:keepNext/>
        <w:keepLines/>
        <w:pBdr>
          <w:bottom w:val="single" w:color="A9762F" w:sz="10" w:space="8"/>
        </w:pBdr>
        <w:spacing w:after="160"/>
      </w:pPr>
      <w:r>
        <w:rPr>
          <w:rFonts w:ascii="Georgia" w:cs="Georgia" w:eastAsia="Georgia" w:hAnsi="Georgia"/>
          <w:b/>
          <w:bCs/>
          <w:i w:val="false"/>
          <w:iCs w:val="false"/>
          <w:color w:val="1F2A44"/>
          <w:sz w:val="36"/>
          <w:szCs w:val="36"/>
        </w:rPr>
        <w:t xml:space="preserve">Выводы</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Продукт редкий и по формату, и по адресу. </w:t>
      </w:r>
      <w:r>
        <w:rPr>
          <w:rFonts w:ascii="Arial" w:cs="Arial" w:eastAsia="Arial" w:hAnsi="Arial"/>
          <w:b/>
          <w:bCs/>
          <w:i w:val="false"/>
          <w:iCs w:val="false"/>
          <w:color w:val="2A2E38"/>
          <w:sz w:val="19"/>
          <w:szCs w:val="19"/>
        </w:rPr>
        <w:t xml:space="preserve">22 резиденции средней площадью 282 м² с потолками до 4,2 метра в переулке между Большой Никитской и Воздвиженкой, в двухстах метрах от Александровского сада. Почти два машиноместа на квартиру для центра — отдельная ценность.</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Цена соответствует не району, а верхнему пределу города. </w:t>
      </w:r>
      <w:r>
        <w:rPr>
          <w:rFonts w:ascii="Arial" w:cs="Arial" w:eastAsia="Arial" w:hAnsi="Arial"/>
          <w:b/>
          <w:bCs/>
          <w:i w:val="false"/>
          <w:iCs w:val="false"/>
          <w:color w:val="2A2E38"/>
          <w:sz w:val="19"/>
          <w:szCs w:val="19"/>
        </w:rPr>
        <w:t xml:space="preserve">Расчётные 4,4 млн ₽ за метр — это на 39 % выше средней по Арбату и на 36 % выше средней по классу делюкс; сопоставимо только с Остоженкой и Пречистенкой. Покупатель платит за адрес и камерность, а не за квадратные метры.</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Главный риск — не цена, а ёмкость спроса. </w:t>
      </w:r>
      <w:r>
        <w:rPr>
          <w:rFonts w:ascii="Arial" w:cs="Arial" w:eastAsia="Arial" w:hAnsi="Arial"/>
          <w:b/>
          <w:bCs/>
          <w:i w:val="false"/>
          <w:iCs w:val="false"/>
          <w:color w:val="2A2E38"/>
          <w:sz w:val="19"/>
          <w:szCs w:val="19"/>
        </w:rPr>
        <w:t xml:space="preserve">Дому нужно продавать около семи резиденций в год дороже миллиарда рублей при том, что весь московский рынок таких сделок — 20–25 в год, а предложение в этом сегменте растёт быстрее спроса. Это означает длинный срок реализации, и он должен быть заложен в ожидания с самого начала.</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Сравнение с ближайшим конкурентом складывается не в пользу EDEN по деньгам и срокам. </w:t>
      </w:r>
      <w:r>
        <w:rPr>
          <w:rFonts w:ascii="Arial" w:cs="Arial" w:eastAsia="Arial" w:hAnsi="Arial"/>
          <w:b w:val="false"/>
          <w:bCs w:val="false"/>
          <w:i w:val="false"/>
          <w:iCs w:val="false"/>
          <w:color w:val="2A2E38"/>
          <w:sz w:val="19"/>
          <w:szCs w:val="19"/>
        </w:rPr>
        <w:t xml:space="preserve">«Никитский 6» в трёхстах метрах дешевле в полтора раза за метр, сдаётся на три года раньше и уже с отделкой. Аргументы EDEN лежат в другой плоскости: 22 квартиры против 61, потолки 4,2 против 3,2 метра и адрес.</w:t>
      </w:r>
    </w:p>
    <w:p>
      <w:pPr>
        <w:spacing w:after="58" w:line="252"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2A2E38"/>
          <w:sz w:val="19"/>
          <w:szCs w:val="19"/>
        </w:rPr>
        <w:t xml:space="preserve">И главное ограничение самой справки. </w:t>
      </w:r>
      <w:r>
        <w:rPr>
          <w:rFonts w:ascii="Arial" w:cs="Arial" w:eastAsia="Arial" w:hAnsi="Arial"/>
          <w:b/>
          <w:bCs/>
          <w:i w:val="false"/>
          <w:iCs w:val="false"/>
          <w:color w:val="2A2E38"/>
          <w:sz w:val="19"/>
          <w:szCs w:val="19"/>
        </w:rPr>
        <w:t xml:space="preserve">Проект продаётся закрыто: поквартирного прайса нет, объявлений на площадках нет, публичной рекламы нет. Весь ценовой блок построен на одной опубликованной цифре старта продаж. Как только появится реальный прайс или первые сделки, расчёты нужно будет пересчитать.</w:t>
      </w:r>
    </w:p>
    <w:p>
      <w:pPr>
        <w:spacing w:after="20"/>
      </w:pPr>
      <w:r>
        <w:rPr>
          <w:rFonts w:ascii="Arial" w:cs="Arial" w:eastAsia="Arial" w:hAnsi="Arial"/>
          <w:b w:val="false"/>
          <w:bCs w:val="false"/>
          <w:i w:val="false"/>
          <w:iCs w:val="false"/>
          <w:color w:val="2A2E38"/>
          <w:sz w:val="19"/>
          <w:szCs w:val="19"/>
        </w:rPr>
        <w:t xml:space="preserve"/>
      </w:r>
    </w:p>
    <w:p>
      <w:pPr>
        <w:pBdr>
          <w:bottom w:val="single" w:color="D9D4CB" w:sz="6" w:space="2"/>
        </w:pBdr>
        <w:spacing w:after="100"/>
      </w:pPr>
      <w:r>
        <w:rPr>
          <w:rFonts w:ascii="Arial" w:cs="Arial" w:eastAsia="Arial" w:hAnsi="Arial"/>
          <w:b w:val="false"/>
          <w:bCs w:val="false"/>
          <w:i w:val="false"/>
          <w:iCs w:val="false"/>
          <w:color w:val="2A2E38"/>
          <w:sz w:val="19"/>
          <w:szCs w:val="19"/>
        </w:rPr>
        <w:t xml:space="preserve"/>
      </w:r>
    </w:p>
    <w:p>
      <w:pPr>
        <w:spacing w:after="90"/>
      </w:pPr>
      <w:r>
        <w:rPr>
          <w:rFonts w:ascii="Arial" w:cs="Arial" w:eastAsia="Arial" w:hAnsi="Arial"/>
          <w:b/>
          <w:bCs/>
          <w:i w:val="false"/>
          <w:iCs w:val="false"/>
          <w:caps/>
          <w:color w:val="1F2A44"/>
          <w:spacing w:val="60"/>
          <w:sz w:val="16"/>
          <w:szCs w:val="16"/>
        </w:rPr>
        <w:t xml:space="preserve">Источники</w:t>
      </w:r>
    </w:p>
    <w:p>
      <w:pPr>
        <w:spacing w:after="32" w:line="206"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70788A"/>
          <w:sz w:val="16"/>
          <w:szCs w:val="16"/>
        </w:rPr>
        <w:t xml:space="preserve">Официальные сайты проекта и застройщика — eden.moscow, sense.ru — </w:t>
      </w:r>
      <w:hyperlink w:history="1" r:id="rIdtlt9kvvkgjl-tloqdz42b">
        <w:r>
          <w:rPr>
            <w:rFonts w:ascii="Arial" w:cs="Arial" w:eastAsia="Arial" w:hAnsi="Arial"/>
            <w:b w:val="false"/>
            <w:bCs w:val="false"/>
            <w:i w:val="false"/>
            <w:iCs w:val="false"/>
            <w:color w:val="2C5FA8"/>
            <w:sz w:val="16"/>
            <w:szCs w:val="16"/>
          </w:rPr>
          <w:t xml:space="preserve">https://eden.moscow/</w:t>
        </w:r>
      </w:hyperlink>
    </w:p>
    <w:p>
      <w:pPr>
        <w:spacing w:after="32" w:line="206"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70788A"/>
          <w:sz w:val="16"/>
          <w:szCs w:val="16"/>
        </w:rPr>
        <w:t xml:space="preserve">Цена старта продаж («от 1,1 млрд ₽ за резиденцию площадью около 250 кв. м») и закрытый формат продаж — обзор рынка от 06.04.2026 — </w:t>
      </w:r>
      <w:hyperlink w:history="1" r:id="rIdh5nxvf9omau78xgy8z306">
        <w:r>
          <w:rPr>
            <w:rFonts w:ascii="Arial" w:cs="Arial" w:eastAsia="Arial" w:hAnsi="Arial"/>
            <w:b w:val="false"/>
            <w:bCs w:val="false"/>
            <w:i w:val="false"/>
            <w:iCs w:val="false"/>
            <w:color w:val="2C5FA8"/>
            <w:sz w:val="16"/>
            <w:szCs w:val="16"/>
          </w:rPr>
          <w:t xml:space="preserve">https://novostroev.ru/articles/blizhayshie-starty-prodazh-novostroek-moskvy-v-aprele-mae-2026/</w:t>
        </w:r>
      </w:hyperlink>
    </w:p>
    <w:p>
      <w:pPr>
        <w:spacing w:after="32" w:line="206"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70788A"/>
          <w:sz w:val="16"/>
          <w:szCs w:val="16"/>
        </w:rPr>
        <w:t xml:space="preserve">Параметры дома: площади, потолки, паркинг, лифты, участок, общая площадь — карточка проекта на «Элитное.ру» — </w:t>
      </w:r>
      <w:hyperlink w:history="1" r:id="rIdux36x_fjbp4wzplszri5l">
        <w:r>
          <w:rPr>
            <w:rFonts w:ascii="Arial" w:cs="Arial" w:eastAsia="Arial" w:hAnsi="Arial"/>
            <w:b w:val="false"/>
            <w:bCs w:val="false"/>
            <w:i w:val="false"/>
            <w:iCs w:val="false"/>
            <w:color w:val="2C5FA8"/>
            <w:sz w:val="16"/>
            <w:szCs w:val="16"/>
          </w:rPr>
          <w:t xml:space="preserve">https://elitnoe.ru/complexes/1099-zhk-eden-nizhnii-kislovskii-7</w:t>
        </w:r>
      </w:hyperlink>
    </w:p>
    <w:p>
      <w:pPr>
        <w:spacing w:after="32" w:line="206"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70788A"/>
          <w:sz w:val="16"/>
          <w:szCs w:val="16"/>
        </w:rPr>
        <w:t xml:space="preserve">Состав квартир, срок сдачи, стадия строительства, отделка, эскроу — «Новострой-М» и «Новостроев» — </w:t>
      </w:r>
      <w:hyperlink w:history="1" r:id="rIdsigoqgbkjjrxgmf4tl7ry">
        <w:r>
          <w:rPr>
            <w:rFonts w:ascii="Arial" w:cs="Arial" w:eastAsia="Arial" w:hAnsi="Arial"/>
            <w:b w:val="false"/>
            <w:bCs w:val="false"/>
            <w:i w:val="false"/>
            <w:iCs w:val="false"/>
            <w:color w:val="2C5FA8"/>
            <w:sz w:val="16"/>
            <w:szCs w:val="16"/>
          </w:rPr>
          <w:t xml:space="preserve">https://www.novostroy-m.ru/baza/jk_na__nijniy</w:t>
        </w:r>
      </w:hyperlink>
    </w:p>
    <w:p>
      <w:pPr>
        <w:spacing w:after="32" w:line="206"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70788A"/>
          <w:sz w:val="16"/>
          <w:szCs w:val="16"/>
        </w:rPr>
        <w:t xml:space="preserve">Застройщик и проектная декларация — ЕРЗ.РФ, ООО СЗ «СЕНС.КИСЛОВСКИЙ» — </w:t>
      </w:r>
      <w:hyperlink w:history="1" r:id="rId6ptbfp1tos_5wicbahu1p">
        <w:r>
          <w:rPr>
            <w:rFonts w:ascii="Arial" w:cs="Arial" w:eastAsia="Arial" w:hAnsi="Arial"/>
            <w:b w:val="false"/>
            <w:bCs w:val="false"/>
            <w:i w:val="false"/>
            <w:iCs w:val="false"/>
            <w:color w:val="2C5FA8"/>
            <w:sz w:val="16"/>
            <w:szCs w:val="16"/>
          </w:rPr>
          <w:t xml:space="preserve">https://erzrf.ru/novostroyki/zhk-eden-28740607001</w:t>
        </w:r>
      </w:hyperlink>
    </w:p>
    <w:p>
      <w:pPr>
        <w:spacing w:after="32" w:line="206"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70788A"/>
          <w:sz w:val="16"/>
          <w:szCs w:val="16"/>
        </w:rPr>
        <w:t xml:space="preserve">Цены по элитным районам Москвы, число сделок и объём предложения в классе делюкс — NF Group, «Рынок элитной жилой недвижимости Москвы», отчёты за 2025 год и I полугодие 2026 — </w:t>
      </w:r>
      <w:hyperlink w:history="1" r:id="rIdsec37quzkxsiobzrurt8o">
        <w:r>
          <w:rPr>
            <w:rFonts w:ascii="Arial" w:cs="Arial" w:eastAsia="Arial" w:hAnsi="Arial"/>
            <w:b w:val="false"/>
            <w:bCs w:val="false"/>
            <w:i w:val="false"/>
            <w:iCs w:val="false"/>
            <w:color w:val="2C5FA8"/>
            <w:sz w:val="16"/>
            <w:szCs w:val="16"/>
          </w:rPr>
          <w:t xml:space="preserve">https://nfgroup.ru/analytics/</w:t>
        </w:r>
      </w:hyperlink>
    </w:p>
    <w:p>
      <w:pPr>
        <w:spacing w:after="32" w:line="206"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70788A"/>
          <w:sz w:val="16"/>
          <w:szCs w:val="16"/>
        </w:rPr>
        <w:t xml:space="preserve">Сделки дороже 1 млрд ₽ — Whitewill, Kalinka Ecosystem и Intermark (РБК Недвижимость) — </w:t>
      </w:r>
      <w:hyperlink w:history="1" r:id="rIdcqe7uzb-7e0s0brhthhmu">
        <w:r>
          <w:rPr>
            <w:rFonts w:ascii="Arial" w:cs="Arial" w:eastAsia="Arial" w:hAnsi="Arial"/>
            <w:b w:val="false"/>
            <w:bCs w:val="false"/>
            <w:i w:val="false"/>
            <w:iCs w:val="false"/>
            <w:color w:val="2C5FA8"/>
            <w:sz w:val="16"/>
            <w:szCs w:val="16"/>
          </w:rPr>
          <w:t xml:space="preserve">https://realty.rbc.ru/</w:t>
        </w:r>
      </w:hyperlink>
    </w:p>
    <w:p>
      <w:pPr>
        <w:spacing w:after="32" w:line="206"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70788A"/>
          <w:sz w:val="16"/>
          <w:szCs w:val="16"/>
        </w:rPr>
        <w:t xml:space="preserve">Конкуренты: «Никитский 6» — «Новострой-М»; «Большая Никитская, 16» — «Элитное.ру»</w:t>
      </w:r>
    </w:p>
    <w:p>
      <w:pPr>
        <w:spacing w:after="32" w:line="206" w:lineRule="auto"/>
        <w:ind w:left="170" w:right="1560" w:hanging="170"/>
      </w:pPr>
      <w:r>
        <w:rPr>
          <w:rFonts w:ascii="Arial" w:cs="Arial" w:eastAsia="Arial" w:hAnsi="Arial"/>
          <w:b/>
          <w:bCs/>
          <w:i w:val="false"/>
          <w:iCs w:val="false"/>
          <w:color w:val="A9762F"/>
          <w:sz w:val="19"/>
          <w:szCs w:val="19"/>
        </w:rPr>
        <w:t xml:space="preserve">—   </w:t>
      </w:r>
      <w:r>
        <w:rPr>
          <w:rFonts w:ascii="Arial" w:cs="Arial" w:eastAsia="Arial" w:hAnsi="Arial"/>
          <w:b w:val="false"/>
          <w:bCs w:val="false"/>
          <w:i w:val="false"/>
          <w:iCs w:val="false"/>
          <w:color w:val="70788A"/>
          <w:sz w:val="16"/>
          <w:szCs w:val="16"/>
        </w:rPr>
        <w:t xml:space="preserve">Координаты для карты сверены по карточкам проектов 02.08.2026. Картографическая основа — Яндекс Карты — </w:t>
      </w:r>
      <w:hyperlink w:history="1" r:id="rId3ce-zwp1fqqpth1254kwo">
        <w:r>
          <w:rPr>
            <w:rFonts w:ascii="Arial" w:cs="Arial" w:eastAsia="Arial" w:hAnsi="Arial"/>
            <w:b w:val="false"/>
            <w:bCs w:val="false"/>
            <w:i w:val="false"/>
            <w:iCs w:val="false"/>
            <w:color w:val="2C5FA8"/>
            <w:sz w:val="16"/>
            <w:szCs w:val="16"/>
          </w:rPr>
          <w:t xml:space="preserve">https://yandex.ru/maps/</w:t>
        </w:r>
      </w:hyperlink>
    </w:p>
    <w:p>
      <w:pPr>
        <w:spacing w:after="60" w:line="230" w:lineRule="auto"/>
        <w:ind w:right="1560"/>
      </w:pPr>
      <w:r>
        <w:rPr>
          <w:rFonts w:ascii="Arial" w:cs="Arial" w:eastAsia="Arial" w:hAnsi="Arial"/>
          <w:b w:val="false"/>
          <w:bCs w:val="false"/>
          <w:i w:val="false"/>
          <w:iCs w:val="false"/>
          <w:color w:val="70788A"/>
          <w:sz w:val="15"/>
          <w:szCs w:val="15"/>
        </w:rPr>
        <w:t xml:space="preserve">Справка подготовлена 02.08.2026 по открытым источникам. Застройщик поквартирный прайс не публикует; цена метра и производные от неё величины — расчёт по опубликованной цене старта продаж. Оценки носят справочный характер и не являются офертой или отчётом об оценке.</w:t>
      </w:r>
    </w:p>
    <w:sectPr>
      <w:footerReference w:type="default" r:id="rId7"/>
      <w:pgSz w:w="11906" w:h="16838" w:orient="portrait"/>
      <w:pgMar w:top="850" w:right="1133" w:bottom="850" w:left="1133" w:header="510"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B" w:sz="4" w:space="6"/>
      </w:pBdr>
      <w:tabs>
        <w:tab w:val="right" w:pos="9638"/>
      </w:tabs>
    </w:pPr>
    <w:r>
      <w:rPr>
        <w:rFonts w:ascii="Arial" w:cs="Arial" w:eastAsia="Arial" w:hAnsi="Arial"/>
        <w:b w:val="false"/>
        <w:bCs w:val="false"/>
        <w:i w:val="false"/>
        <w:iCs w:val="false"/>
        <w:color w:val="70788A"/>
        <w:sz w:val="14"/>
        <w:szCs w:val="14"/>
      </w:rPr>
      <w:t xml:space="preserve">EDEN Private Residence · информационная справка от 02.08.2026</w:t>
    </w:r>
    <w:r>
      <w:rPr>
        <w:rFonts w:ascii="Arial" w:cs="Arial" w:eastAsia="Arial" w:hAnsi="Arial"/>
        <w:b w:val="false"/>
        <w:bCs w:val="false"/>
        <w:i w:val="false"/>
        <w:iCs w:val="false"/>
        <w:color w:val="2A2E38"/>
        <w:sz w:val="19"/>
        <w:szCs w:val="19"/>
      </w:rPr>
      <w:t xml:space="preserve">	</w:t>
    </w:r>
    <w:r>
      <w:rPr>
        <w:rFonts w:ascii="Arial" w:cs="Arial" w:eastAsia="Arial" w:hAnsi="Arial"/>
        <w:color w:val="70788A"/>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A2E38"/>
        <w:sz w:val="19"/>
        <w:szCs w:val="19"/>
      </w:rPr>
    </w:rPrDefault>
    <w:pPrDefault>
      <w:pPr>
        <w:spacing w:line="25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lt9kvvkgjl-tloqdz42b" Type="http://schemas.openxmlformats.org/officeDocument/2006/relationships/hyperlink" Target="https://eden.moscow/" TargetMode="External"/><Relationship Id="rIdh5nxvf9omau78xgy8z306" Type="http://schemas.openxmlformats.org/officeDocument/2006/relationships/hyperlink" Target="https://novostroev.ru/articles/blizhayshie-starty-prodazh-novostroek-moskvy-v-aprele-mae-2026/" TargetMode="External"/><Relationship Id="rIdux36x_fjbp4wzplszri5l" Type="http://schemas.openxmlformats.org/officeDocument/2006/relationships/hyperlink" Target="https://elitnoe.ru/complexes/1099-zhk-eden-nizhnii-kislovskii-7" TargetMode="External"/><Relationship Id="rIdsigoqgbkjjrxgmf4tl7ry" Type="http://schemas.openxmlformats.org/officeDocument/2006/relationships/hyperlink" Target="https://www.novostroy-m.ru/baza/jk_na__nijniy" TargetMode="External"/><Relationship Id="rId6ptbfp1tos_5wicbahu1p" Type="http://schemas.openxmlformats.org/officeDocument/2006/relationships/hyperlink" Target="https://erzrf.ru/novostroyki/zhk-eden-28740607001" TargetMode="External"/><Relationship Id="rIdsec37quzkxsiobzrurt8o" Type="http://schemas.openxmlformats.org/officeDocument/2006/relationships/hyperlink" Target="https://nfgroup.ru/analytics/" TargetMode="External"/><Relationship Id="rIdcqe7uzb-7e0s0brhthhmu" Type="http://schemas.openxmlformats.org/officeDocument/2006/relationships/hyperlink" Target="https://realty.rbc.ru/" TargetMode="External"/><Relationship Id="rId3ce-zwp1fqqpth1254kwo" Type="http://schemas.openxmlformats.org/officeDocument/2006/relationships/hyperlink" Target="https://yandex.ru/maps/" TargetMode="External"/><Relationship Id="rId8" Type="http://schemas.openxmlformats.org/officeDocument/2006/relationships/image" Target="media/43c198897bd178fb6fe28e2f40d34cc2fc1119cf.jpg"/><Relationship Id="rId9" Type="http://schemas.openxmlformats.org/officeDocument/2006/relationships/image" Target="media/3ee103878e459722e27778c7ef0d36e2db73e8b2.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ЖК EDEN Private Residence — информационная справка</dc:title>
  <dc:creator>Информационная справка</dc:creator>
  <dc:description>Информационная справка по клубному дому EDEN Private Residence, Нижний Кисловский пер., 7</dc:description>
  <cp:lastModifiedBy>Un-named</cp:lastModifiedBy>
  <cp:revision>1</cp:revision>
  <dcterms:created xsi:type="dcterms:W3CDTF">2026-08-17T12:21:34.761Z</dcterms:created>
  <dcterms:modified xsi:type="dcterms:W3CDTF">2026-08-17T12:21:34.761Z</dcterms:modified>
</cp:coreProperties>
</file>

<file path=docProps/custom.xml><?xml version="1.0" encoding="utf-8"?>
<Properties xmlns="http://schemas.openxmlformats.org/officeDocument/2006/custom-properties" xmlns:vt="http://schemas.openxmlformats.org/officeDocument/2006/docPropsVTypes"/>
</file>