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A9762F"/>
          <w:spacing w:val="60"/>
          <w:sz w:val="16"/>
          <w:szCs w:val="16"/>
        </w:rPr>
        <w:t xml:space="preserve">Справка · Москва · 1 августа 2026</w:t>
      </w:r>
    </w:p>
    <w:p>
      <w:pPr>
        <w:spacing w:after="4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40"/>
          <w:szCs w:val="40"/>
        </w:rPr>
        <w:t xml:space="preserve">Сколько покупателей</w:t>
      </w:r>
    </w:p>
    <w:p>
      <w:pPr>
        <w:spacing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A9762F"/>
          <w:sz w:val="23"/>
          <w:szCs w:val="23"/>
        </w:rPr>
        <w:t xml:space="preserve">на квартиру 87,5 м² за 280 млн ₽ существует физически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8"/>
          <w:szCs w:val="18"/>
        </w:rPr>
        <w:t xml:space="preserve">Обоснование к разделу «Покупателей на такую квартиру единицы» аналитики по лоту в ЖК «Золотой», Софийская набережная, 18</w:t>
      </w:r>
    </w:p>
    <w:p>
      <w:pPr>
        <w:pBdr>
          <w:bottom w:val="single" w:color="D9D4CB" w:sz="6" w:space="2"/>
        </w:pBdr>
        <w:spacing w:after="1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F2A44"/>
          <w:spacing w:val="60"/>
          <w:sz w:val="16"/>
          <w:szCs w:val="16"/>
        </w:rPr>
        <w:t xml:space="preserve">Что считается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19"/>
        <w:gridCol w:w="1900"/>
        <w:gridCol w:w="2919"/>
      </w:tblGrid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Объект справки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ЖК «Золотой», Софийская наб., 18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Лот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2-комн. 87,5 м², этаж 4, отделка выполнена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Цена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280 000 000 ₽ · 3 200 000 ₽/м²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В валюте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3,52 млн $ · 40 270 $/м²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Класс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Делюкс / элитный, ЦАО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Дом сдан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I квартал 2023 года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Что доказывается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Насколько узок круг покупателей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Дата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 августа 2026 года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F2A44"/>
          <w:spacing w:val="60"/>
          <w:sz w:val="16"/>
          <w:szCs w:val="16"/>
        </w:rPr>
        <w:t xml:space="preserve">Ёмкость спроса в четырёх цифрах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≈ 30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Сделок в год на всю Москву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2–3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Сделки в месяц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3,3 года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Средний срок продажи</w:t>
            </w:r>
          </w:p>
        </w:tc>
        <w:tc>
          <w:tcPr>
            <w:tcW w:type="dxa" w:w="2411"/>
            <w:tcBorders>
              <w:top w:val="single" w:color="B3282D" w:sz="18"/>
              <w:left w:val="single" w:color="FCFCFB" w:sz="26"/>
              <w:bottom w:val="none" w:color="auto" w:sz="0"/>
              <w:right w:val="single" w:color="FCFCFB" w:sz="26"/>
            </w:tcBorders>
            <w:shd w:fill="F7EEEE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B3282D"/>
                <w:sz w:val="27"/>
                <w:szCs w:val="27"/>
              </w:rPr>
              <w:t xml:space="preserve">≈ 5 лет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Запас предложения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40"/>
        <w:jc w:val="center"/>
      </w:pPr>
      <w:r>
        <w:drawing>
          <wp:inline distT="0" distB="0" distL="0" distR="0">
            <wp:extent cx="6124575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Все цифры спроса взяты из опубликованных отчётов консультантов и проверены по первоисточникам. Там, где число получено умножением опубликованной доли на опубликованное число сделок, это указано прямо: сами консультанты абсолютных значений по ячейкам не публикуют.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Короткий ответ</w:t>
      </w:r>
    </w:p>
    <w:p>
      <w:pPr>
        <w:spacing w:after="17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Профиль этого лота — квартира до 100 м² в бюджете 200–300 млн ₽ в классе делюкс — занимает 9,9 % всех сделок класса. Класс делюкс за весь 2025 год дал 300 сделок на всю Москву. Отсюда и следует ответ.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Около 30 сделок в год на весь город.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9,9 % от 300 сделок класса делюкс за 2025 год — это два-три покупателя в месяц на всю Москву, и не на конкретный дом, а на весь формат целиком. Доля опубликована NF Group, умножение — расчёт справки.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 2026 году поток сжался ещё вдвое.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За I полугодие 2026 года делюкс дал 110 сделок против 300 за весь 2025-й, падение 35 % за год. Независимый замер MR и NF Group за тот же период — 90 квартир, минус 47 %. В профиле лота это примерно 13 сделок за полугодие.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Лот стоит вдвое дороже среднего чека реальной сделки.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На элитной вторичке Москвы средний бюджет выставленного лота — 291 млн ₽, а реально купленного — 150 млн ₽. Наши 280 млн ₽ почти точно совпадают с ценой предложения и в 1,9 раза выше цены состоявшейся сделки.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Три года — нормальный срок продажи в этом сегменте.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Средний срок экспонирования проданного лота на элитной вторичке — 3,3 года; 78 % сделок первого полугодия 2026 года пришлись на лоты, стоявшие в продаже год и дольше. Вторичный рынок Москвы в целом продаёт квартиру за 86 дней — разрыв четырнадцатикратный.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Узость здесь — свойство сегмента, а не дефект конкретного лота. Но именно поэтому обычные инструменты — подождать или немного снизить цену — в нём почти не работают.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Воронка: от состоятельных людей к сделкам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Ступени «люди» и «сделки» измеряют разное и не вычитаются одна из другой — это две параллельные оценки узости. Люди показывают потолок возможностей, сделки — фактическое поведение.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50"/>
        <w:gridCol w:w="2900"/>
        <w:gridCol w:w="1750"/>
        <w:gridCol w:w="1038"/>
      </w:tblGrid>
      <w:tr>
        <w:trPr>
          <w:tblHeader/>
        </w:trPr>
        <w:tc>
          <w:tcPr>
            <w:tcW w:type="dxa" w:w="27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Ступень</w:t>
            </w:r>
          </w:p>
        </w:tc>
        <w:tc>
          <w:tcPr>
            <w:tcW w:type="dxa" w:w="12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Величина</w:t>
            </w:r>
          </w:p>
        </w:tc>
        <w:tc>
          <w:tcPr>
            <w:tcW w:type="dxa" w:w="2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Что именно измерено</w:t>
            </w:r>
          </w:p>
        </w:tc>
        <w:tc>
          <w:tcPr>
            <w:tcW w:type="dxa" w:w="17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Источник</w:t>
            </w:r>
          </w:p>
        </w:tc>
        <w:tc>
          <w:tcPr>
            <w:tcW w:type="dxa" w:w="10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Период</w:t>
            </w:r>
          </w:p>
        </w:tc>
      </w:tr>
      <w:tr>
        <w:tc>
          <w:tcPr>
            <w:tcW w:type="dxa" w:w="2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Долларовые миллионеры России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447 000 чел.</w:t>
            </w:r>
          </w:p>
        </w:tc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состояние от 1 млн $, включая недвижимость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UBS, Global Wealth Report 2026</w:t>
            </w:r>
          </w:p>
        </w:tc>
        <w:tc>
          <w:tcPr>
            <w:tcW w:type="dxa" w:w="1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конец 2025</w:t>
            </w:r>
          </w:p>
        </w:tc>
      </w:tr>
      <w:tr>
        <w:tc>
          <w:tcPr>
            <w:tcW w:type="dxa" w:w="2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Долларовые миллионеры Москвы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30 000 чел.</w:t>
            </w:r>
          </w:p>
        </w:tc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ликвидный капитал, недвижимость исключена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Henley &amp; Partners</w:t>
            </w:r>
          </w:p>
        </w:tc>
        <w:tc>
          <w:tcPr>
            <w:tcW w:type="dxa" w:w="1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конец 2024</w:t>
            </w:r>
          </w:p>
        </w:tc>
      </w:tr>
      <w:tr>
        <w:tc>
          <w:tcPr>
            <w:tcW w:type="dxa" w:w="2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UHNWI России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8 399 чел.</w:t>
            </w:r>
          </w:p>
        </w:tc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состояние от 30 млн $; +6,9 % за пять лет при +29 % в мире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Knight Frank, Wealth Report 2026</w:t>
            </w:r>
          </w:p>
        </w:tc>
        <w:tc>
          <w:tcPr>
            <w:tcW w:type="dxa" w:w="1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оценка 2026</w:t>
            </w:r>
          </w:p>
        </w:tc>
      </w:tr>
      <w:tr>
        <w:tc>
          <w:tcPr>
            <w:tcW w:type="dxa" w:w="2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Россияне с финкапиталом от 500 млн ₽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6 500 чел.</w:t>
            </w:r>
          </w:p>
        </w:tc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по банковской статистике внутри страны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Frank RG</w:t>
            </w:r>
          </w:p>
        </w:tc>
        <w:tc>
          <w:tcPr>
            <w:tcW w:type="dxa" w:w="1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конец 2024</w:t>
            </w:r>
          </w:p>
        </w:tc>
      </w:tr>
      <w:tr>
        <w:tc>
          <w:tcPr>
            <w:tcW w:type="dxa" w:w="2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Все элитные сделки Москвы за год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3 020 сделок</w:t>
            </w:r>
          </w:p>
        </w:tc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первичка 1 550 + вторичка 1 470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Intermark</w:t>
            </w:r>
          </w:p>
        </w:tc>
        <w:tc>
          <w:tcPr>
            <w:tcW w:type="dxa" w:w="1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2025 год</w:t>
            </w:r>
          </w:p>
        </w:tc>
      </w:tr>
      <w:tr>
        <w:tc>
          <w:tcPr>
            <w:tcW w:type="dxa" w:w="2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Элитная первичка: премиум + делюкс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1 790 сделок</w:t>
            </w:r>
          </w:p>
        </w:tc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на 350 млрд ₽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NF Group</w:t>
            </w:r>
          </w:p>
        </w:tc>
        <w:tc>
          <w:tcPr>
            <w:tcW w:type="dxa" w:w="1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2025 год</w:t>
            </w:r>
          </w:p>
        </w:tc>
      </w:tr>
      <w:tr>
        <w:tc>
          <w:tcPr>
            <w:tcW w:type="dxa" w:w="2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Класс делюкс — весь класс целиком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300 сделок</w:t>
            </w:r>
          </w:p>
        </w:tc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−6 % за год; 110 за I полугодие 2026 (−35 %)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NF Group</w:t>
            </w:r>
          </w:p>
        </w:tc>
        <w:tc>
          <w:tcPr>
            <w:tcW w:type="dxa" w:w="1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2025 год</w:t>
            </w:r>
          </w:p>
        </w:tc>
      </w:tr>
      <w:tr>
        <w:tc>
          <w:tcPr>
            <w:tcW w:type="dxa" w:w="2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▶ Профиль лота: до 100 м² и 200–300 млн ₽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30 сделок</w:t>
            </w:r>
          </w:p>
        </w:tc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9,9 % сделок делюкса — около 2–3 сделок в месяц на всю Москву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NF Group, доля; число — расчёт</w:t>
            </w:r>
          </w:p>
        </w:tc>
        <w:tc>
          <w:tcPr>
            <w:tcW w:type="dxa" w:w="1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2025 год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Числа миллионеров несопоставимы между собой: UBS считает состояние вместе с недвижимостью, Henley — только ликвидный капитал без неё, Frank RG — финансовый капитал внутри российских банков. Это три параллельных замера, а не сужение одной базы. График на первой странице показывает только ступени со сделками — они сопоставимы между собой.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База покупателей не пополняется.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Прирост капитала состоятельных россиян в 2025 году — 12 % против 40 % годом ранее, а доля новых денег в этом приросте упала с 25 % до 2 %. Число UHNWI России выросло за пять лет на 6,9 % при мировом росте на 29 %.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Покупка за 3,5 млн $ подразумевает состояние на порядок больше: по опросам Knight Frank, на основное и второе жильё у состоятельных клиентов приходится около трети совокупного капитала. То есть покупатель этой квартиры — человек с капиталом примерно от 10 млн $, а не «долларовый миллионер».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Ипотека сегмент не расширяет.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Доля ипотечных договоров в элитном сегменте за год упала с 2,2 % до 1,1 %; по оценке Barnes Moscow, 90 % сделок в премиуме и делюксе идут за собственные средства или в рассрочку от застройщика. Круг ограничен наличием живых денег, а не кредитоспособностью.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Где именно в рынке находится этот лот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NF Group раскладывает все сделки класса делюкс по площади и бюджету одновременно; проценты нормированы внутри класса и в сумме дают 100 %. Профиль нашего лота — пересечение строки «до 100 м²» и столбца «200–300 млн ₽». Ниже приведены обе линии по отдельности.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Все сделки делюкса с квартирами до 100 м² — по бюджету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038"/>
      </w:tblGrid>
      <w:tr>
        <w:trPr>
          <w:tblHeader/>
        </w:trPr>
        <w:tc>
          <w:tcPr>
            <w:tcW w:type="dxa" w:w="3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Бюджет сделки</w:t>
            </w:r>
          </w:p>
        </w:tc>
        <w:tc>
          <w:tcPr>
            <w:tcW w:type="dxa" w:w="3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Доля всех сделок класса делюкс</w:t>
            </w:r>
          </w:p>
        </w:tc>
        <w:tc>
          <w:tcPr>
            <w:tcW w:type="dxa" w:w="30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Сделок за 2025 год</w:t>
            </w:r>
          </w:p>
        </w:tc>
      </w:tr>
      <w:tr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до 100 млн ₽</w:t>
            </w:r>
          </w:p>
        </w:tc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2,6 %</w:t>
            </w:r>
          </w:p>
        </w:tc>
        <w:tc>
          <w:tcPr>
            <w:tcW w:type="dxa" w:w="3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8</w:t>
            </w:r>
          </w:p>
        </w:tc>
      </w:tr>
      <w:tr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100–200 млн ₽</w:t>
            </w:r>
          </w:p>
        </w:tc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16,6 %</w:t>
            </w:r>
          </w:p>
        </w:tc>
        <w:tc>
          <w:tcPr>
            <w:tcW w:type="dxa" w:w="3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50</w:t>
            </w:r>
          </w:p>
        </w:tc>
      </w:tr>
      <w:tr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▶ 200–300 млн ₽</w:t>
            </w:r>
          </w:p>
        </w:tc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9,9 %</w:t>
            </w:r>
          </w:p>
        </w:tc>
        <w:tc>
          <w:tcPr>
            <w:tcW w:type="dxa" w:w="3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30</w:t>
            </w:r>
          </w:p>
        </w:tc>
      </w:tr>
      <w:tr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300–400 млн ₽</w:t>
            </w:r>
          </w:p>
        </w:tc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0,7 %</w:t>
            </w:r>
          </w:p>
        </w:tc>
        <w:tc>
          <w:tcPr>
            <w:tcW w:type="dxa" w:w="3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2</w:t>
            </w:r>
          </w:p>
        </w:tc>
      </w:tr>
      <w:tr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400–500 млн ₽</w:t>
            </w:r>
          </w:p>
        </w:tc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0,0 %</w:t>
            </w:r>
          </w:p>
        </w:tc>
        <w:tc>
          <w:tcPr>
            <w:tcW w:type="dxa" w:w="3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свыше 500 млн ₽</w:t>
            </w:r>
          </w:p>
        </w:tc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0,0 %</w:t>
            </w:r>
          </w:p>
        </w:tc>
        <w:tc>
          <w:tcPr>
            <w:tcW w:type="dxa" w:w="3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Все квартиры до 100 м²</w:t>
            </w:r>
          </w:p>
        </w:tc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29,8 %</w:t>
            </w:r>
          </w:p>
        </w:tc>
        <w:tc>
          <w:tcPr>
            <w:tcW w:type="dxa" w:w="3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≈ 89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Все сделки делюкса в бюджете 200–300 млн ₽ — по площади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038"/>
      </w:tblGrid>
      <w:tr>
        <w:trPr>
          <w:tblHeader/>
        </w:trPr>
        <w:tc>
          <w:tcPr>
            <w:tcW w:type="dxa" w:w="3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Площадь квартиры</w:t>
            </w:r>
          </w:p>
        </w:tc>
        <w:tc>
          <w:tcPr>
            <w:tcW w:type="dxa" w:w="3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Доля всех сделок класса делюкс</w:t>
            </w:r>
          </w:p>
        </w:tc>
        <w:tc>
          <w:tcPr>
            <w:tcW w:type="dxa" w:w="30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Сделок за 2025 год</w:t>
            </w:r>
          </w:p>
        </w:tc>
      </w:tr>
      <w:tr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▶ до 100 м²</w:t>
            </w:r>
          </w:p>
        </w:tc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9,9 %</w:t>
            </w:r>
          </w:p>
        </w:tc>
        <w:tc>
          <w:tcPr>
            <w:tcW w:type="dxa" w:w="3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30</w:t>
            </w:r>
          </w:p>
        </w:tc>
      </w:tr>
      <w:tr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100–150 м²</w:t>
            </w:r>
          </w:p>
        </w:tc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13,9 %</w:t>
            </w:r>
          </w:p>
        </w:tc>
        <w:tc>
          <w:tcPr>
            <w:tcW w:type="dxa" w:w="3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42</w:t>
            </w:r>
          </w:p>
        </w:tc>
      </w:tr>
      <w:tr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150–200 м²</w:t>
            </w:r>
          </w:p>
        </w:tc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8,6 %</w:t>
            </w:r>
          </w:p>
        </w:tc>
        <w:tc>
          <w:tcPr>
            <w:tcW w:type="dxa" w:w="3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26</w:t>
            </w:r>
          </w:p>
        </w:tc>
      </w:tr>
      <w:tr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200–250 м²</w:t>
            </w:r>
          </w:p>
        </w:tc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0,3 %</w:t>
            </w:r>
          </w:p>
        </w:tc>
        <w:tc>
          <w:tcPr>
            <w:tcW w:type="dxa" w:w="3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1</w:t>
            </w:r>
          </w:p>
        </w:tc>
      </w:tr>
      <w:tr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свыше 250 м²</w:t>
            </w:r>
          </w:p>
        </w:tc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0,0 %</w:t>
            </w:r>
          </w:p>
        </w:tc>
        <w:tc>
          <w:tcPr>
            <w:tcW w:type="dxa" w:w="3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Весь бюджет 200–300 млн ₽</w:t>
            </w:r>
          </w:p>
        </w:tc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32,7 %</w:t>
            </w:r>
          </w:p>
        </w:tc>
        <w:tc>
          <w:tcPr>
            <w:tcW w:type="dxa" w:w="3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≈ 98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Обе выборки извлечены дословно из таблицы «Структура сделок на первичном рынке. Делюкс» отчёта NF Group за 2025 год: строка «до 100 м²» — 2,6 / 16,6 / 9,9 / 0,7 / 0,0 / 0,0 и столбец «200–300 млн ₽» — 9,9 / 13,9 / 8,6 / 0,3 / 0,0. Остальные ячейки матрицы в справке не приводятся: по итогам строк и столбцов они однозначно не восстанавливаются. Сумма всей таблицы — 100 %, то есть доли берутся от числа сделок, а не от объёма в рублях, и умножение на 300 методологически законно.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Компактная квартира в делюксе — это почти всегда покупка дешевле 200 млн ₽.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Внутри метража «до 100 м²» на бюджеты до 200 млн ₽ приходится 19,2 % сделок класса, на наши 200–300 млн ₽ — 9,9 %, а дороже 300 млн ₽ — 0,7 %. Выше 400 млн ₽ в этом метраже сделок нет вообще.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Вторая линия устроена зеркально: в бюджете 200–300 млн ₽ большинство покупателей берут не компактную квартиру, а 100–150 м² (13,9 %) или 150–200 м² (8,6 %). За те же деньги в делюксе принято покупать больше метров, и на наш формат приходится меньше трети этого бюджета.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 классе премиум такого лота практически не бывает.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Квартира 50–100 м² дороже 200 млн ₽ — это 0,2 % премиальных сделок, около трёх штук за год. Сложив оба класса, получаем примерно 33 сделки за 2025 год — менее 2 % всего первичного элитного рынка.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Как ячейка вела себя дальше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800"/>
        <w:gridCol w:w="1900"/>
        <w:gridCol w:w="1838"/>
      </w:tblGrid>
      <w:tr>
        <w:trPr>
          <w:tblHeader/>
        </w:trPr>
        <w:tc>
          <w:tcPr>
            <w:tcW w:type="dxa" w:w="2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Период</w:t>
            </w:r>
          </w:p>
        </w:tc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Сделок в классе
делюкс</w:t>
            </w:r>
          </w:p>
        </w:tc>
        <w:tc>
          <w:tcPr>
            <w:tcW w:type="dxa" w:w="18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Доля профиля
лота</w:t>
            </w:r>
          </w:p>
        </w:tc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Сделок
в профиле</w:t>
            </w:r>
          </w:p>
        </w:tc>
        <w:tc>
          <w:tcPr>
            <w:tcW w:type="dxa" w:w="18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Темп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2025 год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300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9,9 %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30 сделок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2–3 в месяц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I квартал 2026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40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9,9 %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4 сделки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1–2 в месяц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I полугодие 2026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110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11,5 %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13 сделок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2 в месяц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При базе в 40 сделок за квартал шаг доли составляет около 2,3 процентного пункта, то есть 9,9 % — это буквально четыре сделки. Опираться на один квартал как на самостоятельный аргумент нельзя, годовые данные надёжнее.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87,5 м² — размерность премиума, а не делюкса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Второй источник узости: формат лота не совпадает с тем, что в этом классе обычно покупают. Причём метраж делюкс-сделок не сжимается, а растёт.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100"/>
        <w:gridCol w:w="2100"/>
        <w:gridCol w:w="2038"/>
      </w:tblGrid>
      <w:tr>
        <w:trPr>
          <w:tblHeader/>
        </w:trPr>
        <w:tc>
          <w:tcPr>
            <w:tcW w:type="dxa" w:w="3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Показатель класса делюкс</w:t>
            </w:r>
          </w:p>
        </w:tc>
        <w:tc>
          <w:tcPr>
            <w:tcW w:type="dxa" w:w="21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2025 год</w:t>
            </w:r>
          </w:p>
        </w:tc>
        <w:tc>
          <w:tcPr>
            <w:tcW w:type="dxa" w:w="21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 кв. 2026</w:t>
            </w:r>
          </w:p>
        </w:tc>
        <w:tc>
          <w:tcPr>
            <w:tcW w:type="dxa" w:w="20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 пол. 2026</w:t>
            </w:r>
          </w:p>
        </w:tc>
      </w:tr>
      <w:tr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Средняя площадь сделки, делюкс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154 м²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162 м²</w:t>
            </w:r>
          </w:p>
        </w:tc>
        <w:tc>
          <w:tcPr>
            <w:tcW w:type="dxa" w:w="2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153 м²</w:t>
            </w:r>
          </w:p>
        </w:tc>
      </w:tr>
      <w:tr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Средняя площадь лота в экспозиции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177 м²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180 м²</w:t>
            </w:r>
          </w:p>
        </w:tc>
        <w:tc>
          <w:tcPr>
            <w:tcW w:type="dxa" w:w="2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Средняя стоимость сделки, делюкс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467 млн ₽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515 млн ₽</w:t>
            </w:r>
          </w:p>
        </w:tc>
        <w:tc>
          <w:tcPr>
            <w:tcW w:type="dxa" w:w="2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437 млн ₽</w:t>
            </w:r>
          </w:p>
        </w:tc>
      </w:tr>
      <w:tr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Средняя цена метра, делюкс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3 039 тыс. ₽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3 172 тыс. ₽</w:t>
            </w:r>
          </w:p>
        </w:tc>
        <w:tc>
          <w:tcPr>
            <w:tcW w:type="dxa" w:w="2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2 859 тыс. ₽</w:t>
            </w:r>
          </w:p>
        </w:tc>
      </w:tr>
      <w:tr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▶ Наш лот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87,5 м² · 280 млн ₽ · 3 200 тыс. ₽/м²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/>
            </w:r>
          </w:p>
        </w:tc>
        <w:tc>
          <w:tcPr>
            <w:tcW w:type="dxa" w:w="2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/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Данные NF Group по первичному рынку. Цены у NF Group — запрашиваемые, включая строку «спрос», поэтому утверждать по ним, что сделки проходят ниже предложения, нельзя.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Типичная делюкс-сделка почти вдвое больше нашего лота.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154 м² в 2025 году, 162 м² в I квартале 2026-го, 153 м² в I полугодии. Наши 87,5 м² — это ровно средняя площадь ПРЕМИАЛЬНОЙ сделки (87 м²), но при цене метра в 2,5 раза выше средней премиальной.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 предложении делюкса компактных лотов тоже мало: средний экспонируемый лот — 177–180 м² при бюджете 554–575 млн ₽.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Лот попадает в зазор между двумя классами.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По метражу это премиум, по цене метра — делюкс. Покупатель премиума на 87 м² тратит в среднем 113 млн ₽ и до 280 млн ₽ не дотягивается; покупатель делюкса с бюджетом 280 млн ₽ ищет 100–150 м². Лот не является естественным выбором ни для одного из них.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Рынок, к которому лот относится фактически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Дом сдан в I квартале 2023 года, отделка выполнена, сделка пройдёт по договору купли-продажи. Значит, ориентироваться нужно на вторичный элитный рынок, а не на статистику новостроек.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00"/>
        <w:gridCol w:w="2400"/>
        <w:gridCol w:w="1838"/>
      </w:tblGrid>
      <w:tr>
        <w:trPr>
          <w:tblHeader/>
        </w:trPr>
        <w:tc>
          <w:tcPr>
            <w:tcW w:type="dxa" w:w="35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Показатель элитной вторички Москвы</w:t>
            </w:r>
          </w:p>
        </w:tc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 кв. 2026</w:t>
            </w:r>
          </w:p>
        </w:tc>
        <w:tc>
          <w:tcPr>
            <w:tcW w:type="dxa" w:w="2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 пол. 2026</w:t>
            </w:r>
          </w:p>
        </w:tc>
        <w:tc>
          <w:tcPr>
            <w:tcW w:type="dxa" w:w="18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Источник</w:t>
            </w:r>
          </w:p>
        </w:tc>
      </w:tr>
      <w:tr>
        <w:tc>
          <w:tcPr>
            <w:tcW w:type="dxa" w:w="3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Средний бюджет ВЫСТАВЛЕННОГО лота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255 млн ₽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291 млн ₽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Kalinka</w:t>
            </w:r>
          </w:p>
        </w:tc>
      </w:tr>
      <w:tr>
        <w:tc>
          <w:tcPr>
            <w:tcW w:type="dxa" w:w="3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Средний бюджет КУПЛЕННОГО лота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149 млн ₽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150 млн ₽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Kalinka</w:t>
            </w:r>
          </w:p>
        </w:tc>
      </w:tr>
      <w:tr>
        <w:tc>
          <w:tcPr>
            <w:tcW w:type="dxa" w:w="3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Средняя площадь купленного лота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133,7 м²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134,2 м²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Kalinka</w:t>
            </w:r>
          </w:p>
        </w:tc>
      </w:tr>
      <w:tr>
        <w:tc>
          <w:tcPr>
            <w:tcW w:type="dxa" w:w="3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Самый ходовой бюджет сделки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50–85 млн ₽ (28 % сделок)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Kalinka</w:t>
            </w:r>
          </w:p>
        </w:tc>
      </w:tr>
      <w:tr>
        <w:tc>
          <w:tcPr>
            <w:tcW w:type="dxa" w:w="3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Средний срок экспозиции проданного лота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3,5 года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3,3 года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Kalinka</w:t>
            </w:r>
          </w:p>
        </w:tc>
      </w:tr>
      <w:tr>
        <w:tc>
          <w:tcPr>
            <w:tcW w:type="dxa" w:w="3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▶ Наш лот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280 млн ₽ · 87,5 м²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/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/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Разрыв между тем, что выставляют, и тем, что покупают, — почти двукратный.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291 млн ₽ против 150 млн ₽. Цена нашего лота почти точно совпадает со средней ценой предложения и в 1,9 раза выше средней цены состоявшейся сделки.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Самый ходовой бюджет на элитной вторичке — 50–85 млн ₽, на него приходится 28 % сделок; три ведущих диапазона спроса целиком лежат ниже 150 млн ₽. Средний чек держится в коридоре 140–150 млн ₽ третий год подряд.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Весь элитный вторичный рынок Москвы — 1 470 сделок за год.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Это около 1 % вторичного рынка города. Разбивки по классу делюкс и по бюджетам выше 150 млн ₽ не публикует никто, поэтому ниже этой ступени воронка данными не закрывается.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Сколько времени занимает продажа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600"/>
        <w:gridCol w:w="2638"/>
      </w:tblGrid>
      <w:tr>
        <w:trPr>
          <w:tblHeader/>
        </w:trPr>
        <w:tc>
          <w:tcPr>
            <w:tcW w:type="dxa" w:w="3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Сегмент</w:t>
            </w:r>
          </w:p>
        </w:tc>
        <w:tc>
          <w:tcPr>
            <w:tcW w:type="dxa" w:w="36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Средний срок экспозиции проданного лота</w:t>
            </w:r>
          </w:p>
        </w:tc>
        <w:tc>
          <w:tcPr>
            <w:tcW w:type="dxa" w:w="26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Источник</w:t>
            </w:r>
          </w:p>
        </w:tc>
      </w:tr>
      <w:tr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Вторичный рынок Москвы, все классы</w:t>
            </w:r>
          </w:p>
        </w:tc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86 дней</w:t>
            </w:r>
          </w:p>
        </w:tc>
        <w:tc>
          <w:tcPr>
            <w:tcW w:type="dxa" w:w="2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«Циан», июль 2026</w:t>
            </w:r>
          </w:p>
        </w:tc>
      </w:tr>
      <w:tr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Самые медленные районы Москвы</w:t>
            </w:r>
          </w:p>
        </w:tc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115–123 дня</w:t>
            </w:r>
          </w:p>
        </w:tc>
        <w:tc>
          <w:tcPr>
            <w:tcW w:type="dxa" w:w="2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«Циан», июль 2026</w:t>
            </w:r>
          </w:p>
        </w:tc>
      </w:tr>
      <w:tr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Элитная вторичка, 2024</w:t>
            </w:r>
          </w:p>
        </w:tc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2,7 года</w:t>
            </w:r>
          </w:p>
        </w:tc>
        <w:tc>
          <w:tcPr>
            <w:tcW w:type="dxa" w:w="2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Kalinka</w:t>
            </w:r>
          </w:p>
        </w:tc>
      </w:tr>
      <w:tr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Элитная вторичка, 2025</w:t>
            </w:r>
          </w:p>
        </w:tc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2,8 года</w:t>
            </w:r>
          </w:p>
        </w:tc>
        <w:tc>
          <w:tcPr>
            <w:tcW w:type="dxa" w:w="2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Kalinka</w:t>
            </w:r>
          </w:p>
        </w:tc>
      </w:tr>
      <w:tr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Элитная вторичка, I квартал 2026</w:t>
            </w:r>
          </w:p>
        </w:tc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3,5 года</w:t>
            </w:r>
          </w:p>
        </w:tc>
        <w:tc>
          <w:tcPr>
            <w:tcW w:type="dxa" w:w="2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Kalinka</w:t>
            </w:r>
          </w:p>
        </w:tc>
      </w:tr>
      <w:tr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▶ Элитная вторичка, I полугодие 2026</w:t>
            </w:r>
          </w:p>
        </w:tc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3,3 года</w:t>
            </w:r>
          </w:p>
        </w:tc>
        <w:tc>
          <w:tcPr>
            <w:tcW w:type="dxa" w:w="2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Kalinka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Три года — не аномалия, а норма сегмента.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78 % сделок I полугодия 2026 года пришлись на лоты, стоявшие в продаже год и дольше; 11 % проданных лотов экспонировались более семи лет. Kalinka трактует удлинение срока как признак того, что наиболее ликвидные лоты с рынка уже ушли.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«Метриум» фиксирует то же самое качественно: в высокобюджетном сегменте срок экспонирования нередко составляет несколько лет, из-за чего лоты уходят в договоры купли-продажи и выпадают из статистики долевого участия.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Честная оговорка.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Срок экспонирования лота, который стоит В ПРЕДЛОЖЕНИИ, наоборот, снизился — до 2,7 года, и Kalinka считает это признаком активности рынка. Оба показателя нужно приводить вместе. Срока экспозиции отдельно для бюджета 200–300 млн ₽ не публикует никто.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Сколько лет распродаётся текущий запас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Последний измеритель узости: сопоставление экспозиции с темпом сделок. Коэффициенты поглощения — расчёт справки, сами консультанты их не публикуют.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200"/>
        <w:gridCol w:w="2400"/>
        <w:gridCol w:w="1938"/>
      </w:tblGrid>
      <w:tr>
        <w:trPr>
          <w:tblHeader/>
        </w:trPr>
        <w:tc>
          <w:tcPr>
            <w:tcW w:type="dxa" w:w="31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База</w:t>
            </w:r>
          </w:p>
        </w:tc>
        <w:tc>
          <w:tcPr>
            <w:tcW w:type="dxa" w:w="2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Предложение</w:t>
            </w:r>
          </w:p>
        </w:tc>
        <w:tc>
          <w:tcPr>
            <w:tcW w:type="dxa" w:w="2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Темп сделок</w:t>
            </w:r>
          </w:p>
        </w:tc>
        <w:tc>
          <w:tcPr>
            <w:tcW w:type="dxa" w:w="19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Запас</w:t>
            </w:r>
          </w:p>
        </w:tc>
      </w:tr>
      <w:tr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Класс делюкс, декабрь 2025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980 лотов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300 сделок за 2025</w:t>
            </w:r>
          </w:p>
        </w:tc>
        <w:tc>
          <w:tcPr>
            <w:tcW w:type="dxa" w:w="19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3,3 года</w:t>
            </w:r>
          </w:p>
        </w:tc>
      </w:tr>
      <w:tr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Класс делюкс, июнь 2026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1 090 лотов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110 сделок за полугодие</w:t>
            </w:r>
          </w:p>
        </w:tc>
        <w:tc>
          <w:tcPr>
            <w:tcW w:type="dxa" w:w="19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5 лет</w:t>
            </w:r>
          </w:p>
        </w:tc>
      </w:tr>
      <w:tr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▶ Профиль лота внутри делюкса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81 лот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4 сделки за квартал</w:t>
            </w:r>
          </w:p>
        </w:tc>
        <w:tc>
          <w:tcPr>
            <w:tcW w:type="dxa" w:w="19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5 лет</w:t>
            </w:r>
          </w:p>
        </w:tc>
      </w:tr>
      <w:tr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Весь элитный сегмент, Kalinka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4 236 лотов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2 172 сделки за 2025</w:t>
            </w:r>
          </w:p>
        </w:tc>
        <w:tc>
          <w:tcPr>
            <w:tcW w:type="dxa" w:w="19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2 года</w:t>
            </w:r>
          </w:p>
        </w:tc>
      </w:tr>
      <w:tr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Весь элитный сегмент, BARNES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2 100 лотов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190 сделок за квартал</w:t>
            </w:r>
          </w:p>
        </w:tc>
        <w:tc>
          <w:tcPr>
            <w:tcW w:type="dxa" w:w="19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2,8 года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Разброс оценок объясняется границами баз: у NF Group это класс делюкс отдельно, у Kalinka и BARNES — весь элитный сегмент вместе с премиумом, который оборачивается быстрее.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Экспозиция делюкса растёт, а сделки падают.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980 лотов в декабре 2025 года и 1 090 в июне 2026-го при падении сделок на 35 %. Совокупная стоимость выставленного элитного жилья Москвы впервые превысила 1 трлн ₽.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 профиле нашего лота соотношение то же: около 81 лота в экспозиции против примерно четырёх сделок за квартал — порядка пяти лет продаж.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NF Group прямо называет это «рынком покупателя»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и фиксирует появление индивидуальных скидок на выборочные лоты при полной оплате и первоначальных взносов ниже 20 % при рассрочке. Инструменты стимулирования спроса появляются там, где спроса не хватает.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Предложение вокруг лота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Что происходит с этим спросом в конкретной локации — по выгрузкам Циан на 31.07.2026 (222 лота, восемь проектов) и по экспозиции соседних проектов.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2038"/>
      </w:tblGrid>
      <w:tr>
        <w:trPr>
          <w:tblHeader/>
        </w:trPr>
        <w:tc>
          <w:tcPr>
            <w:tcW w:type="dxa" w:w="3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Бюджет</w:t>
            </w:r>
          </w:p>
        </w:tc>
        <w:tc>
          <w:tcPr>
            <w:tcW w:type="dxa" w:w="2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Лотов</w:t>
            </w:r>
          </w:p>
        </w:tc>
        <w:tc>
          <w:tcPr>
            <w:tcW w:type="dxa" w:w="2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Доля</w:t>
            </w:r>
          </w:p>
        </w:tc>
        <w:tc>
          <w:tcPr>
            <w:tcW w:type="dxa" w:w="20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Из них 65–115 м²</w:t>
            </w:r>
          </w:p>
        </w:tc>
      </w:tr>
      <w:tr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0–200 млн ₽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37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17%</w:t>
            </w:r>
          </w:p>
        </w:tc>
        <w:tc>
          <w:tcPr>
            <w:tcW w:type="dxa" w:w="2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200–300 млн ₽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29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13%</w:t>
            </w:r>
          </w:p>
        </w:tc>
        <w:tc>
          <w:tcPr>
            <w:tcW w:type="dxa" w:w="2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23</w:t>
            </w:r>
          </w:p>
        </w:tc>
      </w:tr>
      <w:tr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300–400 млн ₽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27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12%</w:t>
            </w:r>
          </w:p>
        </w:tc>
        <w:tc>
          <w:tcPr>
            <w:tcW w:type="dxa" w:w="2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400–600 млн ₽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60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27%</w:t>
            </w:r>
          </w:p>
        </w:tc>
        <w:tc>
          <w:tcPr>
            <w:tcW w:type="dxa" w:w="2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свыше 600 млн ₽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69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31%</w:t>
            </w:r>
          </w:p>
        </w:tc>
        <w:tc>
          <w:tcPr>
            <w:tcW w:type="dxa" w:w="2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Итого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222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100 %</w:t>
            </w:r>
          </w:p>
        </w:tc>
        <w:tc>
          <w:tcPr>
            <w:tcW w:type="dxa" w:w="2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43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Медианный лот локации — 473,7 млн ₽ и 158,0 м²; 83 % экспозиции дороже 200 млн ₽. Выше 400 млн ₽ квартир 65–115 м² нет ни одной: покупатель с таким бюджетом берёт метраж, а не резиденцию.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Как продаются соседние проекты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500"/>
        <w:gridCol w:w="1300"/>
        <w:gridCol w:w="2738"/>
      </w:tblGrid>
      <w:tr>
        <w:trPr>
          <w:tblHeader/>
        </w:trPr>
        <w:tc>
          <w:tcPr>
            <w:tcW w:type="dxa" w:w="2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Проект</w:t>
            </w:r>
          </w:p>
        </w:tc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Стадия</w:t>
            </w:r>
          </w:p>
        </w:tc>
        <w:tc>
          <w:tcPr>
            <w:tcW w:type="dxa" w:w="15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В продаже</w:t>
            </w:r>
          </w:p>
        </w:tc>
        <w:tc>
          <w:tcPr>
            <w:tcW w:type="dxa" w:w="13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Продано</w:t>
            </w:r>
          </w:p>
        </w:tc>
        <w:tc>
          <w:tcPr>
            <w:tcW w:type="dxa" w:w="27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Комментарий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Дом Лаврушинский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сдан 03.2025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97 из 171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43 %</w:t>
            </w:r>
          </w:p>
        </w:tc>
        <w:tc>
          <w:tcPr>
            <w:tcW w:type="dxa" w:w="27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больше года после сдачи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Клубный дом DUO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старт 09.2023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31 из 51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39 %</w:t>
            </w:r>
          </w:p>
        </w:tc>
        <w:tc>
          <w:tcPr>
            <w:tcW w:type="dxa" w:w="27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почти три года продаж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Космо 4/22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сдан II кв. 2025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 из 73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78 %</w:t>
            </w:r>
          </w:p>
        </w:tc>
        <w:tc>
          <w:tcPr>
            <w:tcW w:type="dxa" w:w="27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год после ввода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Резиденция 1864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сдан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 из 68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88 %</w:t>
            </w:r>
          </w:p>
        </w:tc>
        <w:tc>
          <w:tcPr>
            <w:tcW w:type="dxa" w:w="27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апартаменты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Садовническая 69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сдача II кв. 2028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75 из 158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52 %</w:t>
            </w:r>
          </w:p>
        </w:tc>
        <w:tc>
          <w:tcPr>
            <w:tcW w:type="dxa" w:w="27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строится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Первый на Красном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сдача III кв. 2026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из 21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95 %</w:t>
            </w:r>
          </w:p>
        </w:tc>
        <w:tc>
          <w:tcPr>
            <w:tcW w:type="dxa" w:w="27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контрпример: распродан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Экспозиция — Яндекс Недвижимость и Новострой.ру на 01.08.2026. Доля проданного считается по остатку в экспозиции и является оценкой: часть лотов может не выставляться публично.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Соседи по классу продаются годами, а не месяцами.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«Дом Лаврушинский» больше чем через год после сдачи продан менее чем наполовину — 97 лотов из 171 всё ещё в экспозиции. Клубный дом DUO на самой Софийской набережной за без малого три года продаж реализовал около 39 % проекта.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Контрпример, который нужно привести честно: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клубный дом «Первый на Красном» на Берсеневской набережной распродан почти полностью ещё до ввода — остался один лот из двадцати одного. Узость сегмента не означает, что продать невозможно; она означает, что продаётся только точно попавшее в спрос.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Предложение в микролокации продолжает расти: на стрелке острова Балчуг готовится квартал «Красный Октябрь» примерно на 300 резиденций.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Ниша самой квартиры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По собственным параметрам лота на всю Москву внутри Садового кольца набирается одиннадцать квартир.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Фильтр «дом от 2017 года, квартиры, до 110 м², дизайнерский ремонт» даёт выдачу, которую покупатель просматривает целиком. Медиана этой ниши — 184,8 млн ₽, наш лот просит на 51,5 % больше.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Ниже нашей цены в нише — обрыв.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Дороже стоят три квартиры: «Ордынский» за 399,0 млн ₽, STELLA DI MOSCA за 350,0 млн ₽ и «Дом на Хлебном» за 299,9 млн ₽. Следующая за нами вниз — 205,0 млн ₽, а остальные шесть укладываются в 89,9–184,8 млн ₽. Между нашими 280 млн ₽ и основной массой ниши — разрыв в 75 миллионов.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 собственном доме лот тоже самый дорогой по метру.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Средняя цена двухкомнатных в экспозиции ЖК «Золотой» — 2 584 380 ₽/м² против наших 3 200 000 ₽/м², то есть лот примерно на 24 % дороже. У застройщика на 01.08.2026 остаётся семь квартир.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Что работает против этого вывода</w:t>
      </w:r>
    </w:p>
    <w:p>
      <w:pPr>
        <w:spacing w:after="17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Справка была бы недобросовестной без обратной стороны. Ниже — проверенные факты, которые тезис ослабляют.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Компактный метраж в элитке — не редкость.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40 % элитных сделок 2025 года прошли с квартирами до 100 м², а доля таких лотов в предложении высокобюджетных новостроек выросла с 32 % до рекордных 42 % за год. Редким лот делает не площадь сама по себе, а её сочетание с бюджетом.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Доля Якиманки в элитных сделках растёт.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Района не было в перечне NF Group за 2025 год, затем 3 % сделок в I квартале 2026-го и 4 % в I полугодии. Утверждать, что локация выпала из рынка, нельзя. Соседнее Замоскворечье и вовсе стало лидером по числу высокобюджетных договоров в I полугодии 2026 года — 23 %.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Kalinka по вторичному высокобюджетному рынку — а лот относится именно к нему — фиксирует рост спроса на 57 % за I полугодие 2026 года, хотя другие показатели того же обзора с этим плохо стыкуются.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Средний бюджет покупки в сегменте не падал — падало число сделок. Сам NF Group отказывается описывать ситуацию как обвал и говорит о структурной перестройке сегмента.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И главное ограничение.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Оценка «около 30 сделок в год» — это ВЕРХНЯЯ граница по первичному рынку, посчитанная по всей ячейке целиком: в неё входят лоты примерно от 50 до 100 м² и весь бюджет от 200 до 300 млн ₽. Вторичные сделки в неё не входят вовсе, а сам объект в первичной статистике, скорее всего, уже не отражается.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Чего в публичных данных нет</w:t>
      </w:r>
    </w:p>
    <w:p>
      <w:pPr>
        <w:spacing w:after="17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Границы справки названы прямо: ниже перечислено то, что измерить было нельзя, и вывод на эти ступени не опирается.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Числа сделок «внутри Садового кольца» не ведёт никто.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Ни один консультант и ни Росреестр не публикуют статистику в этой географической границе — разбивка идёт только по округам и районам.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Сделок по договорам купли-продажи в сданных элитных домах не публикует никто.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Это принципиальный пробел именно для этого лота: «Золотой» сдан в 2023 году, сделки в нём идут по ДКП и не попадают ни в статистику долевого участия, ни в отчёты «Метриум». Сам «Метриум» это признаёт, но объём поля не оценивает.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Абсолютного числа сделок класса делюкс на вторичном рынке не существует в публичном виде: Kalinka не делит вторичку на классы, NF Group публикует не сделки, а количество запросов.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Численности россиян с состоянием 3–5 млн $ — ровно того порога, который нужен для этой покупки, — не публикует никто.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UBS впервые дал разбивку по диапазонам от 5 млн $, но только по пятнадцати рынкам, и России среди них нет.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Числа покупателей как уникальных лиц не публикует никто — только числа сделок. Один покупатель может совершить несколько сделок, поэтому число сделок остаётся верхней границей числа покупателей.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Данных по самому ЖК «Золотой» — темпов продаж, числа сделок, остатка — в аналитических источниках нет: проект идёт через закрытые продажи и в отчётах NF Group не упоминается ни разу.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Единой цифры размера рынка не существует в принципе.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За 2025 год оценки расходятся от 1,55 до 6,9 тыс. сделок, потому что у каждого консультанта свои границы классов. Справка опирается на NF Group, потому что только у него есть разбивка сделок по площади и бюджету одновременно.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Вывод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Тезис подтверждается, и его можно назвать числом.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Формат «до 100 м² за 200–300 млн ₽» — это около 30 сделок в год на всю Москву по первичному рынку, два-три покупателя в месяц. В 2026 году поток сжался ещё вдвое.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Узость двойная: по бюджету и по формату одновременно.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 делюксе за 280 млн ₽ принято покупать 100–150 м², а 87,5 м² — это размерность премиума, где средний бюджет 113 млн ₽. Лот попадает в зазор между двумя классами и не является естественным выбором ни для одного из них.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Три года экспозиции — норма, а не признак проблемы.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При таком сроке ожидание само по себе не является стратегией: в этом сегменте оно ничем не отличается от бездействия.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Из этого следует практический вывод.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Раз покупателей единицы, решает не цена, а попадание в того единственного, кто ищет ровно это. Поэтому исправление метки отделки, из-за которой лот выпадает из выдачи по своей нише, стоит дороже любой скидки: список, который просматривают целиком, — единственное место, где такого покупателя вообще можно встретить.</w:t>
      </w:r>
    </w:p>
    <w:p>
      <w:p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pBdr>
          <w:bottom w:val="single" w:color="D9D4CB" w:sz="6" w:space="2"/>
        </w:pBd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F2A44"/>
          <w:spacing w:val="60"/>
          <w:sz w:val="16"/>
          <w:szCs w:val="16"/>
        </w:rPr>
        <w:t xml:space="preserve">Источники</w:t>
      </w:r>
    </w:p>
    <w:p>
      <w:pPr>
        <w:spacing w:after="32" w:line="208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NF Group. Рынок элитной жилой недвижимости Москвы: отчёты за 2025 год, I квартал и I полугодие 2026 года — число сделок по классам, структура сделок по площади и бюджету — </w:t>
      </w:r>
      <w:hyperlink w:history="1" r:id="rIdsugx2t1lkdra4b6vbknxw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https://nfgroup.ru/analytics/</w:t>
        </w:r>
      </w:hyperlink>
    </w:p>
    <w:p>
      <w:pPr>
        <w:spacing w:after="32" w:line="208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Kalinka Ecosystem. Рынок вторичной элитной недвижимости Москвы, I полугодие 2026 — </w:t>
      </w:r>
      <w:hyperlink w:history="1" r:id="rIdrgrpdpk-uvonvdbkokuvo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https://back.kalinka-realty.ru/media/download/4392</w:t>
        </w:r>
      </w:hyperlink>
    </w:p>
    <w:p>
      <w:pPr>
        <w:spacing w:after="32" w:line="208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Kalinka Ecosystem. Аналитический обзор рынка элитной недвижимости Москвы, итоги 2025 года — </w:t>
      </w:r>
      <w:hyperlink w:history="1" r:id="rIdsiztpeuj7c3pyfy6cbb5p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https://www.kalinka-realty.ru/services/consulting/analytics/</w:t>
        </w:r>
      </w:hyperlink>
    </w:p>
    <w:p>
      <w:pPr>
        <w:spacing w:after="32" w:line="208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Intermark Городская Недвижимость — объём элитного рынка за 2025 год (РБК Недвижимость, 04.02.2026) — </w:t>
      </w:r>
      <w:hyperlink w:history="1" r:id="rIdz8sfcw6cffotoat25ykev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https://realty.rbc.ru/</w:t>
        </w:r>
      </w:hyperlink>
    </w:p>
    <w:p>
      <w:pPr>
        <w:spacing w:after="32" w:line="208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«Коммерсантъ», 22.07.2026 — делюкс как наиболее узкий сегмент рынка жилья (данные MR и NF Group) — </w:t>
      </w:r>
      <w:hyperlink w:history="1" r:id="rIdad_ntu8ra9sx9lj9_ekbb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https://www.kommersant.ru/doc/8832043</w:t>
        </w:r>
      </w:hyperlink>
    </w:p>
    <w:p>
      <w:pPr>
        <w:spacing w:after="32" w:line="208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«Метриум», Dataflat, bnMAP.pro, Whitewill, BARNES Moscow — параллельные замеры высокобюджетного сегмента за I полугодие 2026 года</w:t>
      </w:r>
    </w:p>
    <w:p>
      <w:pPr>
        <w:spacing w:after="32" w:line="208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UBS Global Wealth Report 2026 — число долларовых миллионеров России — </w:t>
      </w:r>
      <w:hyperlink w:history="1" r:id="rIdaluactnle5trcfyqongki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https://www.ubs.com/global/en/wealthmanagement/insights/global-wealth-report.html</w:t>
        </w:r>
      </w:hyperlink>
    </w:p>
    <w:p>
      <w:pPr>
        <w:spacing w:after="32" w:line="208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Knight Frank. The Wealth Report 2026 — число UHNWI России; The Wealth Report 2022 и 2024 — доля жилья в структуре капитала — </w:t>
      </w:r>
      <w:hyperlink w:history="1" r:id="rIdn7bnbjk9zr3j7sawxw_km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https://www.knightfrank.com/wealthreport</w:t>
        </w:r>
      </w:hyperlink>
    </w:p>
    <w:p>
      <w:pPr>
        <w:spacing w:after="32" w:line="208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Henley &amp; Partners / New World Wealth. World’s Wealthiest Cities Report 2025 — миллионеры Москвы по ликвидному капиталу — </w:t>
      </w:r>
      <w:hyperlink w:history="1" r:id="rIdeaubivengyfocqlbdbc0p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https://www.henleyglobal.com/publications/wealthiest-cities-report</w:t>
        </w:r>
      </w:hyperlink>
    </w:p>
    <w:p>
      <w:pPr>
        <w:spacing w:after="32" w:line="208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Frank RG. Private Banking в России, исследования 2025 и 2026 годов — численность и динамика капитала состоятельных россиян — </w:t>
      </w:r>
      <w:hyperlink w:history="1" r:id="rIdmk28qzwzauj0rgr3bolzd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https://frankrg.com/</w:t>
        </w:r>
      </w:hyperlink>
    </w:p>
    <w:p>
      <w:pPr>
        <w:spacing w:after="32" w:line="208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Управление Росреестра по Москве — сделки на вторичном рынке и договоры долевого участия по округам — </w:t>
      </w:r>
      <w:hyperlink w:history="1" r:id="rIdjugeww9uio6xqbn9nz5wn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https://rosreestr.gov.ru/</w:t>
        </w:r>
      </w:hyperlink>
    </w:p>
    <w:p>
      <w:pPr>
        <w:spacing w:after="32" w:line="208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«Циан», июль 2026 — срок экспозиции на вторичном рынке Москвы по районам</w:t>
      </w:r>
    </w:p>
    <w:p>
      <w:pPr>
        <w:spacing w:after="32" w:line="208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Банк России — официальный курс доллара на 01.08.2026 (79,4637 ₽) — </w:t>
      </w:r>
      <w:hyperlink w:history="1" r:id="rId0b6xowfmf6tx8y1ub1pr3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https://www.cbr.ru/currency_base/daily/</w:t>
        </w:r>
      </w:hyperlink>
    </w:p>
    <w:p>
      <w:pPr>
        <w:spacing w:after="32" w:line="208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Выгрузки Циан по восьми проектам локации (222 лота, 31.07.2026); экспозиция соседей — Яндекс Недвижимость и Новострой.ру, 01.08.2026</w:t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Справка подготовлена 01.08.2026. Оценки носят справочный характер и не являются офертой или отчётом об оценке. Абсолютные числа сделок по ячейкам рынка получены умножением опубликованных долей на опубликованные числа сделок по классам; точность таких оценок ограничена округлением в источнике.</w:t>
      </w:r>
    </w:p>
    <w:sectPr>
      <w:footerReference w:type="default" r:id="rId7"/>
      <w:pgSz w:w="11906" w:h="16838" w:orient="portrait"/>
      <w:pgMar w:top="850" w:right="1133" w:bottom="850" w:left="1133" w:header="510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B" w:sz="4" w:space="6"/>
      </w:pBdr>
      <w:tabs>
        <w:tab w:val="right" w:pos="9638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70788A"/>
        <w:sz w:val="14"/>
        <w:szCs w:val="14"/>
      </w:rPr>
      <w:t xml:space="preserve">ЖК «Золотой» · справка о ёмкости спроса · 01.08.2026</w:t>
    </w:r>
    <w:r>
      <w:rPr>
        <w:rFonts w:ascii="Arial" w:cs="Arial" w:eastAsia="Arial" w:hAnsi="Arial"/>
        <w:b w:val="false"/>
        <w:bCs w:val="false"/>
        <w:i w:val="false"/>
        <w:iCs w:val="false"/>
        <w:color w:val="2A2E38"/>
        <w:sz w:val="19"/>
        <w:szCs w:val="19"/>
      </w:rPr>
      <w:t xml:space="preserve">	</w:t>
    </w:r>
    <w:r>
      <w:rPr>
        <w:rFonts w:ascii="Arial" w:cs="Arial" w:eastAsia="Arial" w:hAnsi="Arial"/>
        <w:color w:val="70788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E38"/>
        <w:sz w:val="19"/>
        <w:szCs w:val="19"/>
      </w:rPr>
    </w:rPrDefault>
    <w:pPrDefault>
      <w:pPr>
        <w:spacing w:line="25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sugx2t1lkdra4b6vbknxw" Type="http://schemas.openxmlformats.org/officeDocument/2006/relationships/hyperlink" Target="https://nfgroup.ru/analytics/" TargetMode="External"/><Relationship Id="rIdrgrpdpk-uvonvdbkokuvo" Type="http://schemas.openxmlformats.org/officeDocument/2006/relationships/hyperlink" Target="https://back.kalinka-realty.ru/media/download/4392" TargetMode="External"/><Relationship Id="rIdsiztpeuj7c3pyfy6cbb5p" Type="http://schemas.openxmlformats.org/officeDocument/2006/relationships/hyperlink" Target="https://www.kalinka-realty.ru/services/consulting/analytics/" TargetMode="External"/><Relationship Id="rIdz8sfcw6cffotoat25ykev" Type="http://schemas.openxmlformats.org/officeDocument/2006/relationships/hyperlink" Target="https://realty.rbc.ru/" TargetMode="External"/><Relationship Id="rIdad_ntu8ra9sx9lj9_ekbb" Type="http://schemas.openxmlformats.org/officeDocument/2006/relationships/hyperlink" Target="https://www.kommersant.ru/doc/8832043" TargetMode="External"/><Relationship Id="rIdaluactnle5trcfyqongki" Type="http://schemas.openxmlformats.org/officeDocument/2006/relationships/hyperlink" Target="https://www.ubs.com/global/en/wealthmanagement/insights/global-wealth-report.html" TargetMode="External"/><Relationship Id="rIdn7bnbjk9zr3j7sawxw_km" Type="http://schemas.openxmlformats.org/officeDocument/2006/relationships/hyperlink" Target="https://www.knightfrank.com/wealthreport" TargetMode="External"/><Relationship Id="rIdeaubivengyfocqlbdbc0p" Type="http://schemas.openxmlformats.org/officeDocument/2006/relationships/hyperlink" Target="https://www.henleyglobal.com/publications/wealthiest-cities-report" TargetMode="External"/><Relationship Id="rIdmk28qzwzauj0rgr3bolzd" Type="http://schemas.openxmlformats.org/officeDocument/2006/relationships/hyperlink" Target="https://frankrg.com/" TargetMode="External"/><Relationship Id="rIdjugeww9uio6xqbn9nz5wn" Type="http://schemas.openxmlformats.org/officeDocument/2006/relationships/hyperlink" Target="https://rosreestr.gov.ru/" TargetMode="External"/><Relationship Id="rId0b6xowfmf6tx8y1ub1pr3" Type="http://schemas.openxmlformats.org/officeDocument/2006/relationships/hyperlink" Target="https://www.cbr.ru/currency_base/daily/" TargetMode="External"/><Relationship Id="rId8" Type="http://schemas.openxmlformats.org/officeDocument/2006/relationships/image" Target="media/984ac479f2c1d8395bd28d4c143a46684d146a50.jp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ЖК «Золотой» — справка: насколько узок круг покупателей</dc:title>
  <dc:creator>Аналитика по лоту</dc:creator>
  <dc:description>Обоснование тезиса о том, что покупателей на квартиру за 280 млн ₽ единицы</dc:description>
  <cp:lastModifiedBy>Un-named</cp:lastModifiedBy>
  <cp:revision>1</cp:revision>
  <dcterms:created xsi:type="dcterms:W3CDTF">2026-08-01T11:45:49.717Z</dcterms:created>
  <dcterms:modified xsi:type="dcterms:W3CDTF">2026-08-01T11:45:49.718Z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