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69" w:lineRule="auto"/>
        <w:jc w:val="left"/>
      </w:pPr>
    </w:p>
    <w:p>
      <w:pPr>
        <w:spacing w:before="0" w:after="0" w:line="269" w:lineRule="auto"/>
        <w:jc w:val="left"/>
      </w:pPr>
    </w:p>
    <w:p>
      <w:pPr>
        <w:spacing w:before="0" w:after="40" w:line="269" w:lineRule="auto"/>
        <w:jc w:val="left"/>
      </w:pPr>
      <w:r>
        <w:rPr>
          <w:rFonts w:ascii="Calibri" w:hAnsi="Calibri" w:cs="Calibri"/>
          <w:b/>
          <w:i w:val="0"/>
          <w:color w:val="6B7785"/>
          <w:sz w:val="22"/>
          <w:spacing w:val="60"/>
        </w:rPr>
        <w:t>ЕЖЕНЕДЕЛЬНАЯ АНАЛИТИКА</w:t>
      </w:r>
    </w:p>
    <w:p>
      <w:pPr>
        <w:spacing w:before="0" w:after="40" w:line="269" w:lineRule="auto"/>
        <w:jc w:val="left"/>
      </w:pPr>
      <w:r>
        <w:rPr>
          <w:rFonts w:ascii="Calibri" w:hAnsi="Calibri" w:cs="Calibri"/>
          <w:b/>
          <w:i w:val="0"/>
          <w:color w:val="1F3A5F"/>
          <w:sz w:val="60"/>
        </w:rPr>
        <w:t>Рынок недвижимости</w:t>
      </w:r>
    </w:p>
    <w:p>
      <w:pPr>
        <w:spacing w:before="0" w:after="200" w:line="269" w:lineRule="auto"/>
        <w:jc w:val="left"/>
      </w:pPr>
      <w:r>
        <w:rPr>
          <w:rFonts w:ascii="Calibri" w:hAnsi="Calibri" w:cs="Calibri"/>
          <w:b/>
          <w:i w:val="0"/>
          <w:color w:val="1F3A5F"/>
          <w:sz w:val="60"/>
        </w:rPr>
        <w:t>Нидерландов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W w:type="dxa" w:w="9525"/>
      </w:tblPr>
      <w:tblGrid>
        <w:gridCol w:w="3324"/>
        <w:gridCol w:w="3324"/>
        <w:gridCol w:w="3324"/>
      </w:tblGrid>
      <w:tr>
        <w:tc>
          <w:tcPr>
            <w:tcW w:type="dxa" w:w="3175"/>
            <w:shd w:val="clear" w:color="auto" w:fill="16846F"/>
          </w:tcPr>
          <w:p>
            <w:pPr>
              <w:spacing w:after="0"/>
            </w:pPr>
            <w:r>
              <w:rPr>
                <w:sz w:val="6"/>
              </w:rPr>
              <w:t xml:space="preserve"> </w:t>
            </w:r>
          </w:p>
        </w:tc>
        <w:tc>
          <w:tcPr>
            <w:tcW w:type="dxa" w:w="3175"/>
            <w:shd w:val="clear" w:color="auto" w:fill="C0791C"/>
          </w:tcPr>
          <w:p>
            <w:pPr>
              <w:spacing w:after="0"/>
            </w:pPr>
            <w:r>
              <w:rPr>
                <w:sz w:val="6"/>
              </w:rPr>
              <w:t xml:space="preserve"> </w:t>
            </w:r>
          </w:p>
        </w:tc>
        <w:tc>
          <w:tcPr>
            <w:tcW w:type="dxa" w:w="3175"/>
            <w:shd w:val="clear" w:color="auto" w:fill="2C5F8A"/>
          </w:tcPr>
          <w:p>
            <w:pPr>
              <w:spacing w:after="0"/>
            </w:pPr>
            <w:r>
              <w:rPr>
                <w:sz w:val="6"/>
              </w:rPr>
              <w:t xml:space="preserve"> </w:t>
            </w:r>
          </w:p>
        </w:tc>
      </w:tr>
    </w:tbl>
    <w:p>
      <w:pPr>
        <w:spacing w:before="0" w:after="160" w:line="269" w:lineRule="auto"/>
        <w:jc w:val="left"/>
      </w:pPr>
    </w:p>
    <w:p>
      <w:pPr>
        <w:spacing w:before="0" w:after="40" w:line="269" w:lineRule="auto"/>
        <w:jc w:val="left"/>
      </w:pPr>
      <w:r>
        <w:rPr>
          <w:rFonts w:ascii="Calibri" w:hAnsi="Calibri" w:cs="Calibri"/>
          <w:b/>
          <w:i w:val="0"/>
          <w:color w:val="222B36"/>
          <w:sz w:val="26"/>
        </w:rPr>
        <w:t xml:space="preserve">Период: </w:t>
      </w:r>
      <w:r>
        <w:rPr>
          <w:rFonts w:ascii="Calibri" w:hAnsi="Calibri" w:cs="Calibri"/>
          <w:b w:val="0"/>
          <w:i w:val="0"/>
          <w:color w:val="222B36"/>
          <w:sz w:val="26"/>
        </w:rPr>
        <w:t>22–28 июня 2026 г.</w:t>
      </w:r>
    </w:p>
    <w:p>
      <w:pPr>
        <w:spacing w:before="0" w:after="40" w:line="269" w:lineRule="auto"/>
        <w:jc w:val="left"/>
      </w:pPr>
      <w:r>
        <w:rPr>
          <w:rFonts w:ascii="Calibri" w:hAnsi="Calibri" w:cs="Calibri"/>
          <w:b/>
          <w:i w:val="0"/>
          <w:color w:val="6B7785"/>
          <w:sz w:val="22"/>
        </w:rPr>
        <w:t xml:space="preserve">Сегменты: </w:t>
      </w:r>
      <w:r>
        <w:rPr>
          <w:rFonts w:ascii="Calibri" w:hAnsi="Calibri" w:cs="Calibri"/>
          <w:b w:val="0"/>
          <w:i w:val="0"/>
          <w:color w:val="6B7785"/>
          <w:sz w:val="22"/>
        </w:rPr>
        <w:t>жилая недвижимость · коммерция (стрит-ритейл) · индустриальная (склады, промзоны)</w:t>
      </w:r>
    </w:p>
    <w:p>
      <w:pPr>
        <w:spacing w:before="40" w:after="280" w:line="269" w:lineRule="auto"/>
        <w:jc w:val="left"/>
      </w:pPr>
      <w:r>
        <w:rPr>
          <w:rFonts w:ascii="Calibri" w:hAnsi="Calibri" w:cs="Calibri"/>
          <w:b w:val="0"/>
          <w:i/>
          <w:color w:val="6B7785"/>
          <w:sz w:val="19"/>
        </w:rPr>
        <w:t>Отчёт сформирован: 30 июня 2026 г.</w:t>
      </w:r>
    </w:p>
    <w:p>
      <w:pPr>
        <w:spacing w:before="200" w:after="60" w:line="269" w:lineRule="auto"/>
        <w:jc w:val="left"/>
        <w:pBdr>
          <w:bottom w:val="single" w:sz="6" w:space="2" w:color="D7DEE6"/>
        </w:pBdr>
      </w:pPr>
      <w:r>
        <w:rPr>
          <w:rFonts w:ascii="Calibri" w:hAnsi="Calibri" w:cs="Calibri"/>
          <w:b/>
          <w:i w:val="0"/>
          <w:color w:val="1F3A5F"/>
          <w:sz w:val="23"/>
        </w:rPr>
        <w:t>Коротко о неделе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W w:type="dxa" w:w="9525"/>
      </w:tblPr>
      <w:tblGrid>
        <w:gridCol w:w="9972"/>
      </w:tblGrid>
      <w:tr>
        <w:tc>
          <w:tcPr>
            <w:tcW w:type="dxa" w:w="9524"/>
            <w:shd w:val="clear" w:color="auto" w:fill="EEF2F6"/>
            <w:tcMar>
              <w:top w:w="140" w:type="dxa"/>
              <w:bottom w:w="140" w:type="dxa"/>
              <w:start w:w="200" w:type="dxa"/>
              <w:end w:w="200" w:type="dxa"/>
              <w:left w:w="200" w:type="dxa"/>
              <w:right w:w="20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cs="Calibri"/>
                <w:b w:val="0"/>
                <w:i w:val="0"/>
                <w:color w:val="222B36"/>
                <w:sz w:val="21"/>
              </w:rPr>
              <w:t>Жилая недвижимость продолжает дорожать: в мае цены выросли на 4,4% год к году и на 0,6% за месяц, при этом число сделок слегка снизилось. Главное событие недели — Сенат одобрил закон об усилении госуправления жильём, который вступает в силу с 1 июля. В коммерции (стрит-ритейл) фон спокойный: ABN AMRO чуть снизил прогноз по рознице из-за внешних рисков, но качественные торговые центры активно набирают новых арендаторов. В индустриале главная тема — дефицит электромощностей: очередь на подключение выросла до 15 000 компаний, с 1 июля ужесточаются правила netcongestie, а кабинет запустил пакет на 20 млрд евро для разблокировки стройки по азоту; девелопмент крупных складов идёт активно.</w:t>
            </w:r>
          </w:p>
        </w:tc>
      </w:tr>
    </w:tbl>
    <w:p>
      <w:pPr>
        <w:spacing w:before="0" w:after="120" w:line="269" w:lineRule="auto"/>
        <w:jc w:val="left"/>
      </w:pPr>
    </w:p>
    <w:p>
      <w:pPr>
        <w:spacing w:before="200" w:after="0" w:line="269" w:lineRule="auto"/>
        <w:jc w:val="left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W w:type="dxa" w:w="9525"/>
      </w:tblPr>
      <w:tblGrid>
        <w:gridCol w:w="9972"/>
      </w:tblGrid>
      <w:tr>
        <w:tc>
          <w:tcPr>
            <w:tcW w:type="dxa" w:w="9524"/>
            <w:shd w:val="clear" w:color="auto" w:fill="16846F"/>
            <w:tcMar>
              <w:top w:w="120" w:type="dxa"/>
              <w:bottom w:w="120" w:type="dxa"/>
              <w:start w:w="200" w:type="dxa"/>
              <w:end w:w="200" w:type="dxa"/>
              <w:left w:w="200" w:type="dxa"/>
              <w:right w:w="20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28"/>
              </w:rPr>
              <w:t>🏠  Жилая недвижимость</w:t>
            </w:r>
          </w:p>
        </w:tc>
      </w:tr>
    </w:tbl>
    <w:p>
      <w:pPr>
        <w:spacing w:before="200" w:after="60" w:line="269" w:lineRule="auto"/>
        <w:jc w:val="left"/>
        <w:pBdr>
          <w:bottom w:val="single" w:sz="6" w:space="2" w:color="D7DEE6"/>
        </w:pBdr>
      </w:pPr>
      <w:r>
        <w:rPr>
          <w:rFonts w:ascii="Calibri" w:hAnsi="Calibri" w:cs="Calibri"/>
          <w:b/>
          <w:i w:val="0"/>
          <w:color w:val="105A4C"/>
          <w:sz w:val="23"/>
        </w:rPr>
        <w:t>Изменения в законах и регулировании</w:t>
      </w:r>
    </w:p>
    <w:p>
      <w:pPr>
        <w:spacing w:before="40" w:after="40" w:line="264" w:lineRule="auto"/>
        <w:ind w:left="283" w:hanging="198"/>
        <w:jc w:val="left"/>
      </w:pPr>
      <w:r>
        <w:rPr>
          <w:rFonts w:ascii="Calibri" w:hAnsi="Calibri" w:cs="Calibri"/>
          <w:b/>
          <w:i w:val="0"/>
          <w:color w:val="6B7785"/>
          <w:sz w:val="21"/>
        </w:rPr>
        <w:t xml:space="preserve">▪  </w:t>
      </w:r>
      <w:r>
        <w:rPr>
          <w:rFonts w:ascii="Calibri" w:hAnsi="Calibri" w:cs="Calibri"/>
          <w:b w:val="0"/>
          <w:i w:val="0"/>
          <w:color w:val="222B36"/>
          <w:sz w:val="21"/>
        </w:rPr>
        <w:t>Сенат (Eerste Kamer) 23 июня одобрил закон Wet versterking regie volkshuisvesting: государство, провинции и муниципалитеты получают инструменты управлять тем, сколько, где и для кого строить. Две трети нового жилья должны быть доступными, 30% — социальная аренда. Вступает в силу 1 июля 2026.</w:t>
      </w:r>
    </w:p>
    <w:p>
      <w:pPr>
        <w:spacing w:before="0" w:after="80" w:line="240" w:lineRule="auto"/>
        <w:ind w:left="283"/>
        <w:jc w:val="left"/>
      </w:pPr>
      <w:r>
        <w:rPr>
          <w:rFonts w:ascii="Calibri" w:hAnsi="Calibri" w:cs="Calibri"/>
          <w:b w:val="0"/>
          <w:i/>
          <w:color w:val="6B7785"/>
          <w:sz w:val="17"/>
        </w:rPr>
        <w:t xml:space="preserve">   📅 2026-06-24   •   Источник: Eerste Kamer</w:t>
      </w:r>
      <w:r>
        <w:rPr>
          <w:rFonts w:ascii="Calibri" w:hAnsi="Calibri" w:cs="Calibri"/>
          <w:b w:val="0"/>
          <w:i w:val="0"/>
          <w:color w:val="6B7785"/>
          <w:sz w:val="17"/>
        </w:rPr>
        <w:t xml:space="preserve">   </w:t>
      </w:r>
      <w:hyperlink r:id="rId11">
        <w:r>
          <w:rPr>
            <w:color w:val="1155CC"/>
            <w:sz w:val="17.0"/>
            <w:rFonts w:ascii="Calibri" w:hAnsi="Calibri"/>
            <w:u w:val="single"/>
          </w:rPr>
          <w:t xml:space="preserve">ссылка ↗</w:t>
        </w:r>
      </w:hyperlink>
    </w:p>
    <w:p>
      <w:pPr>
        <w:spacing w:before="40" w:after="40" w:line="264" w:lineRule="auto"/>
        <w:ind w:left="283" w:hanging="198"/>
        <w:jc w:val="left"/>
      </w:pPr>
      <w:r>
        <w:rPr>
          <w:rFonts w:ascii="Calibri" w:hAnsi="Calibri" w:cs="Calibri"/>
          <w:b/>
          <w:i w:val="0"/>
          <w:color w:val="6B7785"/>
          <w:sz w:val="21"/>
        </w:rPr>
        <w:t xml:space="preserve">▪  </w:t>
      </w:r>
      <w:r>
        <w:rPr>
          <w:rFonts w:ascii="Calibri" w:hAnsi="Calibri" w:cs="Calibri"/>
          <w:b w:val="0"/>
          <w:i w:val="0"/>
          <w:color w:val="222B36"/>
          <w:sz w:val="21"/>
        </w:rPr>
        <w:t>В рамках принятого закона ускоряются процедуры по стройке: для проектов от 12 жилья жалобы рассматривает сразу Raad van State (минуя нижестоящие суды) с решением в течение 6 месяцев, а тест Ladder voor duurzame verstedelijking отменяется для жилищной застройки. Эти изменения действуют с 1 января 2027.</w:t>
      </w:r>
    </w:p>
    <w:p>
      <w:pPr>
        <w:spacing w:before="0" w:after="80" w:line="240" w:lineRule="auto"/>
        <w:ind w:left="283"/>
        <w:jc w:val="left"/>
      </w:pPr>
      <w:r>
        <w:rPr>
          <w:rFonts w:ascii="Calibri" w:hAnsi="Calibri" w:cs="Calibri"/>
          <w:b w:val="0"/>
          <w:i/>
          <w:color w:val="6B7785"/>
          <w:sz w:val="17"/>
        </w:rPr>
        <w:t xml:space="preserve">   📅 2026-06-25   •   Источник: Arom</w:t>
      </w:r>
      <w:r>
        <w:rPr>
          <w:rFonts w:ascii="Calibri" w:hAnsi="Calibri" w:cs="Calibri"/>
          <w:b w:val="0"/>
          <w:i w:val="0"/>
          <w:color w:val="6B7785"/>
          <w:sz w:val="17"/>
        </w:rPr>
        <w:t xml:space="preserve">   </w:t>
      </w:r>
      <w:hyperlink r:id="rId12">
        <w:r>
          <w:rPr>
            <w:color w:val="1155CC"/>
            <w:sz w:val="17.0"/>
            <w:rFonts w:ascii="Calibri" w:hAnsi="Calibri"/>
            <w:u w:val="single"/>
          </w:rPr>
          <w:t xml:space="preserve">ссылка ↗</w:t>
        </w:r>
      </w:hyperlink>
    </w:p>
    <w:p>
      <w:pPr>
        <w:spacing w:before="40" w:after="40" w:line="264" w:lineRule="auto"/>
        <w:ind w:left="283" w:hanging="198"/>
        <w:jc w:val="left"/>
      </w:pPr>
      <w:r>
        <w:rPr>
          <w:rFonts w:ascii="Calibri" w:hAnsi="Calibri" w:cs="Calibri"/>
          <w:b/>
          <w:i w:val="0"/>
          <w:color w:val="6B7785"/>
          <w:sz w:val="21"/>
        </w:rPr>
        <w:t xml:space="preserve">▪  </w:t>
      </w:r>
      <w:r>
        <w:rPr>
          <w:rFonts w:ascii="Calibri" w:hAnsi="Calibri" w:cs="Calibri"/>
          <w:b w:val="0"/>
          <w:i w:val="0"/>
          <w:color w:val="222B36"/>
          <w:sz w:val="21"/>
        </w:rPr>
        <w:t>Верховный суд (Hoge Raad) постановил: владельцы активов, не подавшие вовремя возражение против налога box 3 за 2017–2020 годы, не получат компенсацию (rechtsherstel). Возврат переплаты возможен только для тех, кто оспорил начисления своевременно; процедура massaalbezwaarplus закрыта.</w:t>
      </w:r>
    </w:p>
    <w:p>
      <w:pPr>
        <w:spacing w:before="0" w:after="80" w:line="240" w:lineRule="auto"/>
        <w:ind w:left="283"/>
        <w:jc w:val="left"/>
      </w:pPr>
      <w:r>
        <w:rPr>
          <w:rFonts w:ascii="Calibri" w:hAnsi="Calibri" w:cs="Calibri"/>
          <w:b w:val="0"/>
          <w:i/>
          <w:color w:val="6B7785"/>
          <w:sz w:val="17"/>
        </w:rPr>
        <w:t xml:space="preserve">   📅 2026-06-25   •   Источник: Accountancy Vanmorgen</w:t>
      </w:r>
      <w:r>
        <w:rPr>
          <w:rFonts w:ascii="Calibri" w:hAnsi="Calibri" w:cs="Calibri"/>
          <w:b w:val="0"/>
          <w:i w:val="0"/>
          <w:color w:val="6B7785"/>
          <w:sz w:val="17"/>
        </w:rPr>
        <w:t xml:space="preserve">   </w:t>
      </w:r>
      <w:hyperlink r:id="rId13">
        <w:r>
          <w:rPr>
            <w:color w:val="1155CC"/>
            <w:sz w:val="17.0"/>
            <w:rFonts w:ascii="Calibri" w:hAnsi="Calibri"/>
            <w:u w:val="single"/>
          </w:rPr>
          <w:t xml:space="preserve">ссылка ↗</w:t>
        </w:r>
      </w:hyperlink>
    </w:p>
    <w:p>
      <w:pPr>
        <w:spacing w:before="200" w:after="60" w:line="269" w:lineRule="auto"/>
        <w:jc w:val="left"/>
        <w:pBdr>
          <w:bottom w:val="single" w:sz="6" w:space="2" w:color="D7DEE6"/>
        </w:pBdr>
      </w:pPr>
      <w:r>
        <w:rPr>
          <w:rFonts w:ascii="Calibri" w:hAnsi="Calibri" w:cs="Calibri"/>
          <w:b/>
          <w:i w:val="0"/>
          <w:color w:val="105A4C"/>
          <w:sz w:val="23"/>
        </w:rPr>
        <w:t>Новости</w:t>
      </w:r>
    </w:p>
    <w:p>
      <w:pPr>
        <w:spacing w:before="40" w:after="40" w:line="264" w:lineRule="auto"/>
        <w:ind w:left="283" w:hanging="198"/>
        <w:jc w:val="left"/>
      </w:pPr>
      <w:r>
        <w:rPr>
          <w:rFonts w:ascii="Calibri" w:hAnsi="Calibri" w:cs="Calibri"/>
          <w:b/>
          <w:i w:val="0"/>
          <w:color w:val="6B7785"/>
          <w:sz w:val="21"/>
        </w:rPr>
        <w:t xml:space="preserve">▪  </w:t>
      </w:r>
      <w:r>
        <w:rPr>
          <w:rFonts w:ascii="Calibri" w:hAnsi="Calibri" w:cs="Calibri"/>
          <w:b w:val="0"/>
          <w:i w:val="0"/>
          <w:color w:val="222B36"/>
          <w:sz w:val="21"/>
        </w:rPr>
        <w:t>Вторая палата (Tweede Kamer) приняла поправку D66 с просьбой к правительству после лета рассмотреть дополнительные крупные локации под жильё, включая Veenendaal-De Klomp и IJmeer; кабинет также одобрил модернизацию проектной поддержки жилищных корпораций.</w:t>
      </w:r>
    </w:p>
    <w:p>
      <w:pPr>
        <w:spacing w:before="0" w:after="80" w:line="240" w:lineRule="auto"/>
        <w:ind w:left="283"/>
        <w:jc w:val="left"/>
      </w:pPr>
      <w:r>
        <w:rPr>
          <w:rFonts w:ascii="Calibri" w:hAnsi="Calibri" w:cs="Calibri"/>
          <w:b w:val="0"/>
          <w:i/>
          <w:color w:val="6B7785"/>
          <w:sz w:val="17"/>
        </w:rPr>
        <w:t xml:space="preserve">   📅 2026-06-22   •   Источник: VTW</w:t>
      </w:r>
      <w:r>
        <w:rPr>
          <w:rFonts w:ascii="Calibri" w:hAnsi="Calibri" w:cs="Calibri"/>
          <w:b w:val="0"/>
          <w:i w:val="0"/>
          <w:color w:val="6B7785"/>
          <w:sz w:val="17"/>
        </w:rPr>
        <w:t xml:space="preserve">   </w:t>
      </w:r>
      <w:hyperlink r:id="rId14">
        <w:r>
          <w:rPr>
            <w:color w:val="1155CC"/>
            <w:sz w:val="17.0"/>
            <w:rFonts w:ascii="Calibri" w:hAnsi="Calibri"/>
            <w:u w:val="single"/>
          </w:rPr>
          <w:t xml:space="preserve">ссылка ↗</w:t>
        </w:r>
      </w:hyperlink>
    </w:p>
    <w:p>
      <w:pPr>
        <w:spacing w:before="200" w:after="60" w:line="269" w:lineRule="auto"/>
        <w:jc w:val="left"/>
        <w:pBdr>
          <w:bottom w:val="single" w:sz="6" w:space="2" w:color="D7DEE6"/>
        </w:pBdr>
      </w:pPr>
      <w:r>
        <w:rPr>
          <w:rFonts w:ascii="Calibri" w:hAnsi="Calibri" w:cs="Calibri"/>
          <w:b/>
          <w:i w:val="0"/>
          <w:color w:val="105A4C"/>
          <w:sz w:val="23"/>
        </w:rPr>
        <w:t>Статистика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W w:type="dxa" w:w="9525"/>
      </w:tblPr>
      <w:tblGrid>
        <w:gridCol w:w="5669"/>
        <w:gridCol w:w="3855"/>
      </w:tblGrid>
      <w:tr>
        <w:tc>
          <w:tcPr>
            <w:tcW w:type="dxa" w:w="4762"/>
            <w:shd w:val="clear" w:color="auto" w:fill="1F3A5F"/>
            <w:tcMar>
              <w:top w:w="80" w:type="dxa"/>
              <w:bottom w:w="80" w:type="dxa"/>
              <w:start w:w="140" w:type="dxa"/>
              <w:end w:w="140" w:type="dxa"/>
              <w:left w:w="140" w:type="dxa"/>
              <w:right w:w="140" w:type="dxa"/>
            </w:tcMar>
          </w:tcPr>
          <w:p>
            <w:r>
              <w:rPr>
                <w:rFonts w:ascii="Calibri" w:hAnsi="Calibri" w:cs="Calibri"/>
                <w:b/>
                <w:i w:val="0"/>
                <w:color w:val="FFFFFF"/>
                <w:sz w:val="19"/>
              </w:rPr>
              <w:t>Показатель</w:t>
            </w:r>
          </w:p>
        </w:tc>
        <w:tc>
          <w:tcPr>
            <w:tcW w:type="dxa" w:w="4762"/>
            <w:shd w:val="clear" w:color="auto" w:fill="1F3A5F"/>
            <w:tcMar>
              <w:top w:w="80" w:type="dxa"/>
              <w:bottom w:w="80" w:type="dxa"/>
              <w:start w:w="140" w:type="dxa"/>
              <w:end w:w="140" w:type="dxa"/>
              <w:left w:w="140" w:type="dxa"/>
              <w:right w:w="140" w:type="dxa"/>
            </w:tcMar>
          </w:tcPr>
          <w:p>
            <w:r>
              <w:rPr>
                <w:rFonts w:ascii="Calibri" w:hAnsi="Calibri" w:cs="Calibri"/>
                <w:b/>
                <w:i w:val="0"/>
                <w:color w:val="FFFFFF"/>
                <w:sz w:val="19"/>
              </w:rPr>
              <w:t>Значение / динамика</w:t>
            </w:r>
          </w:p>
        </w:tc>
      </w:tr>
      <w:tr>
        <w:tc>
          <w:tcPr>
            <w:tcW w:type="dxa" w:w="5669"/>
            <w:shd w:val="clear" w:color="auto" w:fill="F4F6F8"/>
            <w:tcMar>
              <w:top w:w="80" w:type="dxa"/>
              <w:bottom w:w="80" w:type="dxa"/>
              <w:start w:w="140" w:type="dxa"/>
              <w:end w:w="14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i w:val="0"/>
                <w:color w:val="222B36"/>
                <w:sz w:val="19"/>
              </w:rPr>
              <w:t>Цены на существующее жильё в мае были на 4,4% выше, чем годом ранее (после +4,3% в апреле); к предыдущему пику (июль 2022) цены выше примерно на 16,6%.</w:t>
            </w:r>
          </w:p>
        </w:tc>
        <w:tc>
          <w:tcPr>
            <w:tcW w:type="dxa" w:w="3855"/>
            <w:shd w:val="clear" w:color="auto" w:fill="F4F6F8"/>
            <w:tcMar>
              <w:top w:w="80" w:type="dxa"/>
              <w:bottom w:w="80" w:type="dxa"/>
              <w:start w:w="140" w:type="dxa"/>
              <w:end w:w="14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Calibri" w:hAnsi="Calibri" w:cs="Calibri"/>
                <w:b/>
                <w:i w:val="0"/>
                <w:color w:val="222B36"/>
                <w:sz w:val="19"/>
              </w:rPr>
              <w:t>+4,4% г/г</w:t>
            </w:r>
          </w:p>
          <w:p>
            <w:pPr>
              <w:spacing w:before="20" w:after="0"/>
            </w:pPr>
            <w:r>
              <w:rPr>
                <w:rFonts w:ascii="Calibri" w:hAnsi="Calibri" w:cs="Calibri"/>
                <w:b w:val="0"/>
                <w:i/>
                <w:color w:val="6B7785"/>
                <w:sz w:val="15"/>
              </w:rPr>
              <w:t>CBS</w:t>
            </w:r>
            <w:hyperlink r:id="rId15">
              <w:r>
                <w:rPr>
                  <w:color w:val="1155CC"/>
                  <w:sz w:val="15.0"/>
                  <w:rFonts w:ascii="Calibri" w:hAnsi="Calibri"/>
                  <w:u w:val="single"/>
                </w:rPr>
                <w:t xml:space="preserve">  ↗</w:t>
              </w:r>
            </w:hyperlink>
          </w:p>
        </w:tc>
      </w:tr>
      <w:tr>
        <w:tc>
          <w:tcPr>
            <w:tcW w:type="dxa" w:w="5669"/>
            <w:shd w:val="clear" w:color="auto" w:fill="FFFFFF"/>
            <w:tcMar>
              <w:top w:w="80" w:type="dxa"/>
              <w:bottom w:w="80" w:type="dxa"/>
              <w:start w:w="140" w:type="dxa"/>
              <w:end w:w="14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i w:val="0"/>
                <w:color w:val="222B36"/>
                <w:sz w:val="19"/>
              </w:rPr>
              <w:t>За месяц, в мае, цены на существующие дома выросли на 0,6% по сравнению с апрелем; индекс цен CBS достиг 154,9 (2020 = 100).</w:t>
            </w:r>
          </w:p>
        </w:tc>
        <w:tc>
          <w:tcPr>
            <w:tcW w:type="dxa" w:w="3855"/>
            <w:shd w:val="clear" w:color="auto" w:fill="FFFFFF"/>
            <w:tcMar>
              <w:top w:w="80" w:type="dxa"/>
              <w:bottom w:w="80" w:type="dxa"/>
              <w:start w:w="140" w:type="dxa"/>
              <w:end w:w="14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Calibri" w:hAnsi="Calibri" w:cs="Calibri"/>
                <w:b/>
                <w:i w:val="0"/>
                <w:color w:val="222B36"/>
                <w:sz w:val="19"/>
              </w:rPr>
              <w:t>+0,6% м/м</w:t>
            </w:r>
          </w:p>
          <w:p>
            <w:pPr>
              <w:spacing w:before="20" w:after="0"/>
            </w:pPr>
            <w:r>
              <w:rPr>
                <w:rFonts w:ascii="Calibri" w:hAnsi="Calibri" w:cs="Calibri"/>
                <w:b w:val="0"/>
                <w:i/>
                <w:color w:val="6B7785"/>
                <w:sz w:val="15"/>
              </w:rPr>
              <w:t>CBS</w:t>
            </w:r>
            <w:hyperlink r:id="rId16">
              <w:r>
                <w:rPr>
                  <w:color w:val="1155CC"/>
                  <w:sz w:val="15.0"/>
                  <w:rFonts w:ascii="Calibri" w:hAnsi="Calibri"/>
                  <w:u w:val="single"/>
                </w:rPr>
                <w:t xml:space="preserve">  ↗</w:t>
              </w:r>
            </w:hyperlink>
          </w:p>
        </w:tc>
      </w:tr>
      <w:tr>
        <w:tc>
          <w:tcPr>
            <w:tcW w:type="dxa" w:w="5669"/>
            <w:shd w:val="clear" w:color="auto" w:fill="F4F6F8"/>
            <w:tcMar>
              <w:top w:w="80" w:type="dxa"/>
              <w:bottom w:w="80" w:type="dxa"/>
              <w:start w:w="140" w:type="dxa"/>
              <w:end w:w="14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i w:val="0"/>
                <w:color w:val="222B36"/>
                <w:sz w:val="19"/>
              </w:rPr>
              <w:t>Средняя цена сделки по существующему дому в мае составила около 487 383 евро.</w:t>
            </w:r>
          </w:p>
        </w:tc>
        <w:tc>
          <w:tcPr>
            <w:tcW w:type="dxa" w:w="3855"/>
            <w:shd w:val="clear" w:color="auto" w:fill="F4F6F8"/>
            <w:tcMar>
              <w:top w:w="80" w:type="dxa"/>
              <w:bottom w:w="80" w:type="dxa"/>
              <w:start w:w="140" w:type="dxa"/>
              <w:end w:w="14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Calibri" w:hAnsi="Calibri" w:cs="Calibri"/>
                <w:b/>
                <w:i w:val="0"/>
                <w:color w:val="222B36"/>
                <w:sz w:val="19"/>
              </w:rPr>
              <w:t>≈ €487 383</w:t>
            </w:r>
          </w:p>
          <w:p>
            <w:pPr>
              <w:spacing w:before="20" w:after="0"/>
            </w:pPr>
            <w:r>
              <w:rPr>
                <w:rFonts w:ascii="Calibri" w:hAnsi="Calibri" w:cs="Calibri"/>
                <w:b w:val="0"/>
                <w:i/>
                <w:color w:val="6B7785"/>
                <w:sz w:val="15"/>
              </w:rPr>
              <w:t>CBS</w:t>
            </w:r>
            <w:hyperlink r:id="rId15">
              <w:r>
                <w:rPr>
                  <w:color w:val="1155CC"/>
                  <w:sz w:val="15.0"/>
                  <w:rFonts w:ascii="Calibri" w:hAnsi="Calibri"/>
                  <w:u w:val="single"/>
                </w:rPr>
                <w:t xml:space="preserve">  ↗</w:t>
              </w:r>
            </w:hyperlink>
          </w:p>
        </w:tc>
      </w:tr>
      <w:tr>
        <w:tc>
          <w:tcPr>
            <w:tcW w:type="dxa" w:w="5669"/>
            <w:shd w:val="clear" w:color="auto" w:fill="FFFFFF"/>
            <w:tcMar>
              <w:top w:w="80" w:type="dxa"/>
              <w:bottom w:w="80" w:type="dxa"/>
              <w:start w:w="140" w:type="dxa"/>
              <w:end w:w="14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i w:val="0"/>
                <w:color w:val="222B36"/>
                <w:sz w:val="19"/>
              </w:rPr>
              <w:t>Kadaster зарегистрировал 19 120 сделок с жильём в мае — на 2,5% меньше, чем годом ранее. За первые пять месяцев 2026 года продано 94 523 дома (+5% к 2025).</w:t>
            </w:r>
          </w:p>
        </w:tc>
        <w:tc>
          <w:tcPr>
            <w:tcW w:type="dxa" w:w="3855"/>
            <w:shd w:val="clear" w:color="auto" w:fill="FFFFFF"/>
            <w:tcMar>
              <w:top w:w="80" w:type="dxa"/>
              <w:bottom w:w="80" w:type="dxa"/>
              <w:start w:w="140" w:type="dxa"/>
              <w:end w:w="14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Calibri" w:hAnsi="Calibri" w:cs="Calibri"/>
                <w:b/>
                <w:i w:val="0"/>
                <w:color w:val="222B36"/>
                <w:sz w:val="19"/>
              </w:rPr>
              <w:t>19 120 сделок, −2,5% г/г</w:t>
            </w:r>
          </w:p>
          <w:p>
            <w:pPr>
              <w:spacing w:before="20" w:after="0"/>
            </w:pPr>
            <w:r>
              <w:rPr>
                <w:rFonts w:ascii="Calibri" w:hAnsi="Calibri" w:cs="Calibri"/>
                <w:b w:val="0"/>
                <w:i/>
                <w:color w:val="6B7785"/>
                <w:sz w:val="15"/>
              </w:rPr>
              <w:t>Kadaster</w:t>
            </w:r>
            <w:hyperlink r:id="rId17">
              <w:r>
                <w:rPr>
                  <w:color w:val="1155CC"/>
                  <w:sz w:val="15.0"/>
                  <w:rFonts w:ascii="Calibri" w:hAnsi="Calibri"/>
                  <w:u w:val="single"/>
                </w:rPr>
                <w:t xml:space="preserve">  ↗</w:t>
              </w:r>
            </w:hyperlink>
          </w:p>
        </w:tc>
      </w:tr>
    </w:tbl>
    <w:p>
      <w:pPr>
        <w:spacing w:before="0" w:after="40" w:line="269" w:lineRule="auto"/>
        <w:jc w:val="left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W w:type="dxa" w:w="9525"/>
      </w:tblPr>
      <w:tblGrid>
        <w:gridCol w:w="9972"/>
      </w:tblGrid>
      <w:tr>
        <w:tc>
          <w:tcPr>
            <w:tcW w:type="dxa" w:w="9524"/>
            <w:shd w:val="clear" w:color="auto" w:fill="EAF3EE"/>
            <w:tcMar>
              <w:top w:w="140" w:type="dxa"/>
              <w:bottom w:w="140" w:type="dxa"/>
              <w:start w:w="220" w:type="dxa"/>
              <w:end w:w="220" w:type="dxa"/>
              <w:left w:w="220" w:type="dxa"/>
              <w:right w:w="220" w:type="dxa"/>
            </w:tcMar>
            <w:tcBorders>
              <w:left w:val="single" w:sz="36" w:space="0" w:color="16846F"/>
            </w:tcBorders>
          </w:tcPr>
          <w:p>
            <w:pPr>
              <w:spacing w:after="40"/>
            </w:pPr>
            <w:r>
              <w:rPr>
                <w:rFonts w:ascii="Calibri" w:hAnsi="Calibri" w:cs="Calibri"/>
                <w:b/>
                <w:i w:val="0"/>
                <w:color w:val="105A4C"/>
                <w:sz w:val="18"/>
              </w:rPr>
              <w:t>ВЫВОД</w:t>
            </w:r>
          </w:p>
          <w:p>
            <w:pPr>
              <w:spacing w:after="0" w:line="269" w:lineRule="auto"/>
            </w:pPr>
            <w:r>
              <w:rPr>
                <w:rFonts w:ascii="Calibri" w:hAnsi="Calibri" w:cs="Calibri"/>
                <w:b w:val="0"/>
                <w:i w:val="0"/>
                <w:color w:val="222B36"/>
                <w:sz w:val="21"/>
              </w:rPr>
              <w:t>Цены продолжают расти, но темп умеренный, а число сделок чуть снизилось — рынок остаётся дорогим и плотным для покупателей. Новый закон даёт властям больше рычагов наращивать доступное жильё и ускорять стройку, но эффект проявится постепенно. Решение Hoge Raad по box 3 закрывает путь к компенсациям тем, кто не оспорил налог вовремя — сигнал владельцам активнее следить за налоговыми сроками.</w:t>
            </w:r>
          </w:p>
        </w:tc>
      </w:tr>
    </w:tbl>
    <w:p>
      <w:pPr>
        <w:spacing w:before="0" w:after="120" w:line="269" w:lineRule="auto"/>
        <w:jc w:val="left"/>
      </w:pPr>
    </w:p>
    <w:p>
      <w:pPr>
        <w:spacing w:before="200" w:after="0" w:line="269" w:lineRule="auto"/>
        <w:jc w:val="left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W w:type="dxa" w:w="9525"/>
      </w:tblPr>
      <w:tblGrid>
        <w:gridCol w:w="9972"/>
      </w:tblGrid>
      <w:tr>
        <w:tc>
          <w:tcPr>
            <w:tcW w:type="dxa" w:w="9524"/>
            <w:shd w:val="clear" w:color="auto" w:fill="C0791C"/>
            <w:tcMar>
              <w:top w:w="120" w:type="dxa"/>
              <w:bottom w:w="120" w:type="dxa"/>
              <w:start w:w="200" w:type="dxa"/>
              <w:end w:w="200" w:type="dxa"/>
              <w:left w:w="200" w:type="dxa"/>
              <w:right w:w="20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28"/>
              </w:rPr>
              <w:t>🏪  Коммерция (стрит-ритейл)</w:t>
            </w:r>
          </w:p>
        </w:tc>
      </w:tr>
    </w:tbl>
    <w:p>
      <w:pPr>
        <w:spacing w:before="200" w:after="60" w:line="269" w:lineRule="auto"/>
        <w:jc w:val="left"/>
        <w:pBdr>
          <w:bottom w:val="single" w:sz="6" w:space="2" w:color="D7DEE6"/>
        </w:pBdr>
      </w:pPr>
      <w:r>
        <w:rPr>
          <w:rFonts w:ascii="Calibri" w:hAnsi="Calibri" w:cs="Calibri"/>
          <w:b/>
          <w:i w:val="0"/>
          <w:color w:val="8A5510"/>
          <w:sz w:val="23"/>
        </w:rPr>
        <w:t>Новости</w:t>
      </w:r>
    </w:p>
    <w:p>
      <w:pPr>
        <w:spacing w:before="40" w:after="40" w:line="264" w:lineRule="auto"/>
        <w:ind w:left="283" w:hanging="198"/>
        <w:jc w:val="left"/>
      </w:pPr>
      <w:r>
        <w:rPr>
          <w:rFonts w:ascii="Calibri" w:hAnsi="Calibri" w:cs="Calibri"/>
          <w:b/>
          <w:i w:val="0"/>
          <w:color w:val="6B7785"/>
          <w:sz w:val="21"/>
        </w:rPr>
        <w:t xml:space="preserve">▪  </w:t>
      </w:r>
      <w:r>
        <w:rPr>
          <w:rFonts w:ascii="Calibri" w:hAnsi="Calibri" w:cs="Calibri"/>
          <w:b w:val="0"/>
          <w:i w:val="0"/>
          <w:color w:val="222B36"/>
          <w:sz w:val="21"/>
        </w:rPr>
        <w:t>Wereldhave подписал договоры аренды с шестью новыми ритейлерами в ТЦ Cityplaza в Нивегейне (Siebel, Ernsting's family, Let's Go Shoes, EsthetiQ, Hair &amp; Beauty Lavin, Sakura Cafe), усиливая блоки моды, обуви, общепита и beauty.</w:t>
      </w:r>
    </w:p>
    <w:p>
      <w:pPr>
        <w:spacing w:before="0" w:after="80" w:line="240" w:lineRule="auto"/>
        <w:ind w:left="283"/>
        <w:jc w:val="left"/>
      </w:pPr>
      <w:r>
        <w:rPr>
          <w:rFonts w:ascii="Calibri" w:hAnsi="Calibri" w:cs="Calibri"/>
          <w:b w:val="0"/>
          <w:i/>
          <w:color w:val="6B7785"/>
          <w:sz w:val="17"/>
        </w:rPr>
        <w:t xml:space="preserve">   📅 2026-06-23   •   Источник: Vastgoedjournaal</w:t>
      </w:r>
      <w:r>
        <w:rPr>
          <w:rFonts w:ascii="Calibri" w:hAnsi="Calibri" w:cs="Calibri"/>
          <w:b w:val="0"/>
          <w:i w:val="0"/>
          <w:color w:val="6B7785"/>
          <w:sz w:val="17"/>
        </w:rPr>
        <w:t xml:space="preserve">   </w:t>
      </w:r>
      <w:hyperlink r:id="rId18">
        <w:r>
          <w:rPr>
            <w:color w:val="1155CC"/>
            <w:sz w:val="17.0"/>
            <w:rFonts w:ascii="Calibri" w:hAnsi="Calibri"/>
            <w:u w:val="single"/>
          </w:rPr>
          <w:t xml:space="preserve">ссылка ↗</w:t>
        </w:r>
      </w:hyperlink>
    </w:p>
    <w:p>
      <w:pPr>
        <w:spacing w:before="40" w:after="40" w:line="264" w:lineRule="auto"/>
        <w:ind w:left="283" w:hanging="198"/>
        <w:jc w:val="left"/>
      </w:pPr>
      <w:r>
        <w:rPr>
          <w:rFonts w:ascii="Calibri" w:hAnsi="Calibri" w:cs="Calibri"/>
          <w:b/>
          <w:i w:val="0"/>
          <w:color w:val="6B7785"/>
          <w:sz w:val="21"/>
        </w:rPr>
        <w:t xml:space="preserve">▪  </w:t>
      </w:r>
      <w:r>
        <w:rPr>
          <w:rFonts w:ascii="Calibri" w:hAnsi="Calibri" w:cs="Calibri"/>
          <w:b w:val="0"/>
          <w:i w:val="0"/>
          <w:color w:val="222B36"/>
          <w:sz w:val="21"/>
        </w:rPr>
        <w:t>Wereldhave заключил договор аренды торговой площади с Van Uffelen Mode в ТЦ Middenwaard в Херхюговарде.</w:t>
      </w:r>
    </w:p>
    <w:p>
      <w:pPr>
        <w:spacing w:before="0" w:after="80" w:line="240" w:lineRule="auto"/>
        <w:ind w:left="283"/>
        <w:jc w:val="left"/>
      </w:pPr>
      <w:r>
        <w:rPr>
          <w:rFonts w:ascii="Calibri" w:hAnsi="Calibri" w:cs="Calibri"/>
          <w:b w:val="0"/>
          <w:i/>
          <w:color w:val="6B7785"/>
          <w:sz w:val="17"/>
        </w:rPr>
        <w:t xml:space="preserve">   📅 2026-06-25   •   Источник: Vastgoedjournaal</w:t>
      </w:r>
      <w:r>
        <w:rPr>
          <w:rFonts w:ascii="Calibri" w:hAnsi="Calibri" w:cs="Calibri"/>
          <w:b w:val="0"/>
          <w:i w:val="0"/>
          <w:color w:val="6B7785"/>
          <w:sz w:val="17"/>
        </w:rPr>
        <w:t xml:space="preserve">   </w:t>
      </w:r>
      <w:hyperlink r:id="rId19">
        <w:r>
          <w:rPr>
            <w:color w:val="1155CC"/>
            <w:sz w:val="17.0"/>
            <w:rFonts w:ascii="Calibri" w:hAnsi="Calibri"/>
            <w:u w:val="single"/>
          </w:rPr>
          <w:t xml:space="preserve">ссылка ↗</w:t>
        </w:r>
      </w:hyperlink>
    </w:p>
    <w:p>
      <w:pPr>
        <w:spacing w:before="40" w:after="40" w:line="264" w:lineRule="auto"/>
        <w:ind w:left="283" w:hanging="198"/>
        <w:jc w:val="left"/>
      </w:pPr>
      <w:r>
        <w:rPr>
          <w:rFonts w:ascii="Calibri" w:hAnsi="Calibri" w:cs="Calibri"/>
          <w:b/>
          <w:i w:val="0"/>
          <w:color w:val="6B7785"/>
          <w:sz w:val="21"/>
        </w:rPr>
        <w:t xml:space="preserve">▪  </w:t>
      </w:r>
      <w:r>
        <w:rPr>
          <w:rFonts w:ascii="Calibri" w:hAnsi="Calibri" w:cs="Calibri"/>
          <w:b w:val="0"/>
          <w:i w:val="0"/>
          <w:color w:val="222B36"/>
          <w:sz w:val="21"/>
        </w:rPr>
        <w:t>Сеть обувных магазинов Scapino открыла два новых магазина — в Дедемсварте и Керкраде; в Керкраде дебютировал новый концепт Sport XL.</w:t>
      </w:r>
    </w:p>
    <w:p>
      <w:pPr>
        <w:spacing w:before="0" w:after="80" w:line="240" w:lineRule="auto"/>
        <w:ind w:left="283"/>
        <w:jc w:val="left"/>
      </w:pPr>
      <w:r>
        <w:rPr>
          <w:rFonts w:ascii="Calibri" w:hAnsi="Calibri" w:cs="Calibri"/>
          <w:b w:val="0"/>
          <w:i/>
          <w:color w:val="6B7785"/>
          <w:sz w:val="17"/>
        </w:rPr>
        <w:t xml:space="preserve">   📅 2026-06-26   •   Источник: Vastgoedjournaal</w:t>
      </w:r>
      <w:r>
        <w:rPr>
          <w:rFonts w:ascii="Calibri" w:hAnsi="Calibri" w:cs="Calibri"/>
          <w:b w:val="0"/>
          <w:i w:val="0"/>
          <w:color w:val="6B7785"/>
          <w:sz w:val="17"/>
        </w:rPr>
        <w:t xml:space="preserve">   </w:t>
      </w:r>
      <w:hyperlink r:id="rId20">
        <w:r>
          <w:rPr>
            <w:color w:val="1155CC"/>
            <w:sz w:val="17.0"/>
            <w:rFonts w:ascii="Calibri" w:hAnsi="Calibri"/>
            <w:u w:val="single"/>
          </w:rPr>
          <w:t xml:space="preserve">ссылка ↗</w:t>
        </w:r>
      </w:hyperlink>
    </w:p>
    <w:p>
      <w:pPr>
        <w:spacing w:before="200" w:after="60" w:line="269" w:lineRule="auto"/>
        <w:jc w:val="left"/>
        <w:pBdr>
          <w:bottom w:val="single" w:sz="6" w:space="2" w:color="D7DEE6"/>
        </w:pBdr>
      </w:pPr>
      <w:r>
        <w:rPr>
          <w:rFonts w:ascii="Calibri" w:hAnsi="Calibri" w:cs="Calibri"/>
          <w:b/>
          <w:i w:val="0"/>
          <w:color w:val="8A5510"/>
          <w:sz w:val="23"/>
        </w:rPr>
        <w:t>Тренды</w:t>
      </w:r>
    </w:p>
    <w:p>
      <w:pPr>
        <w:spacing w:before="40" w:after="40" w:line="264" w:lineRule="auto"/>
        <w:ind w:left="283" w:hanging="198"/>
        <w:jc w:val="left"/>
      </w:pPr>
      <w:r>
        <w:rPr>
          <w:rFonts w:ascii="Calibri" w:hAnsi="Calibri" w:cs="Calibri"/>
          <w:b/>
          <w:i w:val="0"/>
          <w:color w:val="6B7785"/>
          <w:sz w:val="21"/>
        </w:rPr>
        <w:t xml:space="preserve">▪  </w:t>
      </w:r>
      <w:r>
        <w:rPr>
          <w:rFonts w:ascii="Calibri" w:hAnsi="Calibri" w:cs="Calibri"/>
          <w:b w:val="0"/>
          <w:i w:val="0"/>
          <w:color w:val="222B36"/>
          <w:sz w:val="21"/>
        </w:rPr>
        <w:t>ABN AMRO слегка снизил прогноз по сектору розницы Нидерландов: потребительские расходы пока стабильны, но затяжные экономические последствия конфликта на Ближнем Востоке могут давить на ритейл-рынок.</w:t>
      </w:r>
    </w:p>
    <w:p>
      <w:pPr>
        <w:spacing w:before="0" w:after="80" w:line="240" w:lineRule="auto"/>
        <w:ind w:left="283"/>
        <w:jc w:val="left"/>
      </w:pPr>
      <w:r>
        <w:rPr>
          <w:rFonts w:ascii="Calibri" w:hAnsi="Calibri" w:cs="Calibri"/>
          <w:b w:val="0"/>
          <w:i/>
          <w:color w:val="6B7785"/>
          <w:sz w:val="17"/>
        </w:rPr>
        <w:t xml:space="preserve">   📅 2026-06-23   •   Источник: Vastgoedjournaal / ABN AMRO</w:t>
      </w:r>
      <w:r>
        <w:rPr>
          <w:rFonts w:ascii="Calibri" w:hAnsi="Calibri" w:cs="Calibri"/>
          <w:b w:val="0"/>
          <w:i w:val="0"/>
          <w:color w:val="6B7785"/>
          <w:sz w:val="17"/>
        </w:rPr>
        <w:t xml:space="preserve">   </w:t>
      </w:r>
      <w:hyperlink r:id="rId21">
        <w:r>
          <w:rPr>
            <w:color w:val="1155CC"/>
            <w:sz w:val="17.0"/>
            <w:rFonts w:ascii="Calibri" w:hAnsi="Calibri"/>
            <w:u w:val="single"/>
          </w:rPr>
          <w:t xml:space="preserve">ссылка ↗</w:t>
        </w:r>
      </w:hyperlink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W w:type="dxa" w:w="9525"/>
      </w:tblPr>
      <w:tblGrid>
        <w:gridCol w:w="9972"/>
      </w:tblGrid>
      <w:tr>
        <w:tc>
          <w:tcPr>
            <w:tcW w:type="dxa" w:w="9524"/>
            <w:shd w:val="clear" w:color="auto" w:fill="EAF3EE"/>
            <w:tcMar>
              <w:top w:w="140" w:type="dxa"/>
              <w:bottom w:w="140" w:type="dxa"/>
              <w:start w:w="220" w:type="dxa"/>
              <w:end w:w="220" w:type="dxa"/>
              <w:left w:w="220" w:type="dxa"/>
              <w:right w:w="220" w:type="dxa"/>
            </w:tcMar>
            <w:tcBorders>
              <w:left w:val="single" w:sz="36" w:space="0" w:color="16846F"/>
            </w:tcBorders>
          </w:tcPr>
          <w:p>
            <w:pPr>
              <w:spacing w:after="40"/>
            </w:pPr>
            <w:r>
              <w:rPr>
                <w:rFonts w:ascii="Calibri" w:hAnsi="Calibri" w:cs="Calibri"/>
                <w:b/>
                <w:i w:val="0"/>
                <w:color w:val="105A4C"/>
                <w:sz w:val="18"/>
              </w:rPr>
              <w:t>ВЫВОД</w:t>
            </w:r>
          </w:p>
          <w:p>
            <w:pPr>
              <w:spacing w:after="0" w:line="269" w:lineRule="auto"/>
            </w:pPr>
            <w:r>
              <w:rPr>
                <w:rFonts w:ascii="Calibri" w:hAnsi="Calibri" w:cs="Calibri"/>
                <w:b w:val="0"/>
                <w:i w:val="0"/>
                <w:color w:val="222B36"/>
                <w:sz w:val="21"/>
              </w:rPr>
              <w:t>Спрос на торговые площади в качественных ТЦ остаётся живым — арендаторы активно занимают места и развивают новые концепты. При этом общий фон осторожный: внешние риски могут притормозить потребление, поэтому прогноз по рознице слегка понижен. Для собственников стрит-ритейла это значит ставку на сильные локации и устойчивых арендаторов.</w:t>
            </w:r>
          </w:p>
        </w:tc>
      </w:tr>
    </w:tbl>
    <w:p>
      <w:pPr>
        <w:spacing w:before="0" w:after="120" w:line="269" w:lineRule="auto"/>
        <w:jc w:val="left"/>
      </w:pPr>
    </w:p>
    <w:p>
      <w:pPr>
        <w:spacing w:before="200" w:after="0" w:line="269" w:lineRule="auto"/>
        <w:jc w:val="left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W w:type="dxa" w:w="9525"/>
      </w:tblPr>
      <w:tblGrid>
        <w:gridCol w:w="9972"/>
      </w:tblGrid>
      <w:tr>
        <w:tc>
          <w:tcPr>
            <w:tcW w:type="dxa" w:w="9524"/>
            <w:shd w:val="clear" w:color="auto" w:fill="2C5F8A"/>
            <w:tcMar>
              <w:top w:w="120" w:type="dxa"/>
              <w:bottom w:w="120" w:type="dxa"/>
              <w:start w:w="200" w:type="dxa"/>
              <w:end w:w="200" w:type="dxa"/>
              <w:left w:w="200" w:type="dxa"/>
              <w:right w:w="20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28"/>
              </w:rPr>
              <w:t>🏭  Индустриал (склады, промзоны)</w:t>
            </w:r>
          </w:p>
        </w:tc>
      </w:tr>
    </w:tbl>
    <w:p>
      <w:pPr>
        <w:spacing w:before="200" w:after="60" w:line="269" w:lineRule="auto"/>
        <w:jc w:val="left"/>
        <w:pBdr>
          <w:bottom w:val="single" w:sz="6" w:space="2" w:color="D7DEE6"/>
        </w:pBdr>
      </w:pPr>
      <w:r>
        <w:rPr>
          <w:rFonts w:ascii="Calibri" w:hAnsi="Calibri" w:cs="Calibri"/>
          <w:b/>
          <w:i w:val="0"/>
          <w:color w:val="1E4466"/>
          <w:sz w:val="23"/>
        </w:rPr>
        <w:t>Изменения в законах и регулировании</w:t>
      </w:r>
    </w:p>
    <w:p>
      <w:pPr>
        <w:spacing w:before="40" w:after="40" w:line="264" w:lineRule="auto"/>
        <w:ind w:left="283" w:hanging="198"/>
        <w:jc w:val="left"/>
      </w:pPr>
      <w:r>
        <w:rPr>
          <w:rFonts w:ascii="Calibri" w:hAnsi="Calibri" w:cs="Calibri"/>
          <w:b/>
          <w:i w:val="0"/>
          <w:color w:val="6B7785"/>
          <w:sz w:val="21"/>
        </w:rPr>
        <w:t xml:space="preserve">▪  </w:t>
      </w:r>
      <w:r>
        <w:rPr>
          <w:rFonts w:ascii="Calibri" w:hAnsi="Calibri" w:cs="Calibri"/>
          <w:b w:val="0"/>
          <w:i w:val="0"/>
          <w:color w:val="222B36"/>
          <w:sz w:val="21"/>
        </w:rPr>
        <w:t>С 1 июля 2026 в зонах netcongestie мелкие потребители (подключения до 3×80 А) теряют зарезервированную мощность и попадают в общую очередь — около 15 000 крупных потребителей уже в листах ожидания. Приоритет получают разгрузка сети (хранение/гибкое потребление), безопасность и экстренные службы, базовые нужды (жильё, образование, транспорт, теплоснабжение). Это бьёт по компаниям, которые хотят расширяться или электрифицироваться на bedrijventerreinen.</w:t>
      </w:r>
    </w:p>
    <w:p>
      <w:pPr>
        <w:spacing w:before="0" w:after="80" w:line="240" w:lineRule="auto"/>
        <w:ind w:left="283"/>
        <w:jc w:val="left"/>
      </w:pPr>
      <w:r>
        <w:rPr>
          <w:rFonts w:ascii="Calibri" w:hAnsi="Calibri" w:cs="Calibri"/>
          <w:b w:val="0"/>
          <w:i/>
          <w:color w:val="6B7785"/>
          <w:sz w:val="17"/>
        </w:rPr>
        <w:t xml:space="preserve">   📅 2026-06-24   •   Источник: VNO-NCW West</w:t>
      </w:r>
      <w:r>
        <w:rPr>
          <w:rFonts w:ascii="Calibri" w:hAnsi="Calibri" w:cs="Calibri"/>
          <w:b w:val="0"/>
          <w:i w:val="0"/>
          <w:color w:val="6B7785"/>
          <w:sz w:val="17"/>
        </w:rPr>
        <w:t xml:space="preserve">   </w:t>
      </w:r>
      <w:hyperlink r:id="rId22">
        <w:r>
          <w:rPr>
            <w:color w:val="1155CC"/>
            <w:sz w:val="17.0"/>
            <w:rFonts w:ascii="Calibri" w:hAnsi="Calibri"/>
            <w:u w:val="single"/>
          </w:rPr>
          <w:t xml:space="preserve">ссылка ↗</w:t>
        </w:r>
      </w:hyperlink>
    </w:p>
    <w:p>
      <w:pPr>
        <w:spacing w:before="40" w:after="40" w:line="264" w:lineRule="auto"/>
        <w:ind w:left="283" w:hanging="198"/>
        <w:jc w:val="left"/>
      </w:pPr>
      <w:r>
        <w:rPr>
          <w:rFonts w:ascii="Calibri" w:hAnsi="Calibri" w:cs="Calibri"/>
          <w:b/>
          <w:i w:val="0"/>
          <w:color w:val="6B7785"/>
          <w:sz w:val="21"/>
        </w:rPr>
        <w:t xml:space="preserve">▪  </w:t>
      </w:r>
      <w:r>
        <w:rPr>
          <w:rFonts w:ascii="Calibri" w:hAnsi="Calibri" w:cs="Calibri"/>
          <w:b w:val="0"/>
          <w:i w:val="0"/>
          <w:color w:val="222B36"/>
          <w:sz w:val="21"/>
        </w:rPr>
        <w:t>Кабинет представил пакет мер по азоту (stikstof) на 20 млрд евро, чтобы снять блокировку разрешений на стройку и энергоинфраструктуру. Вводится расчётная нижняя граница выбросов: проекты ниже неё не требуют разрешения. Вокруг ~100 чувствительных природных зон устанавливаются буферы 500–1000 м.</w:t>
      </w:r>
    </w:p>
    <w:p>
      <w:pPr>
        <w:spacing w:before="0" w:after="80" w:line="240" w:lineRule="auto"/>
        <w:ind w:left="283"/>
        <w:jc w:val="left"/>
      </w:pPr>
      <w:r>
        <w:rPr>
          <w:rFonts w:ascii="Calibri" w:hAnsi="Calibri" w:cs="Calibri"/>
          <w:b w:val="0"/>
          <w:i/>
          <w:color w:val="6B7785"/>
          <w:sz w:val="17"/>
        </w:rPr>
        <w:t xml:space="preserve">   📅 2026-06-26   •   Источник: Rijksoverheid</w:t>
      </w:r>
      <w:r>
        <w:rPr>
          <w:rFonts w:ascii="Calibri" w:hAnsi="Calibri" w:cs="Calibri"/>
          <w:b w:val="0"/>
          <w:i w:val="0"/>
          <w:color w:val="6B7785"/>
          <w:sz w:val="17"/>
        </w:rPr>
        <w:t xml:space="preserve">   </w:t>
      </w:r>
      <w:hyperlink r:id="rId23">
        <w:r>
          <w:rPr>
            <w:color w:val="1155CC"/>
            <w:sz w:val="17.0"/>
            <w:rFonts w:ascii="Calibri" w:hAnsi="Calibri"/>
            <w:u w:val="single"/>
          </w:rPr>
          <w:t xml:space="preserve">ссылка ↗</w:t>
        </w:r>
      </w:hyperlink>
    </w:p>
    <w:p>
      <w:pPr>
        <w:spacing w:before="200" w:after="60" w:line="269" w:lineRule="auto"/>
        <w:jc w:val="left"/>
        <w:pBdr>
          <w:bottom w:val="single" w:sz="6" w:space="2" w:color="D7DEE6"/>
        </w:pBdr>
      </w:pPr>
      <w:r>
        <w:rPr>
          <w:rFonts w:ascii="Calibri" w:hAnsi="Calibri" w:cs="Calibri"/>
          <w:b/>
          <w:i w:val="0"/>
          <w:color w:val="1E4466"/>
          <w:sz w:val="23"/>
        </w:rPr>
        <w:t>Новости</w:t>
      </w:r>
    </w:p>
    <w:p>
      <w:pPr>
        <w:spacing w:before="40" w:after="40" w:line="264" w:lineRule="auto"/>
        <w:ind w:left="283" w:hanging="198"/>
        <w:jc w:val="left"/>
      </w:pPr>
      <w:r>
        <w:rPr>
          <w:rFonts w:ascii="Calibri" w:hAnsi="Calibri" w:cs="Calibri"/>
          <w:b/>
          <w:i w:val="0"/>
          <w:color w:val="6B7785"/>
          <w:sz w:val="21"/>
        </w:rPr>
        <w:t xml:space="preserve">▪  </w:t>
      </w:r>
      <w:r>
        <w:rPr>
          <w:rFonts w:ascii="Calibri" w:hAnsi="Calibri" w:cs="Calibri"/>
          <w:b w:val="0"/>
          <w:i w:val="0"/>
          <w:color w:val="222B36"/>
          <w:sz w:val="21"/>
        </w:rPr>
        <w:t>ID Logistics Benelux строит новый распределительный центр в Тиле площадью более 52 000 кв. м (подрядчик Heembouw). Идут свайные работы перед летним перерывом; объект включает офисы и Innovationbox для логистических инноваций.</w:t>
      </w:r>
    </w:p>
    <w:p>
      <w:pPr>
        <w:spacing w:before="0" w:after="80" w:line="240" w:lineRule="auto"/>
        <w:ind w:left="283"/>
        <w:jc w:val="left"/>
      </w:pPr>
      <w:r>
        <w:rPr>
          <w:rFonts w:ascii="Calibri" w:hAnsi="Calibri" w:cs="Calibri"/>
          <w:b w:val="0"/>
          <w:i/>
          <w:color w:val="6B7785"/>
          <w:sz w:val="17"/>
        </w:rPr>
        <w:t xml:space="preserve">   📅 2026-06-24   •   Источник: Warehouse Totaal</w:t>
      </w:r>
      <w:r>
        <w:rPr>
          <w:rFonts w:ascii="Calibri" w:hAnsi="Calibri" w:cs="Calibri"/>
          <w:b w:val="0"/>
          <w:i w:val="0"/>
          <w:color w:val="6B7785"/>
          <w:sz w:val="17"/>
        </w:rPr>
        <w:t xml:space="preserve">   </w:t>
      </w:r>
      <w:hyperlink r:id="rId24">
        <w:r>
          <w:rPr>
            <w:color w:val="1155CC"/>
            <w:sz w:val="17.0"/>
            <w:rFonts w:ascii="Calibri" w:hAnsi="Calibri"/>
            <w:u w:val="single"/>
          </w:rPr>
          <w:t xml:space="preserve">ссылка ↗</w:t>
        </w:r>
      </w:hyperlink>
    </w:p>
    <w:p>
      <w:pPr>
        <w:spacing w:before="40" w:after="40" w:line="264" w:lineRule="auto"/>
        <w:ind w:left="283" w:hanging="198"/>
        <w:jc w:val="left"/>
      </w:pPr>
      <w:r>
        <w:rPr>
          <w:rFonts w:ascii="Calibri" w:hAnsi="Calibri" w:cs="Calibri"/>
          <w:b/>
          <w:i w:val="0"/>
          <w:color w:val="6B7785"/>
          <w:sz w:val="21"/>
        </w:rPr>
        <w:t xml:space="preserve">▪  </w:t>
      </w:r>
      <w:r>
        <w:rPr>
          <w:rFonts w:ascii="Calibri" w:hAnsi="Calibri" w:cs="Calibri"/>
          <w:b w:val="0"/>
          <w:i w:val="0"/>
          <w:color w:val="222B36"/>
          <w:sz w:val="21"/>
        </w:rPr>
        <w:t>Van der Helm Logistics строит распределительный центр около 100 000 кв. м на Logistiek Park Moerdijk с прямыми связями по дороге, воде и ж/д. Ввод запланирован на конец 2026 года; параллельно компания развивает ещё один DC у Схипхола.</w:t>
      </w:r>
    </w:p>
    <w:p>
      <w:pPr>
        <w:spacing w:before="0" w:after="80" w:line="240" w:lineRule="auto"/>
        <w:ind w:left="283"/>
        <w:jc w:val="left"/>
      </w:pPr>
      <w:r>
        <w:rPr>
          <w:rFonts w:ascii="Calibri" w:hAnsi="Calibri" w:cs="Calibri"/>
          <w:b w:val="0"/>
          <w:i/>
          <w:color w:val="6B7785"/>
          <w:sz w:val="17"/>
        </w:rPr>
        <w:t xml:space="preserve">   📅 2026-06-23   •   Источник: Warehouse Totaal</w:t>
      </w:r>
      <w:r>
        <w:rPr>
          <w:rFonts w:ascii="Calibri" w:hAnsi="Calibri" w:cs="Calibri"/>
          <w:b w:val="0"/>
          <w:i w:val="0"/>
          <w:color w:val="6B7785"/>
          <w:sz w:val="17"/>
        </w:rPr>
        <w:t xml:space="preserve">   </w:t>
      </w:r>
      <w:hyperlink r:id="rId25">
        <w:r>
          <w:rPr>
            <w:color w:val="1155CC"/>
            <w:sz w:val="17.0"/>
            <w:rFonts w:ascii="Calibri" w:hAnsi="Calibri"/>
            <w:u w:val="single"/>
          </w:rPr>
          <w:t xml:space="preserve">ссылка ↗</w:t>
        </w:r>
      </w:hyperlink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W w:type="dxa" w:w="9525"/>
      </w:tblPr>
      <w:tblGrid>
        <w:gridCol w:w="9972"/>
      </w:tblGrid>
      <w:tr>
        <w:tc>
          <w:tcPr>
            <w:tcW w:type="dxa" w:w="9524"/>
            <w:shd w:val="clear" w:color="auto" w:fill="EAF3EE"/>
            <w:tcMar>
              <w:top w:w="140" w:type="dxa"/>
              <w:bottom w:w="140" w:type="dxa"/>
              <w:start w:w="220" w:type="dxa"/>
              <w:end w:w="220" w:type="dxa"/>
              <w:left w:w="220" w:type="dxa"/>
              <w:right w:w="220" w:type="dxa"/>
            </w:tcMar>
            <w:tcBorders>
              <w:left w:val="single" w:sz="36" w:space="0" w:color="16846F"/>
            </w:tcBorders>
          </w:tcPr>
          <w:p>
            <w:pPr>
              <w:spacing w:after="40"/>
            </w:pPr>
            <w:r>
              <w:rPr>
                <w:rFonts w:ascii="Calibri" w:hAnsi="Calibri" w:cs="Calibri"/>
                <w:b/>
                <w:i w:val="0"/>
                <w:color w:val="105A4C"/>
                <w:sz w:val="18"/>
              </w:rPr>
              <w:t>ВЫВОД</w:t>
            </w:r>
          </w:p>
          <w:p>
            <w:pPr>
              <w:spacing w:after="0" w:line="269" w:lineRule="auto"/>
            </w:pPr>
            <w:r>
              <w:rPr>
                <w:rFonts w:ascii="Calibri" w:hAnsi="Calibri" w:cs="Calibri"/>
                <w:b w:val="0"/>
                <w:i w:val="0"/>
                <w:color w:val="222B36"/>
                <w:sz w:val="21"/>
              </w:rPr>
              <w:t>Главный фактор стоимости в индустриале сейчас — доступ к электромощности: с 1 июля правила ужесточаются, и объекты с готовым подключением будут заметно дороже остальных. Девелопмент крупных складов продолжается (ID Logistics, Van der Helm), но фокус смещается на площадки с готовой инфраструктурой. Пакет по азоту на 20 млрд евро может постепенно разблокировать стройку и энергосети — это позитив для сектора в среднесрочной перспективе.</w:t>
            </w:r>
          </w:p>
        </w:tc>
      </w:tr>
    </w:tbl>
    <w:p>
      <w:pPr>
        <w:spacing w:before="0" w:after="120" w:line="269" w:lineRule="auto"/>
        <w:jc w:val="left"/>
      </w:pPr>
    </w:p>
    <w:p>
      <w:pPr>
        <w:spacing w:before="200" w:after="0" w:line="269" w:lineRule="auto"/>
        <w:jc w:val="left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W w:type="dxa" w:w="9525"/>
      </w:tblPr>
      <w:tblGrid>
        <w:gridCol w:w="9972"/>
      </w:tblGrid>
      <w:tr>
        <w:tc>
          <w:tcPr>
            <w:tcW w:type="dxa" w:w="9524"/>
            <w:shd w:val="clear" w:color="auto" w:fill="5D6D7E"/>
            <w:tcMar>
              <w:top w:w="120" w:type="dxa"/>
              <w:bottom w:w="120" w:type="dxa"/>
              <w:start w:w="200" w:type="dxa"/>
              <w:end w:w="200" w:type="dxa"/>
              <w:left w:w="200" w:type="dxa"/>
              <w:right w:w="20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28"/>
              </w:rPr>
              <w:t>🔗  Источники</w:t>
            </w:r>
          </w:p>
        </w:tc>
      </w:tr>
    </w:tbl>
    <w:p>
      <w:pPr>
        <w:spacing w:before="0" w:after="40" w:line="269" w:lineRule="auto"/>
        <w:jc w:val="left"/>
      </w:pPr>
    </w:p>
    <w:p>
      <w:pPr>
        <w:spacing w:before="20" w:after="40" w:line="252" w:lineRule="auto"/>
        <w:ind w:left="283" w:hanging="198"/>
        <w:jc w:val="left"/>
      </w:pPr>
      <w:r>
        <w:rPr>
          <w:rFonts w:ascii="Calibri" w:hAnsi="Calibri" w:cs="Calibri"/>
          <w:b w:val="0"/>
          <w:i w:val="0"/>
          <w:color w:val="6B7785"/>
          <w:sz w:val="19"/>
        </w:rPr>
        <w:t xml:space="preserve">•  </w:t>
      </w:r>
      <w:r>
        <w:rPr>
          <w:rFonts w:ascii="Calibri" w:hAnsi="Calibri" w:cs="Calibri"/>
          <w:b w:val="0"/>
          <w:i w:val="0"/>
          <w:color w:val="222B36"/>
          <w:sz w:val="19"/>
        </w:rPr>
        <w:t xml:space="preserve">CBS — Статбюро Нидерландов  </w:t>
      </w:r>
      <w:hyperlink r:id="rId26">
        <w:r>
          <w:rPr>
            <w:color w:val="1155CC"/>
            <w:sz w:val="18"/>
            <w:rFonts w:ascii="Calibri" w:hAnsi="Calibri"/>
            <w:u w:val="single"/>
          </w:rPr>
          <w:t xml:space="preserve">https://www.cbs.nl</w:t>
        </w:r>
      </w:hyperlink>
    </w:p>
    <w:p>
      <w:pPr>
        <w:spacing w:before="20" w:after="40" w:line="252" w:lineRule="auto"/>
        <w:ind w:left="283" w:hanging="198"/>
        <w:jc w:val="left"/>
      </w:pPr>
      <w:r>
        <w:rPr>
          <w:rFonts w:ascii="Calibri" w:hAnsi="Calibri" w:cs="Calibri"/>
          <w:b w:val="0"/>
          <w:i w:val="0"/>
          <w:color w:val="6B7785"/>
          <w:sz w:val="19"/>
        </w:rPr>
        <w:t xml:space="preserve">•  </w:t>
      </w:r>
      <w:r>
        <w:rPr>
          <w:rFonts w:ascii="Calibri" w:hAnsi="Calibri" w:cs="Calibri"/>
          <w:b w:val="0"/>
          <w:i w:val="0"/>
          <w:color w:val="222B36"/>
          <w:sz w:val="19"/>
        </w:rPr>
        <w:t xml:space="preserve">Kadaster — кадастр  </w:t>
      </w:r>
      <w:hyperlink r:id="rId27">
        <w:r>
          <w:rPr>
            <w:color w:val="1155CC"/>
            <w:sz w:val="18"/>
            <w:rFonts w:ascii="Calibri" w:hAnsi="Calibri"/>
            <w:u w:val="single"/>
          </w:rPr>
          <w:t xml:space="preserve">https://www.kadaster.nl</w:t>
        </w:r>
      </w:hyperlink>
    </w:p>
    <w:p>
      <w:pPr>
        <w:spacing w:before="20" w:after="40" w:line="252" w:lineRule="auto"/>
        <w:ind w:left="283" w:hanging="198"/>
        <w:jc w:val="left"/>
      </w:pPr>
      <w:r>
        <w:rPr>
          <w:rFonts w:ascii="Calibri" w:hAnsi="Calibri" w:cs="Calibri"/>
          <w:b w:val="0"/>
          <w:i w:val="0"/>
          <w:color w:val="6B7785"/>
          <w:sz w:val="19"/>
        </w:rPr>
        <w:t xml:space="preserve">•  </w:t>
      </w:r>
      <w:r>
        <w:rPr>
          <w:rFonts w:ascii="Calibri" w:hAnsi="Calibri" w:cs="Calibri"/>
          <w:b w:val="0"/>
          <w:i w:val="0"/>
          <w:color w:val="222B36"/>
          <w:sz w:val="19"/>
        </w:rPr>
        <w:t xml:space="preserve">Eerste Kamer — Сенат  </w:t>
      </w:r>
      <w:hyperlink r:id="rId28">
        <w:r>
          <w:rPr>
            <w:color w:val="1155CC"/>
            <w:sz w:val="18"/>
            <w:rFonts w:ascii="Calibri" w:hAnsi="Calibri"/>
            <w:u w:val="single"/>
          </w:rPr>
          <w:t xml:space="preserve">https://www.eerstekamer.nl</w:t>
        </w:r>
      </w:hyperlink>
    </w:p>
    <w:p>
      <w:pPr>
        <w:spacing w:before="20" w:after="40" w:line="252" w:lineRule="auto"/>
        <w:ind w:left="283" w:hanging="198"/>
        <w:jc w:val="left"/>
      </w:pPr>
      <w:r>
        <w:rPr>
          <w:rFonts w:ascii="Calibri" w:hAnsi="Calibri" w:cs="Calibri"/>
          <w:b w:val="0"/>
          <w:i w:val="0"/>
          <w:color w:val="6B7785"/>
          <w:sz w:val="19"/>
        </w:rPr>
        <w:t xml:space="preserve">•  </w:t>
      </w:r>
      <w:r>
        <w:rPr>
          <w:rFonts w:ascii="Calibri" w:hAnsi="Calibri" w:cs="Calibri"/>
          <w:b w:val="0"/>
          <w:i w:val="0"/>
          <w:color w:val="222B36"/>
          <w:sz w:val="19"/>
        </w:rPr>
        <w:t xml:space="preserve">Rijksoverheid — правительство  </w:t>
      </w:r>
      <w:hyperlink r:id="rId29">
        <w:r>
          <w:rPr>
            <w:color w:val="1155CC"/>
            <w:sz w:val="18"/>
            <w:rFonts w:ascii="Calibri" w:hAnsi="Calibri"/>
            <w:u w:val="single"/>
          </w:rPr>
          <w:t xml:space="preserve">https://www.rijksoverheid.nl</w:t>
        </w:r>
      </w:hyperlink>
    </w:p>
    <w:p>
      <w:pPr>
        <w:spacing w:before="20" w:after="40" w:line="252" w:lineRule="auto"/>
        <w:ind w:left="283" w:hanging="198"/>
        <w:jc w:val="left"/>
      </w:pPr>
      <w:r>
        <w:rPr>
          <w:rFonts w:ascii="Calibri" w:hAnsi="Calibri" w:cs="Calibri"/>
          <w:b w:val="0"/>
          <w:i w:val="0"/>
          <w:color w:val="6B7785"/>
          <w:sz w:val="19"/>
        </w:rPr>
        <w:t xml:space="preserve">•  </w:t>
      </w:r>
      <w:r>
        <w:rPr>
          <w:rFonts w:ascii="Calibri" w:hAnsi="Calibri" w:cs="Calibri"/>
          <w:b w:val="0"/>
          <w:i w:val="0"/>
          <w:color w:val="222B36"/>
          <w:sz w:val="19"/>
        </w:rPr>
        <w:t xml:space="preserve">Vastgoedjournaal  </w:t>
      </w:r>
      <w:hyperlink r:id="rId30">
        <w:r>
          <w:rPr>
            <w:color w:val="1155CC"/>
            <w:sz w:val="18"/>
            <w:rFonts w:ascii="Calibri" w:hAnsi="Calibri"/>
            <w:u w:val="single"/>
          </w:rPr>
          <w:t xml:space="preserve">https://vastgoedjournaal.nl</w:t>
        </w:r>
      </w:hyperlink>
    </w:p>
    <w:p>
      <w:pPr>
        <w:spacing w:before="20" w:after="40" w:line="252" w:lineRule="auto"/>
        <w:ind w:left="283" w:hanging="198"/>
        <w:jc w:val="left"/>
      </w:pPr>
      <w:r>
        <w:rPr>
          <w:rFonts w:ascii="Calibri" w:hAnsi="Calibri" w:cs="Calibri"/>
          <w:b w:val="0"/>
          <w:i w:val="0"/>
          <w:color w:val="6B7785"/>
          <w:sz w:val="19"/>
        </w:rPr>
        <w:t xml:space="preserve">•  </w:t>
      </w:r>
      <w:r>
        <w:rPr>
          <w:rFonts w:ascii="Calibri" w:hAnsi="Calibri" w:cs="Calibri"/>
          <w:b w:val="0"/>
          <w:i w:val="0"/>
          <w:color w:val="222B36"/>
          <w:sz w:val="19"/>
        </w:rPr>
        <w:t xml:space="preserve">Warehouse Totaal  </w:t>
      </w:r>
      <w:hyperlink r:id="rId31">
        <w:r>
          <w:rPr>
            <w:color w:val="1155CC"/>
            <w:sz w:val="18"/>
            <w:rFonts w:ascii="Calibri" w:hAnsi="Calibri"/>
            <w:u w:val="single"/>
          </w:rPr>
          <w:t xml:space="preserve">https://www.warehousetotaal.nl</w:t>
        </w:r>
      </w:hyperlink>
    </w:p>
    <w:p>
      <w:pPr>
        <w:spacing w:before="20" w:after="40" w:line="252" w:lineRule="auto"/>
        <w:ind w:left="283" w:hanging="198"/>
        <w:jc w:val="left"/>
      </w:pPr>
      <w:r>
        <w:rPr>
          <w:rFonts w:ascii="Calibri" w:hAnsi="Calibri" w:cs="Calibri"/>
          <w:b w:val="0"/>
          <w:i w:val="0"/>
          <w:color w:val="6B7785"/>
          <w:sz w:val="19"/>
        </w:rPr>
        <w:t xml:space="preserve">•  </w:t>
      </w:r>
      <w:r>
        <w:rPr>
          <w:rFonts w:ascii="Calibri" w:hAnsi="Calibri" w:cs="Calibri"/>
          <w:b w:val="0"/>
          <w:i w:val="0"/>
          <w:color w:val="222B36"/>
          <w:sz w:val="19"/>
        </w:rPr>
        <w:t xml:space="preserve">VNO-NCW West  </w:t>
      </w:r>
      <w:hyperlink r:id="rId32">
        <w:r>
          <w:rPr>
            <w:color w:val="1155CC"/>
            <w:sz w:val="18"/>
            <w:rFonts w:ascii="Calibri" w:hAnsi="Calibri"/>
            <w:u w:val="single"/>
          </w:rPr>
          <w:t xml:space="preserve">https://www.vno-ncwwest.nl</w:t>
        </w:r>
      </w:hyperlink>
    </w:p>
    <w:p>
      <w:pPr>
        <w:spacing w:before="20" w:after="40" w:line="252" w:lineRule="auto"/>
        <w:ind w:left="283" w:hanging="198"/>
        <w:jc w:val="left"/>
      </w:pPr>
      <w:r>
        <w:rPr>
          <w:rFonts w:ascii="Calibri" w:hAnsi="Calibri" w:cs="Calibri"/>
          <w:b w:val="0"/>
          <w:i w:val="0"/>
          <w:color w:val="6B7785"/>
          <w:sz w:val="19"/>
        </w:rPr>
        <w:t xml:space="preserve">•  </w:t>
      </w:r>
      <w:r>
        <w:rPr>
          <w:rFonts w:ascii="Calibri" w:hAnsi="Calibri" w:cs="Calibri"/>
          <w:b w:val="0"/>
          <w:i w:val="0"/>
          <w:color w:val="222B36"/>
          <w:sz w:val="19"/>
        </w:rPr>
        <w:t xml:space="preserve">Accountancy Vanmorgen  </w:t>
      </w:r>
      <w:hyperlink r:id="rId33">
        <w:r>
          <w:rPr>
            <w:color w:val="1155CC"/>
            <w:sz w:val="18"/>
            <w:rFonts w:ascii="Calibri" w:hAnsi="Calibri"/>
            <w:u w:val="single"/>
          </w:rPr>
          <w:t xml:space="preserve">https://www.accountancyvanmorgen.nl</w:t>
        </w:r>
      </w:hyperlink>
    </w:p>
    <w:p>
      <w:pPr>
        <w:spacing w:before="20" w:after="40" w:line="252" w:lineRule="auto"/>
        <w:ind w:left="283" w:hanging="198"/>
        <w:jc w:val="left"/>
      </w:pPr>
      <w:r>
        <w:rPr>
          <w:rFonts w:ascii="Calibri" w:hAnsi="Calibri" w:cs="Calibri"/>
          <w:b w:val="0"/>
          <w:i w:val="0"/>
          <w:color w:val="6B7785"/>
          <w:sz w:val="19"/>
        </w:rPr>
        <w:t xml:space="preserve">•  </w:t>
      </w:r>
      <w:r>
        <w:rPr>
          <w:rFonts w:ascii="Calibri" w:hAnsi="Calibri" w:cs="Calibri"/>
          <w:b w:val="0"/>
          <w:i w:val="0"/>
          <w:color w:val="222B36"/>
          <w:sz w:val="19"/>
        </w:rPr>
        <w:t xml:space="preserve">Arom (woningbouw)  </w:t>
      </w:r>
      <w:hyperlink r:id="rId34">
        <w:r>
          <w:rPr>
            <w:color w:val="1155CC"/>
            <w:sz w:val="18"/>
            <w:rFonts w:ascii="Calibri" w:hAnsi="Calibri"/>
            <w:u w:val="single"/>
          </w:rPr>
          <w:t xml:space="preserve">https://www.arom.nl</w:t>
        </w:r>
      </w:hyperlink>
    </w:p>
    <w:p>
      <w:pPr>
        <w:spacing w:before="20" w:after="40" w:line="252" w:lineRule="auto"/>
        <w:ind w:left="283" w:hanging="198"/>
        <w:jc w:val="left"/>
      </w:pPr>
      <w:r>
        <w:rPr>
          <w:rFonts w:ascii="Calibri" w:hAnsi="Calibri" w:cs="Calibri"/>
          <w:b w:val="0"/>
          <w:i w:val="0"/>
          <w:color w:val="6B7785"/>
          <w:sz w:val="19"/>
        </w:rPr>
        <w:t xml:space="preserve">•  </w:t>
      </w:r>
      <w:r>
        <w:rPr>
          <w:rFonts w:ascii="Calibri" w:hAnsi="Calibri" w:cs="Calibri"/>
          <w:b w:val="0"/>
          <w:i w:val="0"/>
          <w:color w:val="222B36"/>
          <w:sz w:val="19"/>
        </w:rPr>
        <w:t xml:space="preserve">VTW  </w:t>
      </w:r>
      <w:hyperlink r:id="rId35">
        <w:r>
          <w:rPr>
            <w:color w:val="1155CC"/>
            <w:sz w:val="18"/>
            <w:rFonts w:ascii="Calibri" w:hAnsi="Calibri"/>
            <w:u w:val="single"/>
          </w:rPr>
          <w:t xml:space="preserve">https://vtw.nl</w:t>
        </w:r>
      </w:hyperlink>
    </w:p>
    <w:p>
      <w:pPr>
        <w:spacing w:before="200" w:after="0" w:line="269" w:lineRule="auto"/>
        <w:jc w:val="left"/>
      </w:pPr>
    </w:p>
    <w:p>
      <w:pPr>
        <w:spacing w:before="120" w:after="0" w:line="269" w:lineRule="auto"/>
        <w:jc w:val="left"/>
        <w:pBdr>
          <w:top w:val="single" w:sz="6" w:space="4" w:color="D7DEE6"/>
        </w:pBdr>
      </w:pPr>
      <w:r>
        <w:rPr>
          <w:rFonts w:ascii="Calibri" w:hAnsi="Calibri" w:cs="Calibri"/>
          <w:b w:val="0"/>
          <w:i/>
          <w:color w:val="6B7785"/>
          <w:sz w:val="16"/>
        </w:rPr>
        <w:t>Дисклеймер: материал носит информационно-аналитический характер, подготовлен на основе открытых источников и не является инвестиционной рекомендацией. Проверяйте данные по первоисточникам перед принятием решений.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6B7785"/>
        <w:sz w:val="16"/>
      </w:rPr>
      <w:t xml:space="preserve">Стр. </w:t>
      <w:fldChar w:fldCharType="begin"/>
      <w:instrText xml:space="preserve">PAGE</w:instrText>
      <w:fldChar w:fldCharType="end"/>
    </w:r>
    <w:r>
      <w:rPr>
        <w:rFonts w:ascii="Calibri" w:hAnsi="Calibri"/>
        <w:color w:val="6B7785"/>
        <w:sz w:val="16"/>
      </w:rPr>
      <w:t xml:space="preserve"> из </w:t>
      <w:fldChar w:fldCharType="begin"/>
      <w:instrText xml:space="preserve">NUMPAGES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 w:cs="Calibri"/>
        <w:b w:val="0"/>
        <w:i w:val="0"/>
        <w:color w:val="6B7785"/>
        <w:sz w:val="16"/>
      </w:rPr>
      <w:t>Недвижимость Нидерландов · 22–28 июня 2026 г.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/>
      <w:color w:val="222B36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www.eerstekamer.nl/nieuws/20260624/senaat_steunt_versterken_regie_op" TargetMode="External"/><Relationship Id="rId12" Type="http://schemas.openxmlformats.org/officeDocument/2006/relationships/hyperlink" Target="https://www.arom.nl/wet-versterking-regie-volkshuisvesting-aangenomen-kortere-procedures-woningbouw/" TargetMode="External"/><Relationship Id="rId13" Type="http://schemas.openxmlformats.org/officeDocument/2006/relationships/hyperlink" Target="https://www.accountancyvanmorgen.nl/2026/06/25/hoge-raad-geen-rechtsherstel-voor-niet-bezwaarmakers-in-box-3/" TargetMode="External"/><Relationship Id="rId14" Type="http://schemas.openxmlformats.org/officeDocument/2006/relationships/hyperlink" Target="https://vtw.nl/nieuws/politiek-nieuwsoverzicht-22-juni-2026" TargetMode="External"/><Relationship Id="rId15" Type="http://schemas.openxmlformats.org/officeDocument/2006/relationships/hyperlink" Target="https://www.cbs.nl/nl-nl/nieuws/2026/26/koopwoningen-in-mei-ruim-4-procent-duurder-dan-jaar-eerder" TargetMode="External"/><Relationship Id="rId16" Type="http://schemas.openxmlformats.org/officeDocument/2006/relationships/hyperlink" Target="https://www.cbs.nl/nl-nl/cijfers/detail/85773NED" TargetMode="External"/><Relationship Id="rId17" Type="http://schemas.openxmlformats.org/officeDocument/2006/relationships/hyperlink" Target="https://www.kadaster.nl/-/koopwoningen-in-mei-ruim-4-duurder-dan-jaar-eerder" TargetMode="External"/><Relationship Id="rId18" Type="http://schemas.openxmlformats.org/officeDocument/2006/relationships/hyperlink" Target="https://vastgoedjournaal.nl/news/73468/nieuwe-huurders-voor-cityplaza-nieuwegein" TargetMode="External"/><Relationship Id="rId19" Type="http://schemas.openxmlformats.org/officeDocument/2006/relationships/hyperlink" Target="https://vastgoedjournaal.nl/news/73484/van-uffelen-mode-naar-middenwaard-heerhugowaard" TargetMode="External"/><Relationship Id="rId20" Type="http://schemas.openxmlformats.org/officeDocument/2006/relationships/hyperlink" Target="https://vastgoedjournaal.nl/news/73511/scapino-opent-nieuwe-winkels-in-dedemsvaart-en-kerkrade" TargetMode="External"/><Relationship Id="rId21" Type="http://schemas.openxmlformats.org/officeDocument/2006/relationships/hyperlink" Target="https://vastgoedjournaal.nl/news/73460/retailvooruitzichten-licht-omlaag-door-nasleep-midden-oostenconflict" TargetMode="External"/><Relationship Id="rId22" Type="http://schemas.openxmlformats.org/officeDocument/2006/relationships/hyperlink" Target="https://www.vno-ncwwest.nl/nieuwe-regels-bij-netcongestie-vanaf-1-juli-2026-wat-betekent-dit-voor-ondernemers/" TargetMode="External"/><Relationship Id="rId23" Type="http://schemas.openxmlformats.org/officeDocument/2006/relationships/hyperlink" Target="https://www.rijksoverheid.nl/actueel/nieuws/2026/06/26/kabinet-haalt-nederland-van-het-stikstofslot-met-stevig-pakket-weer-ruimte-voor-boer-natuur-en-bouw" TargetMode="External"/><Relationship Id="rId24" Type="http://schemas.openxmlformats.org/officeDocument/2006/relationships/hyperlink" Target="https://www.warehousetotaal.nl/warehousing/logistiek-vastgoed/dit-wordt-het-nieuwe-distributiecentrum-van-id-logistics-in-nederland/144130/" TargetMode="External"/><Relationship Id="rId25" Type="http://schemas.openxmlformats.org/officeDocument/2006/relationships/hyperlink" Target="https://www.warehousetotaal.nl/warehousing/logistiek-vastgoed/bouw-100-000-m%C2%B2-groot-distributiecentrum-van-der-helm-logistics-vordert-gestaag-de-eerste-beelden/144110/" TargetMode="External"/><Relationship Id="rId26" Type="http://schemas.openxmlformats.org/officeDocument/2006/relationships/hyperlink" Target="https://www.cbs.nl" TargetMode="External"/><Relationship Id="rId27" Type="http://schemas.openxmlformats.org/officeDocument/2006/relationships/hyperlink" Target="https://www.kadaster.nl" TargetMode="External"/><Relationship Id="rId28" Type="http://schemas.openxmlformats.org/officeDocument/2006/relationships/hyperlink" Target="https://www.eerstekamer.nl" TargetMode="External"/><Relationship Id="rId29" Type="http://schemas.openxmlformats.org/officeDocument/2006/relationships/hyperlink" Target="https://www.rijksoverheid.nl" TargetMode="External"/><Relationship Id="rId30" Type="http://schemas.openxmlformats.org/officeDocument/2006/relationships/hyperlink" Target="https://vastgoedjournaal.nl" TargetMode="External"/><Relationship Id="rId31" Type="http://schemas.openxmlformats.org/officeDocument/2006/relationships/hyperlink" Target="https://www.warehousetotaal.nl" TargetMode="External"/><Relationship Id="rId32" Type="http://schemas.openxmlformats.org/officeDocument/2006/relationships/hyperlink" Target="https://www.vno-ncwwest.nl" TargetMode="External"/><Relationship Id="rId33" Type="http://schemas.openxmlformats.org/officeDocument/2006/relationships/hyperlink" Target="https://www.accountancyvanmorgen.nl" TargetMode="External"/><Relationship Id="rId34" Type="http://schemas.openxmlformats.org/officeDocument/2006/relationships/hyperlink" Target="https://www.arom.nl" TargetMode="External"/><Relationship Id="rId35" Type="http://schemas.openxmlformats.org/officeDocument/2006/relationships/hyperlink" Target="https://vtw.n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