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63F26" w:sz="10" w:space="6"/>
        </w:pBdr>
        <w:spacing w:after="180" w:before="0"/>
      </w:pPr>
      <w:r>
        <w:rPr>
          <w:rFonts w:ascii="PT Serif" w:cs="PT Serif" w:eastAsia="PT Serif" w:hAnsi="PT Serif"/>
          <w:b/>
          <w:bCs/>
          <w:color w:val="23303A"/>
          <w:sz w:val="32"/>
          <w:szCs w:val="32"/>
        </w:rPr>
        <w:t xml:space="preserve">1. В чём проблема</w:t>
      </w:r>
    </w:p>
    <w:p>
      <w:pPr>
        <w:spacing w:after="150" w:line="276" w:lineRule="auto"/>
        <w:jc w:val="both"/>
      </w:pPr>
      <w:r>
        <w:rPr>
          <w:rFonts w:ascii="PT Serif" w:cs="PT Serif" w:eastAsia="PT Serif" w:hAnsi="PT Serif"/>
          <w:color w:val="1E1C19"/>
          <w:sz w:val="20"/>
          <w:szCs w:val="20"/>
        </w:rPr>
        <w:t xml:space="preserve">В ТЦ «Амбар 1» на улице Ленина, 28 свободны три помещения — 515,4 м². Здание само по себе в порядке: продуктовый магазин, аптека, пекарня, пункт выдачи и цветы работают, рейтинг на Яндекс.Картах 4,4. Помещения не сдаются из-за того, как они продаются.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50"/>
        <w:gridCol w:w="1850"/>
        <w:gridCol w:w="1900"/>
        <w:gridCol w:w="4006"/>
      </w:tblGrid>
      <w:tr>
        <w:trPr>
          <w:tblHeader/>
        </w:trPr>
        <w:tc>
          <w:tcPr>
            <w:tcW w:type="dxa" w:w="235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Помещение</w:t>
            </w:r>
          </w:p>
        </w:tc>
        <w:tc>
          <w:tcPr>
            <w:tcW w:type="dxa" w:w="185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Просят сейчас</w:t>
            </w:r>
          </w:p>
        </w:tc>
        <w:tc>
          <w:tcPr>
            <w:tcW w:type="dxa" w:w="19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Рынок для этого этажа</w:t>
            </w:r>
          </w:p>
        </w:tc>
        <w:tc>
          <w:tcPr>
            <w:tcW w:type="dxa" w:w="400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Что не так</w:t>
            </w:r>
          </w:p>
        </w:tc>
      </w:tr>
      <w:tr>
        <w:trPr>
          <w:cantSplit/>
        </w:trPr>
        <w:tc>
          <w:tcPr>
            <w:tcW w:type="dxa" w:w="23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№1 — 430,5 м²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2 этаж, терраса</w:t>
            </w:r>
          </w:p>
        </w:tc>
        <w:tc>
          <w:tcPr>
            <w:tcW w:type="dxa" w:w="18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499 000 ₽/мес</w:t>
            </w:r>
          </w:p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13 909 ₽ за м² в год</w:t>
            </w:r>
          </w:p>
        </w:tc>
        <w:tc>
          <w:tcPr>
            <w:tcW w:type="dxa" w:w="1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16 500–18 500 ₽</w:t>
            </w:r>
          </w:p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за м² в год</w:t>
            </w:r>
          </w:p>
        </w:tc>
        <w:tc>
          <w:tcPr>
            <w:tcW w:type="dxa" w:w="40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Цена не мешает — она ниже рынка. Мешает продукт: залы разной отделки, терраса не обустроена, в объявлении четыре назначения сразу</w:t>
            </w:r>
          </w:p>
        </w:tc>
      </w:tr>
      <w:tr>
        <w:trPr>
          <w:cantSplit/>
        </w:trPr>
        <w:tc>
          <w:tcPr>
            <w:tcW w:type="dxa" w:w="23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№2 — 39,6 м²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2 этаж</w:t>
            </w:r>
          </w:p>
        </w:tc>
        <w:tc>
          <w:tcPr>
            <w:tcW w:type="dxa" w:w="18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8E3A22"/>
                <w:sz w:val="16"/>
                <w:szCs w:val="16"/>
              </w:rPr>
              <w:t xml:space="preserve">129 000 ₽/мес</w:t>
            </w:r>
          </w:p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8E3A22"/>
                <w:sz w:val="16"/>
                <w:szCs w:val="16"/>
              </w:rPr>
              <w:t xml:space="preserve">39 091 ₽ за м² в год</w:t>
            </w:r>
          </w:p>
        </w:tc>
        <w:tc>
          <w:tcPr>
            <w:tcW w:type="dxa" w:w="1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24 000–26 000 ₽</w:t>
            </w:r>
          </w:p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за м² в год</w:t>
            </w:r>
          </w:p>
        </w:tc>
        <w:tc>
          <w:tcPr>
            <w:tcW w:type="dxa" w:w="40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Дороже любого малого помещения второго этажа по соседству и дороже части помещений первого</w:t>
            </w:r>
          </w:p>
        </w:tc>
      </w:tr>
      <w:tr>
        <w:trPr>
          <w:cantSplit/>
        </w:trPr>
        <w:tc>
          <w:tcPr>
            <w:tcW w:type="dxa" w:w="235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№3 — 45,3 м²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3 этаж</w:t>
            </w:r>
          </w:p>
        </w:tc>
        <w:tc>
          <w:tcPr>
            <w:tcW w:type="dxa" w:w="185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8E3A22"/>
                <w:sz w:val="16"/>
                <w:szCs w:val="16"/>
              </w:rPr>
              <w:t xml:space="preserve">98 000 ₽/мес</w:t>
            </w:r>
          </w:p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8E3A22"/>
                <w:sz w:val="16"/>
                <w:szCs w:val="16"/>
              </w:rPr>
              <w:t xml:space="preserve">25 960 ₽ за м² в год</w:t>
            </w:r>
          </w:p>
        </w:tc>
        <w:tc>
          <w:tcPr>
            <w:tcW w:type="dxa" w:w="19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20 000–23 000 ₽</w:t>
            </w:r>
          </w:p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за м² в год</w:t>
            </w:r>
          </w:p>
        </w:tc>
        <w:tc>
          <w:tcPr>
            <w:tcW w:type="dxa" w:w="400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Продаётся как «офис», хотя внутри готовая бьюти-студия. Единственное похожее помещение на третьем этаже рядом стоит дешевле и не сдаётся почти год</w:t>
            </w:r>
          </w:p>
        </w:tc>
      </w:tr>
    </w:tbl>
    <w:p>
      <w:pPr>
        <w:spacing w:after="110" w:before="240"/>
      </w:pPr>
      <w:r>
        <w:rPr>
          <w:rFonts w:ascii="PT Sans" w:cs="PT Sans" w:eastAsia="PT Sans" w:hAnsi="PT Sans"/>
          <w:b/>
          <w:bCs/>
          <w:caps/>
          <w:color w:val="963F26"/>
          <w:spacing w:val="26"/>
          <w:sz w:val="18"/>
          <w:szCs w:val="18"/>
        </w:rPr>
        <w:t xml:space="preserve">Пять причин, по порядку важности</w:t>
      </w:r>
    </w:p>
    <w:p>
      <w:pPr>
        <w:tabs>
          <w:tab w:val="left" w:pos="340"/>
        </w:tabs>
        <w:spacing w:after="110" w:line="268" w:lineRule="auto"/>
        <w:ind w:left="340" w:hanging="340"/>
        <w:jc w:val="both"/>
      </w:pPr>
      <w:r>
        <w:rPr>
          <w:rFonts w:ascii="PT Sans" w:cs="PT Sans" w:eastAsia="PT Sans" w:hAnsi="PT Sans"/>
          <w:b/>
          <w:bCs/>
          <w:color w:val="963F26"/>
          <w:sz w:val="20"/>
          <w:szCs w:val="20"/>
        </w:rPr>
        <w:t xml:space="preserve">1	</w:t>
      </w:r>
      <w:r>
        <w:rPr>
          <w:rFonts w:ascii="PT Serif" w:cs="PT Serif" w:eastAsia="PT Serif" w:hAnsi="PT Serif"/>
          <w:b/>
          <w:bCs/>
          <w:color w:val="23303A"/>
          <w:sz w:val="20"/>
          <w:szCs w:val="20"/>
        </w:rPr>
        <w:t xml:space="preserve">Объявлений нет на ЦИАН. </w:t>
      </w:r>
      <w:r>
        <w:rPr>
          <w:rFonts w:ascii="PT Serif" w:cs="PT Serif" w:eastAsia="PT Serif" w:hAnsi="PT Serif"/>
          <w:color w:val="1E1C19"/>
          <w:sz w:val="19"/>
          <w:szCs w:val="19"/>
        </w:rPr>
        <w:t xml:space="preserve">Арендатор подбирает помещение на ЦИАН и Авито. По адресу Ленина, 28 там нет ни одного объявления — все три помещения висят только на сайте собственника. При этом соседний «Амбар 2» того же собственника на ЦИАН размещён. Сделка не срывается на переговорах — она просто не начинается.</w:t>
      </w:r>
    </w:p>
    <w:p>
      <w:pPr>
        <w:tabs>
          <w:tab w:val="left" w:pos="340"/>
        </w:tabs>
        <w:spacing w:after="110" w:line="268" w:lineRule="auto"/>
        <w:ind w:left="340" w:hanging="340"/>
        <w:jc w:val="both"/>
      </w:pPr>
      <w:r>
        <w:rPr>
          <w:rFonts w:ascii="PT Sans" w:cs="PT Sans" w:eastAsia="PT Sans" w:hAnsi="PT Sans"/>
          <w:b/>
          <w:bCs/>
          <w:color w:val="963F26"/>
          <w:sz w:val="20"/>
          <w:szCs w:val="20"/>
        </w:rPr>
        <w:t xml:space="preserve">2	</w:t>
      </w:r>
      <w:r>
        <w:rPr>
          <w:rFonts w:ascii="PT Serif" w:cs="PT Serif" w:eastAsia="PT Serif" w:hAnsi="PT Serif"/>
          <w:b/>
          <w:bCs/>
          <w:color w:val="23303A"/>
          <w:sz w:val="20"/>
          <w:szCs w:val="20"/>
        </w:rPr>
        <w:t xml:space="preserve">Цена не учитывает этаж. </w:t>
      </w:r>
      <w:r>
        <w:rPr>
          <w:rFonts w:ascii="PT Serif" w:cs="PT Serif" w:eastAsia="PT Serif" w:hAnsi="PT Serif"/>
          <w:color w:val="1E1C19"/>
          <w:sz w:val="19"/>
          <w:szCs w:val="19"/>
        </w:rPr>
        <w:t xml:space="preserve">Второй этаж в этой локации стоит примерно две трети первого: мимо двери никто не проходит случайно. По соседним предложениям граница видна чётко — по 24 000 ₽ за метр в год помещения сдаются за 2–4 месяца, по 30 000 стоят годами. №2 и №3 выставлены выше этой границы.</w:t>
      </w:r>
    </w:p>
    <w:p>
      <w:pPr>
        <w:tabs>
          <w:tab w:val="left" w:pos="340"/>
        </w:tabs>
        <w:spacing w:after="110" w:line="268" w:lineRule="auto"/>
        <w:ind w:left="340" w:hanging="340"/>
        <w:jc w:val="both"/>
      </w:pPr>
      <w:r>
        <w:rPr>
          <w:rFonts w:ascii="PT Sans" w:cs="PT Sans" w:eastAsia="PT Sans" w:hAnsi="PT Sans"/>
          <w:b/>
          <w:bCs/>
          <w:color w:val="963F26"/>
          <w:sz w:val="20"/>
          <w:szCs w:val="20"/>
        </w:rPr>
        <w:t xml:space="preserve">3	</w:t>
      </w:r>
      <w:r>
        <w:rPr>
          <w:rFonts w:ascii="PT Serif" w:cs="PT Serif" w:eastAsia="PT Serif" w:hAnsi="PT Serif"/>
          <w:b/>
          <w:bCs/>
          <w:color w:val="23303A"/>
          <w:sz w:val="20"/>
          <w:szCs w:val="20"/>
        </w:rPr>
        <w:t xml:space="preserve">В объявлениях написано не то, что продаётся. </w:t>
      </w:r>
      <w:r>
        <w:rPr>
          <w:rFonts w:ascii="PT Serif" w:cs="PT Serif" w:eastAsia="PT Serif" w:hAnsi="PT Serif"/>
          <w:color w:val="1E1C19"/>
          <w:sz w:val="19"/>
          <w:szCs w:val="19"/>
        </w:rPr>
        <w:t xml:space="preserve">№3 назван «офисом на первой линии», хотя офисного рынка в Ильинском нет. №2 назван «торговой площадью», хотя это комната без витрины. №1 предлагается сразу под офис, коворкинг, спорт и танцы — арендатор читает это как «собственник сам не знает, что у него».</w:t>
      </w:r>
    </w:p>
    <w:p>
      <w:pPr>
        <w:tabs>
          <w:tab w:val="left" w:pos="340"/>
        </w:tabs>
        <w:spacing w:after="110" w:line="268" w:lineRule="auto"/>
        <w:ind w:left="340" w:hanging="340"/>
        <w:jc w:val="both"/>
      </w:pPr>
      <w:r>
        <w:rPr>
          <w:rFonts w:ascii="PT Sans" w:cs="PT Sans" w:eastAsia="PT Sans" w:hAnsi="PT Sans"/>
          <w:b/>
          <w:bCs/>
          <w:color w:val="963F26"/>
          <w:sz w:val="20"/>
          <w:szCs w:val="20"/>
        </w:rPr>
        <w:t xml:space="preserve">4	</w:t>
      </w:r>
      <w:r>
        <w:rPr>
          <w:rFonts w:ascii="PT Serif" w:cs="PT Serif" w:eastAsia="PT Serif" w:hAnsi="PT Serif"/>
          <w:b/>
          <w:bCs/>
          <w:color w:val="23303A"/>
          <w:sz w:val="20"/>
          <w:szCs w:val="20"/>
        </w:rPr>
        <w:t xml:space="preserve">Нет условий аренды. </w:t>
      </w:r>
      <w:r>
        <w:rPr>
          <w:rFonts w:ascii="PT Serif" w:cs="PT Serif" w:eastAsia="PT Serif" w:hAnsi="PT Serif"/>
          <w:color w:val="1E1C19"/>
          <w:sz w:val="19"/>
          <w:szCs w:val="19"/>
        </w:rPr>
        <w:t xml:space="preserve">Ни в одном объявлении не указаны НДС, эксплуатационные и коммунальные платежи. Сетевой арендатор без этих цифр не может посчитать полную стоимость и не берёт объект в работу. В двух объявлениях к тому же стоит кадастровый номер соседнего здания.</w:t>
      </w:r>
    </w:p>
    <w:p>
      <w:pPr>
        <w:tabs>
          <w:tab w:val="left" w:pos="340"/>
        </w:tabs>
        <w:spacing w:after="110" w:line="268" w:lineRule="auto"/>
        <w:ind w:left="340" w:hanging="340"/>
        <w:jc w:val="both"/>
      </w:pPr>
      <w:r>
        <w:rPr>
          <w:rFonts w:ascii="PT Sans" w:cs="PT Sans" w:eastAsia="PT Sans" w:hAnsi="PT Sans"/>
          <w:b/>
          <w:bCs/>
          <w:color w:val="963F26"/>
          <w:sz w:val="20"/>
          <w:szCs w:val="20"/>
        </w:rPr>
        <w:t xml:space="preserve">5	</w:t>
      </w:r>
      <w:r>
        <w:rPr>
          <w:rFonts w:ascii="PT Serif" w:cs="PT Serif" w:eastAsia="PT Serif" w:hAnsi="PT Serif"/>
          <w:b/>
          <w:bCs/>
          <w:color w:val="23303A"/>
          <w:sz w:val="20"/>
          <w:szCs w:val="20"/>
        </w:rPr>
        <w:t xml:space="preserve">Сильные арендаторы ушли в соседнее здание. </w:t>
      </w:r>
      <w:r>
        <w:rPr>
          <w:rFonts w:ascii="PT Serif" w:cs="PT Serif" w:eastAsia="PT Serif" w:hAnsi="PT Serif"/>
          <w:color w:val="1E1C19"/>
          <w:sz w:val="19"/>
          <w:szCs w:val="19"/>
        </w:rPr>
        <w:t xml:space="preserve">ВкусВилл и «Ароматный Мир» открылись в «Амбаре 2». Самый сильный новый спрос достался соседу, а не свободным метрам в «Амбаре 1».</w:t>
      </w:r>
    </w:p>
    <w:p>
      <w:pPr>
        <w:pBdr>
          <w:top w:val="single" w:color="23303A" w:sz="10" w:space="8"/>
          <w:left w:val="single" w:color="FFFFFF" w:sz="2" w:space="8"/>
          <w:right w:val="single" w:color="FFFFFF" w:sz="2" w:space="8"/>
        </w:pBdr>
        <w:shd w:fill="EEF2F6" w:color="auto" w:val="clear"/>
        <w:spacing w:after="90" w:before="200"/>
      </w:pPr>
      <w:r>
        <w:rPr>
          <w:rFonts w:ascii="PT Sans" w:cs="PT Sans" w:eastAsia="PT Sans" w:hAnsi="PT Sans"/>
          <w:b/>
          <w:bCs/>
          <w:caps/>
          <w:color w:val="23303A"/>
          <w:spacing w:val="22"/>
          <w:sz w:val="18"/>
          <w:szCs w:val="18"/>
        </w:rPr>
        <w:t xml:space="preserve">Что изменить нельзя, но нужно учитывать</w:t>
      </w:r>
    </w:p>
    <w:p>
      <w:pPr>
        <w:pBdr>
          <w:bottom w:val="single" w:color="EEF2F6" w:sz="2" w:space="8"/>
          <w:left w:val="single" w:color="FFFFFF" w:sz="2" w:space="8"/>
          <w:right w:val="single" w:color="FFFFFF" w:sz="2" w:space="8"/>
        </w:pBdr>
        <w:shd w:fill="EEF2F6" w:color="auto" w:val="clear"/>
        <w:spacing w:after="150" w:line="270" w:lineRule="auto"/>
        <w:jc w:val="both"/>
      </w:pPr>
      <w:r>
        <w:rPr>
          <w:rFonts w:ascii="PT Serif" w:cs="PT Serif" w:eastAsia="PT Serif" w:hAnsi="PT Serif"/>
          <w:color w:val="1E1C19"/>
          <w:sz w:val="19"/>
          <w:szCs w:val="19"/>
        </w:rPr>
        <w:t xml:space="preserve">Дорога мимо объекта — одна полоса в каждую сторону. Парковка — 42 места на оба здания. Лифта нет, на лестницу есть жалобы. В 440 метрах работает ТЦ «Ильинский» со 120 парковочными местами. Всё это вместе — меньше четверти причин простоя. Остальные три четверти в руках собственника, и первые четыре причины из пяти устраняются за полтора месяца и около 350 тыс. ₽.</w:t>
      </w:r>
    </w:p>
    <w:p>
      <w:pPr>
        <w:pageBreakBefore/>
        <w:pBdr>
          <w:bottom w:val="single" w:color="963F26" w:sz="10" w:space="6"/>
        </w:pBdr>
        <w:spacing w:after="180" w:before="0"/>
      </w:pPr>
      <w:r>
        <w:rPr>
          <w:rFonts w:ascii="PT Serif" w:cs="PT Serif" w:eastAsia="PT Serif" w:hAnsi="PT Serif"/>
          <w:b/>
          <w:bCs/>
          <w:color w:val="23303A"/>
          <w:sz w:val="32"/>
          <w:szCs w:val="32"/>
        </w:rPr>
        <w:t xml:space="preserve">2. Список действий</w:t>
      </w:r>
    </w:p>
    <w:p>
      <w:pPr>
        <w:spacing w:after="150" w:line="276" w:lineRule="auto"/>
        <w:jc w:val="both"/>
      </w:pPr>
      <w:r>
        <w:rPr>
          <w:rFonts w:ascii="PT Serif" w:cs="PT Serif" w:eastAsia="PT Serif" w:hAnsi="PT Serif"/>
          <w:color w:val="1E1C19"/>
          <w:sz w:val="20"/>
          <w:szCs w:val="20"/>
        </w:rPr>
        <w:t xml:space="preserve">Двенадцать шагов на 90 дней. Первые две недели стоят почти ничего и дают больше всего: без них всё остальное не сработает.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500"/>
        <w:gridCol w:w="1400"/>
        <w:gridCol w:w="3206"/>
      </w:tblGrid>
      <w:tr>
        <w:trPr>
          <w:tblHeader/>
        </w:trPr>
        <w:tc>
          <w:tcPr>
            <w:tcW w:type="dxa" w:w="55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Что сделать</w:t>
            </w:r>
          </w:p>
        </w:tc>
        <w:tc>
          <w:tcPr>
            <w:tcW w:type="dxa" w:w="14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Сколько стоит</w:t>
            </w:r>
          </w:p>
        </w:tc>
        <w:tc>
          <w:tcPr>
            <w:tcW w:type="dxa" w:w="320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Зачем</w:t>
            </w:r>
          </w:p>
        </w:tc>
      </w:tr>
      <w:tr>
        <w:trPr>
          <w:cantSplit/>
        </w:trPr>
        <w:tc>
          <w:tcPr>
            <w:tcW w:type="dxa" w:w="5500"/>
            <w:tcBorders>
              <w:bottom w:val="single" w:color="E4DED4" w:sz="2"/>
            </w:tcBorders>
            <w:shd w:fill="F7F4EF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963F26"/>
                <w:sz w:val="16"/>
                <w:szCs w:val="16"/>
              </w:rPr>
              <w:t xml:space="preserve">Дни 1–14: цена и объявления</w:t>
            </w:r>
          </w:p>
        </w:tc>
        <w:tc>
          <w:tcPr>
            <w:tcW w:type="dxa" w:w="1400"/>
            <w:tcBorders>
              <w:bottom w:val="single" w:color="E4DED4" w:sz="2"/>
            </w:tcBorders>
            <w:shd w:fill="F7F4EF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/>
            </w:r>
          </w:p>
        </w:tc>
        <w:tc>
          <w:tcPr>
            <w:tcW w:type="dxa" w:w="3206"/>
            <w:tcBorders>
              <w:bottom w:val="single" w:color="E4DED4" w:sz="2"/>
            </w:tcBorders>
            <w:shd w:fill="F7F4EF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1. Снизить ставку: №2 — до 79–86 тыс. ₽/мес, №3 — до 76–87 тыс. ₽/мес. Цену №1 не трогать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0 ₽</w:t>
            </w:r>
          </w:p>
        </w:tc>
        <w:tc>
          <w:tcPr>
            <w:tcW w:type="dxa" w:w="32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Цена впервые совпадает с рынком</w:t>
            </w:r>
          </w:p>
        </w:tc>
      </w:tr>
      <w:tr>
        <w:trPr>
          <w:cantSplit/>
        </w:trPr>
        <w:tc>
          <w:tcPr>
            <w:tcW w:type="dxa" w:w="5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2. Дописать в каждое объявление НДС, эксплуатационные и коммунальные платежи, каникулы, индексацию, залог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0 ₽</w:t>
            </w:r>
          </w:p>
        </w:tc>
        <w:tc>
          <w:tcPr>
            <w:tcW w:type="dxa" w:w="32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Сетевой арендатор может посчитать объект</w:t>
            </w:r>
          </w:p>
        </w:tc>
      </w:tr>
      <w:tr>
        <w:trPr>
          <w:cantSplit/>
        </w:trPr>
        <w:tc>
          <w:tcPr>
            <w:tcW w:type="dxa" w:w="5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3. Переписать объявления: №3 — готовая бьюти- или медицинская студия; №2 — под услуги, без «торговой площади» и Wildberries; №1 — одно назначение вместо четырёх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~50 тыс. ₽</w:t>
            </w:r>
          </w:p>
        </w:tc>
        <w:tc>
          <w:tcPr>
            <w:tcW w:type="dxa" w:w="32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Арендатор узнаёт в тексте своё помещение</w:t>
            </w:r>
          </w:p>
        </w:tc>
      </w:tr>
      <w:tr>
        <w:trPr>
          <w:cantSplit/>
        </w:trPr>
        <w:tc>
          <w:tcPr>
            <w:tcW w:type="dxa" w:w="5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4. Заказать выписку ЕГРН и исправить кадастровый номер во всех объявлениях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~5 тыс. ₽</w:t>
            </w:r>
          </w:p>
        </w:tc>
        <w:tc>
          <w:tcPr>
            <w:tcW w:type="dxa" w:w="32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Юрист сети не остановит сделку</w:t>
            </w:r>
          </w:p>
        </w:tc>
      </w:tr>
      <w:tr>
        <w:trPr>
          <w:cantSplit/>
        </w:trPr>
        <w:tc>
          <w:tcPr>
            <w:tcW w:type="dxa" w:w="5500"/>
            <w:tcBorders>
              <w:bottom w:val="single" w:color="E4DED4" w:sz="2"/>
            </w:tcBorders>
            <w:shd w:fill="F7F4EF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963F26"/>
                <w:sz w:val="16"/>
                <w:szCs w:val="16"/>
              </w:rPr>
              <w:t xml:space="preserve">Дни 15–45: площадки и здание</w:t>
            </w:r>
          </w:p>
        </w:tc>
        <w:tc>
          <w:tcPr>
            <w:tcW w:type="dxa" w:w="1400"/>
            <w:tcBorders>
              <w:bottom w:val="single" w:color="E4DED4" w:sz="2"/>
            </w:tcBorders>
            <w:shd w:fill="F7F4EF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/>
            </w:r>
          </w:p>
        </w:tc>
        <w:tc>
          <w:tcPr>
            <w:tcW w:type="dxa" w:w="3206"/>
            <w:tcBorders>
              <w:bottom w:val="single" w:color="E4DED4" w:sz="2"/>
            </w:tcBorders>
            <w:shd w:fill="F7F4EF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5. Разместить все три помещения на ЦИАН, Авито и Яндекс.Недвижимости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~180 тыс. ₽</w:t>
            </w:r>
          </w:p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в год</w:t>
            </w:r>
          </w:p>
        </w:tc>
        <w:tc>
          <w:tcPr>
            <w:tcW w:type="dxa" w:w="32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Помещения появляются там, где их ищут</w:t>
            </w:r>
          </w:p>
        </w:tc>
      </w:tr>
      <w:tr>
        <w:trPr>
          <w:cantSplit/>
        </w:trPr>
        <w:tc>
          <w:tcPr>
            <w:tcW w:type="dxa" w:w="5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6. Профессиональная съёмка при дневном свете, планировки с размерами, визуализация террасы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~120 тыс. ₽</w:t>
            </w:r>
          </w:p>
        </w:tc>
        <w:tc>
          <w:tcPr>
            <w:tcW w:type="dxa" w:w="32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Вместо фотографий, которые отпугивают</w:t>
            </w:r>
          </w:p>
        </w:tc>
      </w:tr>
      <w:tr>
        <w:trPr>
          <w:cantSplit/>
        </w:trPr>
        <w:tc>
          <w:tcPr>
            <w:tcW w:type="dxa" w:w="5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7. Лестница: антискользящее покрытие, поручни, маркировка ступеней, свет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~350 тыс. ₽</w:t>
            </w:r>
          </w:p>
        </w:tc>
        <w:tc>
          <w:tcPr>
            <w:tcW w:type="dxa" w:w="32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Снят главный риск и главная жалоба в отзывах</w:t>
            </w:r>
          </w:p>
        </w:tc>
      </w:tr>
      <w:tr>
        <w:trPr>
          <w:cantSplit/>
        </w:trPr>
        <w:tc>
          <w:tcPr>
            <w:tcW w:type="dxa" w:w="5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8. Техническое заключение: можно ли поставить лифт и сколько это стоит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~100 тыс. ₽</w:t>
            </w:r>
          </w:p>
        </w:tc>
        <w:tc>
          <w:tcPr>
            <w:tcW w:type="dxa" w:w="32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Первый вопрос детских и медицинских арендаторов</w:t>
            </w:r>
          </w:p>
        </w:tc>
      </w:tr>
      <w:tr>
        <w:trPr>
          <w:cantSplit/>
        </w:trPr>
        <w:tc>
          <w:tcPr>
            <w:tcW w:type="dxa" w:w="5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9. Подключить 2–3 внешних брокеров на комиссию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комиссия</w:t>
            </w:r>
          </w:p>
        </w:tc>
        <w:tc>
          <w:tcPr>
            <w:tcW w:type="dxa" w:w="32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Больше каналов и взгляд со стороны</w:t>
            </w:r>
          </w:p>
        </w:tc>
      </w:tr>
      <w:tr>
        <w:trPr>
          <w:cantSplit/>
        </w:trPr>
        <w:tc>
          <w:tcPr>
            <w:tcW w:type="dxa" w:w="5500"/>
            <w:tcBorders>
              <w:bottom w:val="single" w:color="E4DED4" w:sz="2"/>
            </w:tcBorders>
            <w:shd w:fill="F7F4EF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963F26"/>
                <w:sz w:val="16"/>
                <w:szCs w:val="16"/>
              </w:rPr>
              <w:t xml:space="preserve">Дни 46–90: адресная работа</w:t>
            </w:r>
          </w:p>
        </w:tc>
        <w:tc>
          <w:tcPr>
            <w:tcW w:type="dxa" w:w="1400"/>
            <w:tcBorders>
              <w:bottom w:val="single" w:color="E4DED4" w:sz="2"/>
            </w:tcBorders>
            <w:shd w:fill="F7F4EF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/>
            </w:r>
          </w:p>
        </w:tc>
        <w:tc>
          <w:tcPr>
            <w:tcW w:type="dxa" w:w="3206"/>
            <w:tcBorders>
              <w:bottom w:val="single" w:color="E4DED4" w:sz="2"/>
            </w:tcBorders>
            <w:shd w:fill="F7F4EF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10. Обзвонить 26 компаний со списка на листе 3 с предложением под конкретное помещение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время</w:t>
            </w:r>
          </w:p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брокера</w:t>
            </w:r>
          </w:p>
        </w:tc>
        <w:tc>
          <w:tcPr>
            <w:tcW w:type="dxa" w:w="32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15 разговоров и 5 показов</w:t>
            </w:r>
          </w:p>
        </w:tc>
      </w:tr>
      <w:tr>
        <w:trPr>
          <w:cantSplit/>
        </w:trPr>
        <w:tc>
          <w:tcPr>
            <w:tcW w:type="dxa" w:w="5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11. Переговоры с якорным арендатором для №1: каникулы до 6 месяцев, участие в отделке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до 3,35 млн ₽</w:t>
            </w:r>
          </w:p>
        </w:tc>
        <w:tc>
          <w:tcPr>
            <w:tcW w:type="dxa" w:w="32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Якорь приводит трафик и для №2 и №3</w:t>
            </w:r>
          </w:p>
        </w:tc>
      </w:tr>
      <w:tr>
        <w:trPr>
          <w:cantSplit/>
        </w:trPr>
        <w:tc>
          <w:tcPr>
            <w:tcW w:type="dxa" w:w="55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12. Развести профили зданий: «Амбар 2» — торговля и сервис у дороги, «Амбар 1» — услуги, детское, здоровье</w:t>
            </w:r>
          </w:p>
        </w:tc>
        <w:tc>
          <w:tcPr>
            <w:tcW w:type="dxa" w:w="14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6"/>
                <w:szCs w:val="16"/>
              </w:rPr>
              <w:t xml:space="preserve">0 ₽</w:t>
            </w:r>
          </w:p>
        </w:tc>
        <w:tc>
          <w:tcPr>
            <w:tcW w:type="dxa" w:w="320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6"/>
                <w:szCs w:val="16"/>
              </w:rPr>
              <w:t xml:space="preserve">Здания перестают отбивать друг у друга арендаторов</w:t>
            </w:r>
          </w:p>
        </w:tc>
      </w:tr>
    </w:tbl>
    <w:p>
      <w:pPr>
        <w:pBdr>
          <w:top w:val="single" w:color="2F4A61" w:sz="10" w:space="8"/>
          <w:left w:val="single" w:color="FFFFFF" w:sz="2" w:space="8"/>
          <w:right w:val="single" w:color="FFFFFF" w:sz="2" w:space="8"/>
        </w:pBdr>
        <w:shd w:fill="EFF7F0" w:color="auto" w:val="clear"/>
        <w:spacing w:after="90" w:before="200"/>
      </w:pPr>
      <w:r>
        <w:rPr>
          <w:rFonts w:ascii="PT Sans" w:cs="PT Sans" w:eastAsia="PT Sans" w:hAnsi="PT Sans"/>
          <w:b/>
          <w:bCs/>
          <w:caps/>
          <w:color w:val="2F4A61"/>
          <w:spacing w:val="22"/>
          <w:sz w:val="18"/>
          <w:szCs w:val="18"/>
        </w:rPr>
        <w:t xml:space="preserve">Что это даёт в деньгах</w:t>
      </w:r>
    </w:p>
    <w:p>
      <w:pPr>
        <w:pBdr>
          <w:left w:val="single" w:color="FFFFFF" w:sz="2" w:space="8"/>
          <w:right w:val="single" w:color="FFFFFF" w:sz="2" w:space="8"/>
        </w:pBdr>
        <w:shd w:fill="EFF7F0" w:color="auto" w:val="clear"/>
        <w:spacing w:after="90" w:line="270" w:lineRule="auto"/>
        <w:jc w:val="both"/>
      </w:pPr>
      <w:r>
        <w:rPr>
          <w:rFonts w:ascii="PT Serif" w:cs="PT Serif" w:eastAsia="PT Serif" w:hAnsi="PT Serif"/>
          <w:color w:val="1E1C19"/>
          <w:sz w:val="19"/>
          <w:szCs w:val="19"/>
        </w:rPr>
        <w:t xml:space="preserve">Ничего не делать — минус 0,34 млн ₽ за три года: содержание пустых метров съедает всё, что принесёт поздняя сдача. Шаги 1–6 — около 350 тыс. ₽ вложений и плюс 5,69 млн ₽. Якорь в №1 — 3,35 млн ₽ вложений и плюс 8,62 млн ₽.</w:t>
      </w:r>
    </w:p>
    <w:p>
      <w:pPr>
        <w:pBdr>
          <w:bottom w:val="single" w:color="EFF7F0" w:sz="2" w:space="8"/>
          <w:left w:val="single" w:color="FFFFFF" w:sz="2" w:space="8"/>
          <w:right w:val="single" w:color="FFFFFF" w:sz="2" w:space="8"/>
        </w:pBdr>
        <w:shd w:fill="EFF7F0" w:color="auto" w:val="clear"/>
        <w:spacing w:after="150" w:line="270" w:lineRule="auto"/>
        <w:jc w:val="both"/>
      </w:pPr>
      <w:r>
        <w:rPr>
          <w:rFonts w:ascii="PT Serif" w:cs="PT Serif" w:eastAsia="PT Serif" w:hAnsi="PT Serif"/>
          <w:color w:val="1E1C19"/>
          <w:sz w:val="19"/>
          <w:szCs w:val="19"/>
        </w:rPr>
        <w:t xml:space="preserve">Суммы — сколько объект заработает за три года сверх вложений, в пересчёте на сегодняшние деньги.</w:t>
      </w:r>
    </w:p>
    <w:p>
      <w:pPr>
        <w:pageBreakBefore/>
        <w:pBdr>
          <w:bottom w:val="single" w:color="963F26" w:sz="10" w:space="6"/>
        </w:pBdr>
        <w:spacing w:after="180" w:before="0"/>
      </w:pPr>
      <w:r>
        <w:rPr>
          <w:rFonts w:ascii="PT Serif" w:cs="PT Serif" w:eastAsia="PT Serif" w:hAnsi="PT Serif"/>
          <w:b/>
          <w:bCs/>
          <w:color w:val="23303A"/>
          <w:sz w:val="32"/>
          <w:szCs w:val="32"/>
        </w:rPr>
        <w:t xml:space="preserve">3. Нужные арендаторы</w:t>
      </w:r>
    </w:p>
    <w:p>
      <w:pPr>
        <w:spacing w:after="150" w:line="276" w:lineRule="auto"/>
        <w:jc w:val="both"/>
      </w:pPr>
      <w:r>
        <w:rPr>
          <w:rFonts w:ascii="PT Serif" w:cs="PT Serif" w:eastAsia="PT Serif" w:hAnsi="PT Serif"/>
          <w:color w:val="1E1C19"/>
          <w:sz w:val="20"/>
          <w:szCs w:val="20"/>
        </w:rPr>
        <w:t xml:space="preserve">Правило, которое видно у соседей: наверх идут небольшие форматы, к которым едут целенаправленно или по записи, — красота и спа, медицина, спорт, детские занятия, бытовые услуги. Витрина им не нужна. Из товаров на второй этаж поднимаются только узкие магазины — бельё, детская обувь, электроника. Третий этаж у соседей занимают только услуги.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00"/>
        <w:gridCol w:w="3900"/>
        <w:gridCol w:w="4106"/>
      </w:tblGrid>
      <w:tr>
        <w:trPr>
          <w:tblHeader/>
        </w:trPr>
        <w:tc>
          <w:tcPr>
            <w:tcW w:type="dxa" w:w="21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5"/>
                <w:szCs w:val="15"/>
              </w:rPr>
              <w:t xml:space="preserve">Помещение</w:t>
            </w:r>
          </w:p>
        </w:tc>
        <w:tc>
          <w:tcPr>
            <w:tcW w:type="dxa" w:w="39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5"/>
                <w:szCs w:val="15"/>
              </w:rPr>
              <w:t xml:space="preserve">Кого искать</w:t>
            </w:r>
          </w:p>
        </w:tc>
        <w:tc>
          <w:tcPr>
            <w:tcW w:type="dxa" w:w="410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5"/>
                <w:szCs w:val="15"/>
              </w:rPr>
              <w:t xml:space="preserve">Кому звонить первым</w:t>
            </w:r>
          </w:p>
        </w:tc>
      </w:tr>
      <w:tr>
        <w:trPr>
          <w:cantSplit/>
        </w:trPr>
        <w:tc>
          <w:tcPr>
            <w:tcW w:type="dxa" w:w="2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8"/>
                <w:szCs w:val="18"/>
              </w:rPr>
              <w:t xml:space="preserve">№1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8"/>
                <w:szCs w:val="18"/>
              </w:rPr>
              <w:t xml:space="preserve">430,5 м², 2 этаж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8"/>
                <w:szCs w:val="18"/>
              </w:rPr>
              <w:t xml:space="preserve">терраса, потолки 3,9 м</w:t>
            </w:r>
          </w:p>
        </w:tc>
        <w:tc>
          <w:tcPr>
            <w:tcW w:type="dxa" w:w="3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8"/>
                <w:szCs w:val="18"/>
              </w:rPr>
              <w:t xml:space="preserve">Целиком: частный детский сад или детский клуб — терраса становится прогулочной зоной, которой нет у соседей; бьюти-коворкинг на 15–20 мест.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8"/>
                <w:szCs w:val="18"/>
              </w:rPr>
              <w:t xml:space="preserve"/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8"/>
                <w:szCs w:val="18"/>
              </w:rPr>
              <w:t xml:space="preserve">Блоками по 60–200 м²: студия пилатеса или фитнеса, лаборатория, детский центр, шоурум кухонь</w:t>
            </w:r>
          </w:p>
        </w:tc>
        <w:tc>
          <w:tcPr>
            <w:tcW w:type="dxa" w:w="41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8"/>
                <w:szCs w:val="18"/>
              </w:rPr>
              <w:t xml:space="preserve">Бэби-клуб / Бэби-сад, SoloSalon — целиком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8"/>
                <w:szCs w:val="18"/>
              </w:rPr>
              <w:t xml:space="preserve">Art of Pilates, Pilates Life — блок 150 м²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8"/>
                <w:szCs w:val="18"/>
              </w:rPr>
              <w:t xml:space="preserve">Гемотест — блок 60–90 м²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8"/>
                <w:szCs w:val="18"/>
              </w:rPr>
              <w:t xml:space="preserve">«Сёма», «Чемпионика» — детское и спорт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8"/>
                <w:szCs w:val="18"/>
              </w:rPr>
              <w:t xml:space="preserve">GLOW — бьюти-коворкинг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8"/>
                <w:szCs w:val="18"/>
              </w:rPr>
              <w:t xml:space="preserve">«Кухонный Двор», кухни «Мария»</w:t>
            </w:r>
          </w:p>
        </w:tc>
      </w:tr>
      <w:tr>
        <w:trPr>
          <w:cantSplit/>
        </w:trPr>
        <w:tc>
          <w:tcPr>
            <w:tcW w:type="dxa" w:w="2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8"/>
                <w:szCs w:val="18"/>
              </w:rPr>
              <w:t xml:space="preserve">№2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8"/>
                <w:szCs w:val="18"/>
              </w:rPr>
              <w:t xml:space="preserve">39,6 м², 2 этаж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8"/>
                <w:szCs w:val="18"/>
              </w:rPr>
              <w:t xml:space="preserve">мокрая точка</w:t>
            </w:r>
          </w:p>
        </w:tc>
        <w:tc>
          <w:tcPr>
            <w:tcW w:type="dxa" w:w="3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8"/>
                <w:szCs w:val="18"/>
              </w:rPr>
              <w:t xml:space="preserve">Маникюр, барбершоп, ремонт электроники — небольшие форматы, которым хватает 40 метров и мокрой точки. Второй вариант — узкий магазин вроде белья или детской обуви: такие уже работают на втором этаже у соседей в Горках-2</w:t>
            </w:r>
          </w:p>
        </w:tc>
        <w:tc>
          <w:tcPr>
            <w:tcW w:type="dxa" w:w="41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8"/>
                <w:szCs w:val="18"/>
              </w:rPr>
              <w:t xml:space="preserve">4hands, «Пальчики» — маникюр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8"/>
                <w:szCs w:val="18"/>
              </w:rPr>
              <w:t xml:space="preserve">TOPGUN, OldBoy, BRITVA — барбершопы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8"/>
                <w:szCs w:val="18"/>
              </w:rPr>
              <w:t xml:space="preserve">Pedant.ru — ремонт электроники</w:t>
            </w:r>
          </w:p>
        </w:tc>
      </w:tr>
      <w:tr>
        <w:trPr>
          <w:cantSplit/>
        </w:trPr>
        <w:tc>
          <w:tcPr>
            <w:tcW w:type="dxa" w:w="21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8"/>
                <w:szCs w:val="18"/>
              </w:rPr>
              <w:t xml:space="preserve">№3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8"/>
                <w:szCs w:val="18"/>
              </w:rPr>
              <w:t xml:space="preserve">45,3 м², 3 этаж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8"/>
                <w:szCs w:val="18"/>
              </w:rPr>
              <w:t xml:space="preserve">готовая отделка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8"/>
                <w:szCs w:val="18"/>
              </w:rPr>
              <w:t xml:space="preserve">бьюти-студии</w:t>
            </w:r>
          </w:p>
        </w:tc>
        <w:tc>
          <w:tcPr>
            <w:tcW w:type="dxa" w:w="39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8"/>
                <w:szCs w:val="18"/>
              </w:rPr>
              <w:t xml:space="preserve">Косметология и лазерная эпиляция — заезд почти без вложений. Также лаборатория, языковая школа, детское IT-образование, ветклиника</w:t>
            </w:r>
          </w:p>
        </w:tc>
        <w:tc>
          <w:tcPr>
            <w:tcW w:type="dxa" w:w="410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8"/>
                <w:szCs w:val="18"/>
              </w:rPr>
              <w:t xml:space="preserve">Laser Love, «ТОЧКА красоты»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8"/>
                <w:szCs w:val="18"/>
              </w:rPr>
              <w:t xml:space="preserve">KDL — лаборатория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8"/>
                <w:szCs w:val="18"/>
              </w:rPr>
              <w:t xml:space="preserve">«Полиглотики», «Алгоритмика»</w:t>
            </w:r>
          </w:p>
          <w:p>
            <w:pPr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8"/>
                <w:szCs w:val="18"/>
              </w:rPr>
              <w:t xml:space="preserve">«Свой Доктор» — ветклиника</w:t>
            </w:r>
          </w:p>
        </w:tc>
      </w:tr>
    </w:tbl>
    <w:p>
      <w:pPr>
        <w:spacing w:after="0" w:before="160"/>
      </w:pPr>
    </w:p>
    <w:p>
      <w:pPr>
        <w:spacing w:after="140" w:line="276" w:lineRule="auto"/>
        <w:jc w:val="both"/>
      </w:pPr>
      <w:r>
        <w:rPr>
          <w:rFonts w:ascii="PT Serif" w:cs="PT Serif" w:eastAsia="PT Serif" w:hAnsi="PT Serif"/>
          <w:color w:val="1E1C19"/>
          <w:sz w:val="19"/>
          <w:szCs w:val="19"/>
        </w:rPr>
        <w:t xml:space="preserve">Главный довод в разговоре с медицинскими и детскими сетями: здание нежилое, поэтому лицензия на втором этаже возможна — встроенные помещения в соседних жилых комплексах этого дать не могут. Первым вопросом у них будет лифт, поэтому ответ по шагу 8 нужен до показа.</w:t>
      </w:r>
    </w:p>
    <w:p>
      <w:pPr>
        <w:pBdr>
          <w:top w:val="single" w:color="8E3A22" w:sz="10" w:space="8"/>
          <w:left w:val="single" w:color="FFFFFF" w:sz="2" w:space="8"/>
          <w:right w:val="single" w:color="FFFFFF" w:sz="2" w:space="8"/>
        </w:pBdr>
        <w:shd w:fill="FDF0F0" w:color="auto" w:val="clear"/>
        <w:spacing w:after="90" w:before="200"/>
      </w:pPr>
      <w:r>
        <w:rPr>
          <w:rFonts w:ascii="PT Sans" w:cs="PT Sans" w:eastAsia="PT Sans" w:hAnsi="PT Sans"/>
          <w:b/>
          <w:bCs/>
          <w:caps/>
          <w:color w:val="8E3A22"/>
          <w:spacing w:val="22"/>
          <w:sz w:val="18"/>
          <w:szCs w:val="18"/>
        </w:rPr>
        <w:t xml:space="preserve">Кого звать не нужно</w:t>
      </w:r>
    </w:p>
    <w:p>
      <w:pPr>
        <w:pBdr>
          <w:bottom w:val="single" w:color="FDF0F0" w:sz="2" w:space="8"/>
          <w:left w:val="single" w:color="FFFFFF" w:sz="2" w:space="8"/>
          <w:right w:val="single" w:color="FFFFFF" w:sz="2" w:space="8"/>
        </w:pBdr>
        <w:shd w:fill="FDF0F0" w:color="auto" w:val="clear"/>
        <w:spacing w:after="150" w:line="270" w:lineRule="auto"/>
        <w:jc w:val="both"/>
      </w:pPr>
      <w:r>
        <w:rPr>
          <w:rFonts w:ascii="PT Serif" w:cs="PT Serif" w:eastAsia="PT Serif" w:hAnsi="PT Serif"/>
          <w:color w:val="1E1C19"/>
          <w:sz w:val="19"/>
          <w:szCs w:val="19"/>
        </w:rPr>
        <w:t xml:space="preserve">Крупные сети одежды и обуви — им нужны первый этаж и витрина; у соседей наверху стоят только небольшие специализированные магазины. Wildberries — их правила запрещают пункты выдачи выше первого этажа. Продукты и аптеку — эти ниши в радиусе двух километров закрыты полностью. Офисы — офисного рынка в Ильинском нет. Ресторан на весь этаж — нет грузового подъёма, 42 парковки и дневной, а не вечерний поток посетителей.</w:t>
      </w:r>
    </w:p>
    <w:sectPr>
      <w:headerReference w:type="default" r:id="rId7"/>
      <w:pgSz w:w="11906" w:h="16838" w:orient="portrait"/>
      <w:pgMar w:top="102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CB4A8" w:sz="4" w:space="6"/>
      </w:pBdr>
      <w:spacing w:after="0"/>
      <w:jc w:val="left"/>
    </w:pPr>
    <w:r>
      <w:rPr>
        <w:rFonts w:ascii="PT Sans" w:cs="PT Sans" w:eastAsia="PT Sans" w:hAnsi="PT Sans"/>
        <w:color w:val="8C8479"/>
        <w:spacing w:val="30"/>
        <w:sz w:val="14"/>
        <w:szCs w:val="14"/>
      </w:rPr>
      <w:t xml:space="preserve">ТЦ «АМБАР 1» · КРАТКАЯ ВЕРСИЯ · СЕНТЯБРЬ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T Serif" w:cs="PT Serif" w:eastAsia="PT Serif" w:hAnsi="PT Serif"/>
        <w:color w:val="1E1C19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2026-09-23T09:35:20.916Z</dcterms:created>
  <dcterms:modified xsi:type="dcterms:W3CDTF">2026-09-23T09:35:20.917Z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