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Georgia" w:cs="Georgia" w:eastAsia="Georgia" w:hAnsi="Georgia"/>
          <w:b/>
          <w:bCs/>
          <w:color w:val="B8860B"/>
          <w:spacing w:val="60"/>
          <w:sz w:val="24"/>
          <w:szCs w:val="24"/>
        </w:rPr>
        <w:t xml:space="preserve">ИССЛЕДОВАНИЕ ВАКАНТНЫХ ПОМЕЩЕНИЙ</w:t>
      </w:r>
    </w:p>
    <w:p>
      <w:pPr>
        <w:spacing w:after="0" w:before="260"/>
        <w:jc w:val="center"/>
      </w:pPr>
      <w:r>
        <w:rPr>
          <w:rFonts w:ascii="Georgia" w:cs="Georgia" w:eastAsia="Georgia" w:hAnsi="Georgia"/>
          <w:b/>
          <w:bCs/>
          <w:color w:val="123A5F"/>
          <w:sz w:val="68"/>
          <w:szCs w:val="68"/>
        </w:rPr>
        <w:t xml:space="preserve">ТЦ «АМБАР 1»</w:t>
      </w:r>
    </w:p>
    <w:p>
      <w:pPr>
        <w:spacing w:after="0" w:before="120"/>
        <w:jc w:val="center"/>
      </w:pPr>
      <w:r>
        <w:rPr>
          <w:rFonts w:ascii="Georgia" w:cs="Georgia" w:eastAsia="Georgia" w:hAnsi="Georgia"/>
          <w:color w:val="1F2328"/>
          <w:sz w:val="24"/>
          <w:szCs w:val="24"/>
        </w:rPr>
        <w:t xml:space="preserve">с. Ильинское, ул. Ленина, 28 · г.о. Красногорск · Московская область</w:t>
      </w:r>
    </w:p>
    <w:p>
      <w:pPr>
        <w:pBdr>
          <w:top w:val="single" w:color="B8860B" w:sz="8" w:space="14"/>
        </w:pBdr>
        <w:spacing w:after="0" w:before="420"/>
        <w:jc w:val="center"/>
      </w:pPr>
      <w:r>
        <w:rPr>
          <w:sz w:val="4"/>
          <w:szCs w:val="4"/>
        </w:rPr>
        <w:t xml:space="preserve"> </w:t>
      </w:r>
    </w:p>
    <w:p>
      <w:pPr>
        <w:spacing w:after="0" w:before="300"/>
        <w:jc w:val="center"/>
      </w:pPr>
      <w:r>
        <w:rPr>
          <w:rFonts w:ascii="Georgia" w:cs="Georgia" w:eastAsia="Georgia" w:hAnsi="Georgia"/>
          <w:i/>
          <w:iCs/>
          <w:color w:val="5B6570"/>
          <w:sz w:val="22"/>
          <w:szCs w:val="22"/>
        </w:rPr>
        <w:t xml:space="preserve">Диагностика причин трёхлетней вакансии, бенчмарк арендных ставок,
локационный анализ и тир-лист потенциальных арендаторов</w:t>
      </w:r>
    </w:p>
    <w:p>
      <w:pPr>
        <w:spacing w:after="0" w:before="1500"/>
        <w:jc w:val="center"/>
      </w:pPr>
      <w:r>
        <w:rPr>
          <w:rFonts w:ascii="Georgia" w:cs="Georgia" w:eastAsia="Georgia" w:hAnsi="Georgia"/>
          <w:b/>
          <w:bCs/>
          <w:color w:val="123A5F"/>
          <w:sz w:val="22"/>
          <w:szCs w:val="22"/>
        </w:rPr>
        <w:t xml:space="preserve">Сентябрь 2026</w:t>
      </w:r>
    </w:p>
    <w:p>
      <w:pPr>
        <w:spacing w:after="0" w:before="80"/>
        <w:jc w:val="center"/>
      </w:pPr>
      <w:r>
        <w:rPr>
          <w:rFonts w:ascii="Georgia" w:cs="Georgia" w:eastAsia="Georgia" w:hAnsi="Georgia"/>
          <w:i/>
          <w:iCs/>
          <w:color w:val="5B6570"/>
          <w:sz w:val="19"/>
          <w:szCs w:val="19"/>
        </w:rPr>
        <w:t xml:space="preserve">Предмет анализа: 515,4 м² вакантных площадей на 2-м и 3-м этажах</w:t>
      </w:r>
    </w:p>
    <w:p>
      <w:r>
        <w:br w:type="page"/>
      </w:r>
    </w:p>
    <w:p>
      <w:pPr>
        <w:pBdr>
          <w:bottom w:val="single" w:color="B8860B" w:sz="10" w:space="6"/>
        </w:pBdr>
        <w:spacing w:after="20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Оглавление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1. Резюме для собственника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1.1. Вердикт по ставкам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1.2. Три главные причины вакансии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1.3. Топ-5 арендаторов для первого обзвона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1.4. Пять действий на ближайшие 90 дней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2. Паспорт помещений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2.1. Сводная таблица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2.2. Что показывает генплан участка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6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2.3. Помещение №1 — 430,5 м², 2 этаж, терраса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2.4. Помещение №2 — 39,6 м², 2 этаж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8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2.5. Помещение №3 — 45,3 м², 3 этаж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9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3. Бенчмарк арендных ставок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10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3.1. Ключевые сопоставимые предложения — та же улица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10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3.2. Разброс по кластерам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3.3. Поправка на этаж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3.4. Поправка на площадь и на террасу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3.5. Рыночный контекст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3.6. Вердикт по каждому помещению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3.7. Проверка по ЦИАН: ставка, этаж и срок экспозиции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15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4. Локационный анализ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17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4.1. Расположение и конкурентное окружение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4.2. Жители соседних локаций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18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4.3. Трафик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21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4.4. Социально-экономический контекст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23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5. Почему помещения вакантны три года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25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5.1. Матрица «объективно / управляемо»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25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5.2. Пять ошибок, которые видит арендатор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26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6. Тир-лист потенциальных арендаторов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27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6.1. Пять категорий для холодного предложения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35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7. Сценарии и оценка NPV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36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8. План действий на 90 дней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38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9. Источники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40</w:t>
      </w:r>
    </w:p>
    <w:p>
      <w:pPr>
        <w:tabs>
          <w:tab w:val="right" w:pos="10046" w:leader="dot"/>
        </w:tabs>
        <w:spacing w:after="30" w:before="90"/>
        <w:ind w:left="0"/>
      </w:pP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10. Приложение: методология, допущения и ограничения</w:t>
      </w:r>
      <w:r>
        <w:rPr>
          <w:rFonts w:ascii="Georgia" w:cs="Georgia" w:eastAsia="Georgia" w:hAnsi="Georgia"/>
          <w:b/>
          <w:bCs/>
          <w:color w:val="123A5F"/>
          <w:sz w:val="20"/>
          <w:szCs w:val="20"/>
        </w:rPr>
        <w:t xml:space="preserve">	42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10.1. Методология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10.2. Ключевые допущения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10.3. Что проверить до принятия решений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42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10.4. Чего не удалось проверить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43</w:t>
      </w:r>
    </w:p>
    <w:p>
      <w:pPr>
        <w:tabs>
          <w:tab w:val="right" w:pos="10046" w:leader="dot"/>
        </w:tabs>
        <w:spacing w:after="10" w:before="0"/>
        <w:ind w:left="300"/>
      </w:pPr>
      <w:r>
        <w:rPr>
          <w:rFonts w:ascii="Georgia" w:cs="Georgia" w:eastAsia="Georgia" w:hAnsi="Georgia"/>
          <w:b w:val="false"/>
          <w:bCs w:val="false"/>
          <w:color w:val="1F2328"/>
          <w:sz w:val="18"/>
          <w:szCs w:val="18"/>
        </w:rPr>
        <w:t xml:space="preserve">10.5. Неразрешённое противоречие</w:t>
      </w:r>
      <w:r>
        <w:rPr>
          <w:rFonts w:ascii="Georgia" w:cs="Georgia" w:eastAsia="Georgia" w:hAnsi="Georgia"/>
          <w:b w:val="false"/>
          <w:bCs w:val="false"/>
          <w:color w:val="5B6570"/>
          <w:sz w:val="18"/>
          <w:szCs w:val="18"/>
        </w:rPr>
        <w:t xml:space="preserve">	44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1. Резюме для собственника</w:t>
      </w:r>
    </w:p>
    <w:p>
      <w:pPr>
        <w:spacing w:after="17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Вывод в одном абзаце.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5,9 млн ₽ за три года.</w:t>
      </w:r>
    </w:p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Чем эта редакция отличается от первой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Ставки и сроки экспозиции перепроверены прямой выгрузкой из ЦИАН: все 277 объявлений коммерческой аренды городского округа Красногорск и все 13 по селу Ильинское, полнота подтверждена сверкой со счётчиком самой площадки.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Это дало то, чего нет у агрегаторов, — дату создания каждого объявления, то есть реальный срок экспозиции. Выяснилось, что несколько ставок, на которые опиралась первая редакция, сами по себе не находят арендатора годами. Рекомендации по помещениям №2 и №3 понижены, вывод по помещению №1 подтверждён.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1.1. Вердикт по ставкам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Текущая ставка</w:t>
            </w:r>
          </w:p>
        </w:tc>
        <w:tc>
          <w:tcPr>
            <w:tcW w:type="dxa" w:w="17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dxa" w:w="23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Рекомендуемая ставка</w:t>
            </w:r>
          </w:p>
        </w:tc>
        <w:tc>
          <w:tcPr>
            <w:tcW w:type="dxa" w:w="1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Целевой срок сдачи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— 430,5 м², 2 этаж,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499 000 ₽/мес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16 500–18 500 ₽/м²/год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после нарезки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и реконцепции</w:t>
            </w:r>
          </w:p>
        </w:tc>
      </w:tr>
      <w:tr>
        <w:tc>
          <w:tcPr>
            <w:tcW w:type="dxa" w:w="2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129 000 ₽/мес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 2,2 раза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 медиане этажа</w:t>
            </w:r>
          </w:p>
        </w:tc>
        <w:tc>
          <w:tcPr>
            <w:tcW w:type="dxa" w:w="23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24 000–26 000 ₽/м²/год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3–4 месяца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№3 — 45,3 м², 3 этаж,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98 000 ₽/мес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ЗАВЫШЕНА +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18 000–21 000 ₽/м²/год</w:t>
            </w:r>
          </w:p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68–79 тыс. ₽/мес</w:t>
            </w:r>
          </w:p>
        </w:tc>
        <w:tc>
          <w:tcPr>
            <w:tcW w:type="dxa" w:w="1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Расчёт: ₽/м²/год = ставка ₽/мес × 12 ÷ площадь. Источник ставок — объявления metrplus.com, обновлены 27.07.2026 и 12.08.2026. Рекомендуемые ставки — по медианам когорт ЦИАН, подобранных по этажу и площади (раздел 3.7).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1.2. Три главные причины вакансии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Медиана ставки 2-го этажа по 19 лотам городского округа — 18 072 ₽/м²/год. Мы просим 39 091, то есть в 2,2 раза больше. В 100 метрах, в ТЦ «Ильинский», сопоставимый блок 38 м² с современным ремонтом на 2-м этаже предлагается за 30 000 ₽/м²/год — и, по данным ЦИАН, стоит в экспозиции с 19 июля 2023 года, то есть 1157 дней.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на realestate.ru — ноль офисных объявлений, на mirkvartir из 191 объявления одно, и это целое здание.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1.3. Топ-5 арендаторов для первого обзвона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№</w:t>
            </w:r>
          </w:p>
        </w:tc>
        <w:tc>
          <w:tcPr>
            <w:tcW w:type="dxa" w:w="2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Компания</w:t>
            </w:r>
          </w:p>
        </w:tc>
        <w:tc>
          <w:tcPr>
            <w:tcW w:type="dxa" w:w="1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588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они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c>
          <w:tcPr>
            <w:tcW w:type="dxa" w:w="5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c>
          <w:tcPr>
            <w:tcW w:type="dxa" w:w="5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c>
          <w:tcPr>
            <w:tcW w:type="dxa" w:w="5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1.4. Пять действий на ближайшие 90 дней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265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Ожидаемый эффект</w:t>
            </w:r>
          </w:p>
        </w:tc>
      </w:tr>
      <w:tr>
        <w:tc>
          <w:tcPr>
            <w:tcW w:type="dxa" w:w="4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Пересчитать ставки: №2 → 79–86 тыс. ₽/мес, №3 → 68–79 тыс. ₽/мес; опубликовать НДС, OPEX, коммунальные, каникулы и индексацию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c>
          <w:tcPr>
            <w:tcW w:type="dxa" w:w="4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c>
          <w:tcPr>
            <w:tcW w:type="dxa" w:w="4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c>
          <w:tcPr>
            <w:tcW w:type="dxa" w:w="4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c>
          <w:tcPr>
            <w:tcW w:type="dxa" w:w="4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Borders>
          <w:top w:val="none"/>
          <w:left w:val="single" w:color="1B7A3D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FF7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7A3D"/>
                <w:sz w:val="21"/>
                <w:szCs w:val="21"/>
              </w:rPr>
              <w:t xml:space="preserve">Что это даёт в деньгах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«коррекция цены и упаковки» при затратах 350 тыс. ₽ даёт NPV 5,53 млн ₽ — прирост 5,87 млн ₽.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Лучший по NPV сценарий — якорь на льготной ставке в помещении №1: 8,43 млн ₽ при CAPEX 3,35 млн ₽.</w:t>
            </w:r>
          </w:p>
        </w:tc>
      </w:tr>
    </w:tbl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2. Паспорт помещений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2.1. Сводная таблица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№1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№2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 №3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Офис на первой линии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45,3 м²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указана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98 000 ₽/мес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EB5757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2994A"/>
                <w:sz w:val="17"/>
                <w:szCs w:val="17"/>
              </w:rPr>
              <w:t xml:space="preserve">25 960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 (санузел 6,7 м²)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Отделка бьюти-студии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</w:t>
            </w:r>
          </w:p>
        </w:tc>
      </w:tr>
      <w:tr>
        <w:tc>
          <w:tcPr>
            <w:tcW w:type="dxa" w:w="2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c>
          <w:tcPr>
            <w:tcW w:type="dxa" w:w="2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12.08.2026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2.2. Что показывает генплан участка</w:t>
      </w:r>
    </w:p>
    <w:p>
      <w:pPr>
        <w:spacing w:after="40" w:before="12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Вывод: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Расхождение по числу парковочных мест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2.3. Помещение №1 — 430,5 м², 2 этаж, терраса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7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Это не единое помещение, а сборка разнородных залов.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Свет: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Терраса: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В нынешнем виде это не готовая веранда, а потенциал, требующий вложений.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Главная проблема: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2.4. Помещение №2 — 39,6 м², 2 этаж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7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а не у торца, и имеет одно небольшое арочное окно. Витрины и фасадного остекления нет. Это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кабинетная, а не торговая типология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2.5. Помещение №3 — 45,3 м², 3 этаж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80" w:before="70"/>
        <w:jc w:val="center"/>
      </w:pPr>
      <w:r>
        <w:rPr>
          <w:rFonts w:ascii="Georgia" w:cs="Georgia" w:eastAsia="Georgia" w:hAnsi="Georgia"/>
          <w:i/>
          <w:iCs/>
          <w:color w:val="5B6570"/>
          <w:sz w:val="17"/>
          <w:szCs w:val="17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Оценка.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оборудованный бьюти-салон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23A5F"/>
          <w:sz w:val="21"/>
          <w:szCs w:val="21"/>
        </w:rPr>
        <w:t xml:space="preserve">Главная находка по этому лоту.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готовую бьюти-студию под ключ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3. Бенчмарк арендных ставок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Собрано 43 сопоставимых предложения по четырём кластерам, а затем вся выборка перепроверена прямой выгрузкой из ЦИАН — 277 объявлений коммерческой аренды городского округа Красногорск, из них 13 по селу Ильинское. Все ставки — запрашиваемые, без НДС и OPEX, если в источнике не указано иное. Пересчёт: ₽/м²/год = ставка ₽/мес × 12 ÷ площадь. Сбор данных — 18 сентября 2026 года.</w:t>
      </w:r>
    </w:p>
    <w:p>
      <w:pPr>
        <w:spacing w:after="170" w:before="12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3.1. Ключевые сопоставимые предложения — та же улица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Решающее значение имеет кластер A: три конкурирующих объекта находятся в пределах 800 метров на той же улице Ленина. Это не косвенные аналоги, а прямая альтернатива, которую арендатор увидит в тот же день.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620"/>
        <w:gridCol w:w="2450"/>
        <w:gridCol w:w="600"/>
        <w:gridCol w:w="640"/>
        <w:gridCol w:w="1250"/>
        <w:gridCol w:w="1180"/>
        <w:gridCol w:w="3366"/>
      </w:tblGrid>
      <w:tr>
        <w:trPr>
          <w:tblHeader/>
        </w:trPr>
        <w:tc>
          <w:tcPr>
            <w:tcW w:type="dxa" w:w="62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4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64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м²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₽/мес</w:t>
            </w:r>
          </w:p>
        </w:tc>
        <w:tc>
          <w:tcPr>
            <w:tcW w:type="dxa" w:w="118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₽/м²/год</w:t>
            </w:r>
          </w:p>
        </w:tc>
        <w:tc>
          <w:tcPr>
            <w:tcW w:type="dxa" w:w="336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Отделка, примечание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A1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315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378 000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14 400</w:t>
            </w:r>
          </w:p>
        </w:tc>
        <w:tc>
          <w:tcPr>
            <w:tcW w:type="dxa" w:w="336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ЧЕРНОВАЯ отделка, все коммуникации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A2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2/3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38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95 000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30 000</w:t>
            </w:r>
          </w:p>
        </w:tc>
        <w:tc>
          <w:tcPr>
            <w:tcW w:type="dxa" w:w="336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Современный ремонт, клон нашего №2. По ЦИАН создано 19.07.2023 — 1157 дней в экспозиции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A3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42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147 000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42 000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A4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11 — ТЦ «Ильинский»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175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525 000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36 000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Хорошее состояние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A7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21,5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55 000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30 698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Отличное, «под офис либо услуги»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A8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33,6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68 000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24 286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Отличное, «торговля, услуги или офис»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A9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30 — ТК «Ильинка Вилладж»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60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330 000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66 000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A10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80,6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310 000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46 154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Косметический ремонт (наш же комплекс)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A11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26 — ТЦ «Амбар-2»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80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330 000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49 500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Мокрые точки, 2 входа; соседи ВкусВилл, Ароматный Мир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A13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ул. Ленина, 4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110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200 000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21 818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Отдельное здание, 35 кВт, 2 входа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A20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Николо-Урюпино — ЖК «Гранель Аникеевский»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91,7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128 380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16 800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Без отделки, потолки 3,92 м; акция до 30.09.2026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C3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Глухово — ЖК «Новая Рига»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75,4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109 330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17 400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Без отделки, потолки 3 м. Опубликовано 18.09.2026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C4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Глухово, Романовская 5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1/8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51,1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68 985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16 200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Без ремонта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B1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3/3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55,9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150 000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32 200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«Под бутик, магазин, салон»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B2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Горки-2 — ТЦ «Наш Универмаг»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3/3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180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350 000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23 333</w:t>
            </w:r>
          </w:p>
        </w:tc>
        <w:tc>
          <w:tcPr>
            <w:tcW w:type="dxa" w:w="336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Потолки 5 м, 150 парковок. В экспозиции ~11 месяцев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B3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Жуковка, дом класса «Люкс»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1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165 + терраса 46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600 000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43 636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Терраса в расчётную площадь НЕ включена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B5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Раздоры, 1 км Рублёво-Успенского ш. — БЦ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5/5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44,6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78 050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21 000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Офис</w:t>
            </w:r>
          </w:p>
        </w:tc>
      </w:tr>
      <w:tr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C2</w:t>
            </w:r>
          </w:p>
        </w:tc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Нахабино — ТЦ «Верный»</w:t>
            </w:r>
          </w:p>
        </w:tc>
        <w:tc>
          <w:tcPr>
            <w:tcW w:type="dxa" w:w="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2/2</w:t>
            </w:r>
          </w:p>
        </w:tc>
        <w:tc>
          <w:tcPr>
            <w:tcW w:type="dxa" w:w="64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37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37 200</w:t>
            </w:r>
          </w:p>
        </w:tc>
        <w:tc>
          <w:tcPr>
            <w:tcW w:type="dxa" w:w="11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12 065</w:t>
            </w:r>
          </w:p>
        </w:tc>
        <w:tc>
          <w:tcPr>
            <w:tcW w:type="dxa" w:w="336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Отделка с зонированием; ~6 месяцев в экспозиции</w:t>
            </w:r>
          </w:p>
        </w:tc>
      </w:tr>
      <w:tr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D5</w:t>
            </w:r>
          </w:p>
        </w:tc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БЦ «Красногорск Плаза», класс B+</w:t>
            </w:r>
          </w:p>
        </w:tc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6"/>
                <w:szCs w:val="16"/>
              </w:rPr>
              <w:t xml:space="preserve">2</w:t>
            </w:r>
          </w:p>
        </w:tc>
        <w:tc>
          <w:tcPr>
            <w:tcW w:type="dxa" w:w="64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56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132 305</w:t>
            </w:r>
          </w:p>
        </w:tc>
        <w:tc>
          <w:tcPr>
            <w:tcW w:type="dxa" w:w="11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28 351</w:t>
            </w:r>
          </w:p>
        </w:tc>
        <w:tc>
          <w:tcPr>
            <w:tcW w:type="dxa" w:w="336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6"/>
                <w:szCs w:val="16"/>
              </w:rPr>
              <w:t xml:space="preserve">18 км от объекта, у МКАД, метро и МЦД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Полный список из 43 компов с прямыми ссылками — в приложении. Источники: move.ru, mirkvartir.ru, shopandmall.ru, realestate.ru, gladston.ru, n1.ru. ЦИАН и Авито данные не отдали (captcha / WAF-блокировка).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3.2. Разброс по кластерам</w:t>
      </w:r>
    </w:p>
    <w:p>
      <w:pPr>
        <w:spacing w:after="170" w:before="12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3.3. Поправка на этаж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Опубликованных отраслевых коэффициентов «этаж торгового центра» в открытых источниках нет. Коэффициент выведен из парных предложений внутри одного здания — это методологически надёжнее, чем отраслевое среднее, поскольку все прочие факторы (локация, состояние, управляющая компания) зафиксированы.</w:t>
      </w:r>
    </w:p>
    <w:p>
      <w:pPr>
        <w:spacing w:after="17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single" w:color="1B7A3D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FF7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7A3D"/>
                <w:sz w:val="21"/>
                <w:szCs w:val="21"/>
              </w:rPr>
              <w:t xml:space="preserve">Коэффициент подтверждён независимо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Выведенный из парных предложений коэффициент 0,70–0,75 проверен на всей выборке ЦИАН: медиана 2-го этажа по округу 18 072 ₽/м²/год против 25 751 на первом. Отношение медиан — ровно 0,70. Для третьего этажа и выше — 0,66.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Две независимые методики — пары внутри одного здания и медианы по 254 лотам — сошлись. Коэффициент можно использовать в переговорах как факт, а не как оценку.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Рабочий коэффициент: 2-й этаж = 0,70–0,75 к 1-му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при сопоставимой площади. Наиболее чистая пара — ТЦ «Ильинский», 42 м² на 1-м этаже против 38 м² на 2-м: разница 29%. Пары с большой разницей в площади (−60% и −63%) смешивают эффект этажа с эффектом размера блока и как коэффициент этажа использоваться не должны.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Третий этаж.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Прямых пар в выборке нет. По объектам B1 и B2 в Горки-2 третий этаж торгуется на уровне второго, но ликвидность существенно ниже: лот B2 находится в экспозиции около 11 месяцев — и это премиальная Рублёвка, а не село.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3.4. Поправка на площадь и на террасу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Малая площадь.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Внутри ТЦ «Ильинский» на 2-м этаже: 38 м² по 2 500 ₽/м²/мес против 315 м² по 1 200 ₽/м²/мес — премия 108%. На 1-м этаже: 49,9 м² по 4 500 против 175–250 м² по 3 000 — премия 50%. NF Group для малых ТЦ даёт 20 000–100 000 ₽/м²/год для блоков 0–50 м² против 14 000–25 000 для блоков 300–500 м².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Рабочий коэффициент: блок до 50 м² = ×1,5–2,0 к блоку 150–300 м² того же этажа.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Терраса.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не существует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Единственный найденный комп с террасой (B3, Жуковка, 165 м² + терраса 46 м²) считает ставку на основную площадь, а террасу подаёт как бесплатный бонус.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3.5. Рыночный контекст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2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Источник, дата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Банк России, 11.09.2026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IBC Real Estate via Retail.ru, 04.09.2026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IBC Real Estate, 04.09.2026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 / РБК, 28.01.2026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I полугодие 2026</w:t>
            </w:r>
          </w:p>
        </w:tc>
      </w:tr>
      <w:tr>
        <w:tc>
          <w:tcPr>
            <w:tcW w:type="dxa" w:w="4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NF Group, Nikoliers, CORE.XP, IBC</w:t>
            </w:r>
          </w:p>
        </w:tc>
      </w:tr>
      <w:tr>
        <w:tc>
          <w:tcPr>
            <w:tcW w:type="dxa" w:w="4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3.6. Вердикт по каждому помещению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Помещение №1 — ставка занижена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Прямой конкурент A1 — тот же 2-й этаж, 315 м², через дорогу — предлагается за 14 400 ₽/м²/год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при черновой отделке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Мы просим на 3,4% меньше, имея законченный ремонт, потолки 3,9 м и террасу. Диапазон NF Group для блоков 300–500 м² в малых ТЦ — 14 000–25 000 ₽/м²/год; мы находимся ниже нижней границы. NF Group прямо отмечает: «помещения без ремонта не пользуются высоким спросом и требуют участия собственников в отделке прямыми инвестициями или через скидку по аренде» — значит разница с A1 должна быть в нашу пользу, а не в ноль.</w:t>
      </w:r>
    </w:p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Ключевой вывод по помещению №1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Помещение №1 три года стоит пустым, будучи дешевле рынка. Это доказывает, что цена для него не является узким местом. Ограничение лежит в продукте и в позиционировании: разнородная сборка залов, неблагоустроенная терраса и четыре взаимоисключающих назначения в одном тексте объявления.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Практический вывод: снижать ставку по №1 бессмысленно — это не сработало за три года и не сработает на четвёртый. Работать нужно с продуктом.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Помещение №2 — ставка завышена в 2,2 раза к медиане этажа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Медиана 2-го этажа по округу — 18 072 ₽/м²/год, мы просим 39 091. В когорте, подобранной по этажу и площади (блоки до 60 м² на 2-м этаже, девять лотов), медиана 28 000 ₽/м²/год, и мы выше неё на 40%.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Но главное даёт не ставка, а срок экспозиции.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Когорта делится надвое. Лоты, выставленные по 26 400–30 000 ₽/м²/год, стоят 1002, 1157, 1486 и 2361 день — от трёх до шести с половиной лет. Лоты, выставленные по 24 286 и 28 000, появились 23 и 14 дней назад. Медиана свежих объявлений — 24 286 ₽/м²/год, медиана стоящих дольше года — 30 000.</w:t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Правка к первой редакции этого отчёта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 первой редакции по помещению №2 рекомендовался коридор 28 000–32 000 ₽/м²/год. Он опирался на запрашиваемые ставки соседей, взятые у агрегаторов, — а там не видно, сколько объявление висит.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Прямая выгрузка ЦИАН показала, что уровень 30 000 ₽/м²/год на 2-м этаже в этой локации не находит арендатора годами: два лота по 38 и 40 м² на улице Ленина, 11 стоят 1157 и 1486 дней именно по этой ставке. Ориентироваться на неё — значит повторить их результат.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Исправленная рекомендация: 24 000–26 000 ₽/м²/год, то есть 79–86 тыс. ₽/мес.</w:t>
            </w:r>
          </w:p>
        </w:tc>
      </w:tr>
    </w:tbl>
    <w:p>
      <w:pPr>
        <w:spacing w:after="170" w:before="12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Помещение №3 — ошибка позиционирования, подтверждена проверкой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realestate.ru: ноль офисных объявлений в с. Ильинское.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mirkvartir: из 191 объявления по «Ильинское село» одно с типом «офис» — и это целое здание 1 200 м² за 2,5 млн ₽/мес.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Все объявления по улице Ленина позиционируются как торговое или ПСН. Офис упоминается лишь как запасная опция: «под офис либо услуги», «торговля, услуги или офис».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Ближайший реальный офисный рынок — БЦ «Красногорск Плаза» (129 объявлений, класс B+), и это 18 км от объекта, у МКАД, с метро и МЦД. Ставка 2-го этажа там 20 200–28 400 ₽/м²/год.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Итог: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мы просим 25 960 ₽/м²/год — ровно в коридоре 2-го этажа класса B+ у МКАД — находясь на 3-м этаже районного ТЦ в селе без общественного транспорта. Наша ставка выше, чем у офисов в бизнес-центре в Раздорах на Рублёвке (19 000–21 000 ₽/м²/год, 5-й этаж). Медиана третьего этажа и выше по округу — 17 050 ₽/м²/год, мы просим в 1,5 раза больше; медиана когорты «до 120 м², этаж 3 и выше» — 20 828. Слово «офис» нужно снять, помещение переупаковать как готовую студию услуг.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Исправленная целевая ставка: 18 000–21 000 ₽/м²/год (было 20 000–24 000 в первой редакции).</w:t>
      </w:r>
    </w:p>
    <w:tbl>
      <w:tblPr>
        <w:tblW w:type="dxa" w:w="10106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F6EC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1"/>
                <w:szCs w:val="21"/>
              </w:rPr>
              <w:t xml:space="preserve">Офисный продукт в Ильинском существует — и за четыре года не сдался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Первая редакция утверждала, что офисных объявлений в селе Ильинское нет вовсе. Выгрузка ЦИАН уточняет: одно есть. Лот 277458208 — «офис с кабинетом руководителя в офисном центре "Ильинский", отдельный вход с торца ТЦ, свободная парковка, помещение с новым ремонтом, в стоимость включено пользование переговорными, кухней и гардеробом». 40 м², 2-й этаж, 30 000 ₽/м²/год.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 объявлении прямо сказано: «В аренду ещё не сдавалось». Дата создания — 24 августа 2022 года, то есть 1486 дней в экспозиции.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Вывод от этого только усиливается. Офисный продукт здесь есть — с ремонтом, переговорными и парковкой, — и он четыре года не находит арендатора. Позиционирование «офис» в этой локации имеет не отсутствующий рынок, а доказанный отрицательный результат у соседа.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3.7. Проверка по ЦИАН: ставка, этаж и срок экспозиции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ЦИАН и Авито в первой редакции отчёта данные не отдали: captcha и WAF-блокировка. Во второй редакции ЦИАН опрошен напрямую — через тот же API, которым пользуется его собственная выдача, из реального браузера. Выгружены все 277 объявлений коммерческой аренды городского округа Красногорск и все 13 по селу Ильинское; полнота подтверждена сверкой с собственным счётчиком площадки.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Что это дало сверх агрегаторов.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Дату создания каждого объявления, а значит фактический срок экспозиции. Это меняет смысл всей выборки: запрашиваемая ставка показывает, чего хочет собственник, а срок экспозиции — согласен ли с этим рынок.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1500"/>
        <w:gridCol w:w="900"/>
        <w:gridCol w:w="1900"/>
        <w:gridCol w:w="2000"/>
        <w:gridCol w:w="1900"/>
        <w:gridCol w:w="1906"/>
      </w:tblGrid>
      <w:tr>
        <w:trPr>
          <w:tblHeader/>
        </w:trPr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Этаж</w:t>
            </w:r>
          </w:p>
        </w:tc>
        <w:tc>
          <w:tcPr>
            <w:tcW w:type="dxa" w:w="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Лотов</w:t>
            </w:r>
          </w:p>
        </w:tc>
        <w:tc>
          <w:tcPr>
            <w:tcW w:type="dxa" w:w="1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Медиана, ₽/м²/год</w:t>
            </w:r>
          </w:p>
        </w:tc>
        <w:tc>
          <w:tcPr>
            <w:tcW w:type="dxa" w:w="20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Квартили</w:t>
            </w:r>
          </w:p>
        </w:tc>
        <w:tc>
          <w:tcPr>
            <w:tcW w:type="dxa" w:w="1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 экспозиции</w:t>
            </w:r>
          </w:p>
        </w:tc>
        <w:tc>
          <w:tcPr>
            <w:tcW w:type="dxa" w:w="19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Стоят дольше года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Цоколь (−1)</w:t>
            </w:r>
          </w:p>
        </w:tc>
        <w:tc>
          <w:tcPr>
            <w:tcW w:type="dxa" w:w="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16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12 494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10 800 – 15 882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82 дня</w:t>
            </w:r>
          </w:p>
        </w:tc>
        <w:tc>
          <w:tcPr>
            <w:tcW w:type="dxa" w:w="1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19%</w:t>
            </w:r>
          </w:p>
        </w:tc>
      </w:tr>
      <w:tr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195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25 751</w:t>
            </w:r>
          </w:p>
        </w:tc>
        <w:tc>
          <w:tcPr>
            <w:tcW w:type="dxa" w:w="20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17 231 – 34 286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56 дней</w:t>
            </w:r>
          </w:p>
        </w:tc>
        <w:tc>
          <w:tcPr>
            <w:tcW w:type="dxa" w:w="1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10%</w:t>
            </w:r>
          </w:p>
        </w:tc>
      </w:tr>
      <w:tr>
        <w:tc>
          <w:tcPr>
            <w:tcW w:type="dxa" w:w="15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9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19</w:t>
            </w:r>
          </w:p>
        </w:tc>
        <w:tc>
          <w:tcPr>
            <w:tcW w:type="dxa" w:w="19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18 072</w:t>
            </w:r>
          </w:p>
        </w:tc>
        <w:tc>
          <w:tcPr>
            <w:tcW w:type="dxa" w:w="20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14 700 – 30 000</w:t>
            </w:r>
          </w:p>
        </w:tc>
        <w:tc>
          <w:tcPr>
            <w:tcW w:type="dxa" w:w="19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179 дней</w:t>
            </w:r>
          </w:p>
        </w:tc>
        <w:tc>
          <w:tcPr>
            <w:tcW w:type="dxa" w:w="190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EB5757"/>
                <w:sz w:val="17"/>
                <w:szCs w:val="17"/>
              </w:rPr>
              <w:t xml:space="preserve">42%</w:t>
            </w:r>
          </w:p>
        </w:tc>
      </w:tr>
      <w:tr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3-й и выше</w:t>
            </w:r>
          </w:p>
        </w:tc>
        <w:tc>
          <w:tcPr>
            <w:tcW w:type="dxa" w:w="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24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17 050</w:t>
            </w:r>
          </w:p>
        </w:tc>
        <w:tc>
          <w:tcPr>
            <w:tcW w:type="dxa" w:w="20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15 000 – 21 329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158 дней</w:t>
            </w:r>
          </w:p>
        </w:tc>
        <w:tc>
          <w:tcPr>
            <w:tcW w:type="dxa" w:w="1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4%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Источник: ЦИАН, коммерческая аренда, городской округ Красногорск, выгрузка 18.09.2026. 254 лота после нормализации ставок и отсева выбросов. Часть карточек ЦИАН хранит в поле цены ставку за м² в месяц, а не сумму за месяц; различение подтверждено дословным текстом объявлений.</w:t>
      </w:r>
    </w:p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Главный вывод: цена этажа выражается не в рублях, а во времени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Разница в ставке между первым и вторым этажом — 30%. Разница в сроке экспозиции — в 3,2 раза: 56 дней против 179.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Но точнее всего этаж описывает третья цифра: на первом этаже дольше года стоят 10% лотов, на втором — 42%. Почти половина предложения второго этажа в этом округе не находит арендатора за год.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Для собственника это означает, что верхний этаж нельзя закрывать ожиданием. Либо ставка уходит заметно ниже первого этажа, либо помещение продаётся адресно — конкретному оператору, которому витрина не нужна.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Наши три помещения против медианы своего этажа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400"/>
        <w:gridCol w:w="1800"/>
        <w:gridCol w:w="1800"/>
        <w:gridCol w:w="1400"/>
        <w:gridCol w:w="2706"/>
      </w:tblGrid>
      <w:tr>
        <w:trPr>
          <w:tblHeader/>
        </w:trPr>
        <w:tc>
          <w:tcPr>
            <w:tcW w:type="dxa" w:w="2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Помещение</w:t>
            </w:r>
          </w:p>
        </w:tc>
        <w:tc>
          <w:tcPr>
            <w:tcW w:type="dxa" w:w="18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Ставка, ₽/м²/год</w:t>
            </w:r>
          </w:p>
        </w:tc>
        <w:tc>
          <w:tcPr>
            <w:tcW w:type="dxa" w:w="18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Медиана этажа</w:t>
            </w:r>
          </w:p>
        </w:tc>
        <w:tc>
          <w:tcPr>
            <w:tcW w:type="dxa" w:w="1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Отношение</w:t>
            </w:r>
          </w:p>
        </w:tc>
        <w:tc>
          <w:tcPr>
            <w:tcW w:type="dxa" w:w="27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— 430,5 м², 2 этаж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13 909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×0,77</w:t>
            </w:r>
          </w:p>
        </w:tc>
        <w:tc>
          <w:tcPr>
            <w:tcW w:type="dxa" w:w="2706"/>
            <w:shd w:fill="EFF7F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Ниже рынка. Когорта «280–560 м², этаж 2+»: медиана 17 475 при медиане экспозиции 110 дней</w:t>
            </w:r>
          </w:p>
        </w:tc>
      </w:tr>
      <w:tr>
        <w:tc>
          <w:tcPr>
            <w:tcW w:type="dxa" w:w="2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39 091</w:t>
            </w:r>
          </w:p>
        </w:tc>
        <w:tc>
          <w:tcPr>
            <w:tcW w:type="dxa" w:w="1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18 072</w:t>
            </w:r>
          </w:p>
        </w:tc>
        <w:tc>
          <w:tcPr>
            <w:tcW w:type="dxa" w:w="140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×2,16</w:t>
            </w:r>
          </w:p>
        </w:tc>
        <w:tc>
          <w:tcPr>
            <w:tcW w:type="dxa" w:w="2706"/>
            <w:shd w:fill="FDF0F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Вдвое выше рынка. В когорте «до 60 м², 2 этаж» всё, что дороже 26 000, стоит больше трёх лет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№3 — 45,3 м², 3 этаж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25 960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17 050</w:t>
            </w:r>
          </w:p>
        </w:tc>
        <w:tc>
          <w:tcPr>
            <w:tcW w:type="dxa" w:w="140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×1,52</w:t>
            </w:r>
          </w:p>
        </w:tc>
        <w:tc>
          <w:tcPr>
            <w:tcW w:type="dxa" w:w="270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Выше рынка. Когорта «до 120 м², этаж 3+»: медиана 20 828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Что ещё показала выгрузка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Нашего объекта на ЦИАН нет вовсе.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Среди 277 объявлений округа — ни одного по улице Ленина, 28. Зато есть ул. Ленина, 26 — ТЦ «Амбар-2», тот же собственник, 80,6 м², 1 этаж, 310 000 ₽/мес, 81 день в экспозиции. Канал у собственника есть и используется — но только для нового корпуса.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Конкуренты на той же улице публикуют полные условия.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Дословно из карточки лота на ул. Ленина, 11: «постоянная часть арендной ставки 3 500 руб за кв.м в месяц, включая НДС; эксплуатационный платёж 350 руб за кв.м в месяц, включая НДС; переменная часть — электроэнергия по счётчикам». В другой карточке того же дома: «арендные каникулы 60 календарных дней», обеспечительный платёж. В наших трёх объявлениях — только строка «тип аренды: прямая».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Появился прямой конкурент на формат помещения №1.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Улица Экспериментальная, 10: четыре лота в одном здании — 300, 500, 1 200 и 1 700 м², по 24 000–30 000 ₽/м²/год, адресованные дословно «фитнес-залам, студиям, магазинам, клубам» и «ресторану, кафе». Обоснование в объявлении — «в самом сердце элитного жилого кластера, между Ильинским и Новорижским шоссе». Три из четырёх лотов стоят 263 дня. Это подтверждает вывод раздела 3.6: наши 13 909 ₽/м²/год почти вдвое дешевле — и всё равно не продаются, потому что дело не в цене.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Встроенная коммерция новых ЖК уже вышла на рынок.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По улицам Заповедная и Архангельская (ЖК «Ильинские луга») в экспозиции блоки 25–321 м² на первых этажах по 21 800–51 200 ₽/м²/год, часть стоит 177–429 дней. По улице Романовская (ЖК «Новая Рига», Глухово) — 11 200–24 600 ₽/м²/год. Это означает, что торговлю для жителей новостроек строят у них во дворе, и рассчитывать на переток в наш второй этаж нельзя. Остаются форматы, которые во встроенные помещения не помещаются: частный сад, фитнес-студия, бьюти-коворкинг, медцентр.</w:t>
      </w:r>
    </w:p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Ограничение метода: срок экспозиции считается от даты создания объявления, которую отдаёт поиск ЦИАН. При повторной публикации эта дата может обнулиться, поэтому 1157 и 1486 дней — нижняя оценка реального срока, а не верхняя.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4. Локационный анализ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4.1. Расположение и конкурентное окружение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Три факта, которые меняют постановку задачи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Наш объект не открывает ретейл-кластер, а находится внутри сложившегося.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Прямые конкуренты в радиусе 3 км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dxa" w:w="2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Параметры</w:t>
            </w:r>
          </w:p>
        </w:tc>
        <w:tc>
          <w:tcPr>
            <w:tcW w:type="dxa" w:w="3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Якоря и содержание</w:t>
            </w:r>
          </w:p>
        </w:tc>
        <w:tc>
          <w:tcPr>
            <w:tcW w:type="dxa" w:w="20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Ставки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ТЦ «Ильинский»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ул. Ленина, 11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Общая 10 200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GLA 6 300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этажа + цоколь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120 машиномест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70 000 чел./мес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56 арендаторов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14 400 –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48 000 ₽/м²/год</w:t>
            </w:r>
          </w:p>
        </w:tc>
      </w:tr>
      <w:tr>
        <w:tc>
          <w:tcPr>
            <w:tcW w:type="dxa" w:w="2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ТЦ «Амбар-2»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ул. Ленина, 26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Общая 1 414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открыт в 2026 году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46 154 –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49 500 ₽/м²/год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(1 этаж)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ТК «Ильинка Вилладж»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ул. Ленина, 30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GLA не раскрыт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рейтинг 4,4 (11 отзывов)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внутренний двор,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24 286 –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F6EC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1"/>
                <w:szCs w:val="21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Это означает, что часть трёхлетней вакансии Корпуса I объясняется не рынком, а внутренним приоритетом: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Чем заполнены 2–3 этажи малых подмосковных ТЦ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Уровень</w:t>
            </w:r>
          </w:p>
        </w:tc>
        <w:tc>
          <w:tcPr>
            <w:tcW w:type="dxa" w:w="5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Арендаторы</w:t>
            </w:r>
          </w:p>
        </w:tc>
        <w:tc>
          <w:tcPr>
            <w:tcW w:type="dxa" w:w="3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это означает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/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Выведенное правило: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. Общий признак — к этим арендаторам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едут по записи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4.2. Жители соседних локаций</w:t>
      </w:r>
    </w:p>
    <w:tbl>
      <w:tblPr>
        <w:tblW w:type="dxa" w:w="10106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F6EC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1"/>
                <w:szCs w:val="21"/>
              </w:rPr>
              <w:t xml:space="preserve">Две поправки к исходной постановке задачи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ЖК «Ильинские луга» строит ПИК (ООО «СЗ „ГрадОлимп“»), а не «Гранель». Это подтверждено постановлением администрации округа. «Гранель» в этой зоне строит другой проект — ЖК «Новая Рига» в Глухово, а также ЖК «Аникеевский» и «Ильинойс».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ЖК «Первый Ильинский» и ЖК «Новое Глухово» не подтверждаются: их нет ни в официальном перечне строящихся ЖК округа, ни в прогнозе социально-экономического развития.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Главное.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Официальная численность села Ильинское —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478 человек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Населённый пункт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Численность</w:t>
            </w:r>
          </w:p>
        </w:tc>
        <w:tc>
          <w:tcPr>
            <w:tcW w:type="dxa" w:w="22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  <w:tc>
          <w:tcPr>
            <w:tcW w:type="dxa" w:w="29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1,5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1,9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2,8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3,9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4,5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4,8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4,9 км</w:t>
            </w:r>
          </w:p>
        </w:tc>
      </w:tr>
      <w:tr>
        <w:tc>
          <w:tcPr>
            <w:tcW w:type="dxa" w:w="3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5,1 км</w:t>
            </w:r>
          </w:p>
        </w:tc>
      </w:tr>
      <w:tr>
        <w:tc>
          <w:tcPr>
            <w:tcW w:type="dxa" w:w="3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Критическое допущение: радиус не равен доступности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Она в рамках этого исследования не строилась и вынесена в перечень следующих шагов.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Новое жильё — главный драйвер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6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Проектная ёмкость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Расстояние</w:t>
            </w:r>
          </w:p>
        </w:tc>
        <w:tc>
          <w:tcPr>
            <w:tcW w:type="dxa" w:w="17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ПИК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1 257,8 тыс.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Ввод 2024 — 62,4 тыс. м²;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план 2025 — 95,9 тыс. м².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Сроки до III кв. 2028</w:t>
            </w:r>
          </w:p>
        </w:tc>
      </w:tr>
      <w:tr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394,6 тыс.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Ввод 2024 — 30,2 тыс. м²;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план 2025 — 30,9 тыс. м².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Сдача 2021–2027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29,5 га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Сдано 7 корпусов,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готовятся ещё 9</w:t>
            </w:r>
          </w:p>
        </w:tc>
      </w:tr>
      <w:tr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IV кв. 2025 и IV кв. 2026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190 тыс. м²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Корп. 2 — IV кв. 2025;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корп. 3 — III кв. 2028</w:t>
            </w:r>
          </w:p>
        </w:tc>
      </w:tr>
      <w:tr>
        <w:tc>
          <w:tcPr>
            <w:tcW w:type="dxa" w:w="2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Сколько жителей добавится и почему не 57 тысяч за три года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Поправка к коэффициенту.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 исходной постановке предлагалось считать 2,3–2,5 человека на квартиру. Официальные цифры дают меньше: 44,9 тыс. человек на 1 257,8 тыс. м² =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28,0 м² на человека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, что при средней квартире около 52 м² соответствует ≈1,9 человека на квартиру. Расчёт по коэффициенту 2,3–2,5 завышает прогноз на 15–25%.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Горизонт</w:t>
            </w:r>
          </w:p>
        </w:tc>
        <w:tc>
          <w:tcPr>
            <w:tcW w:type="dxa" w:w="3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5 км</w:t>
            </w:r>
          </w:p>
        </w:tc>
        <w:tc>
          <w:tcPr>
            <w:tcW w:type="dxa" w:w="37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Радиус 10 км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40–50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190–235 тыс. чел.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50–62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205–255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+14–20 тыс.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+57–65 тыс. чел.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Предостережение по цифре «57 тысяч»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4.3. Трафик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Заявленная цифра и что она означает на самом деле</w:t>
      </w:r>
    </w:p>
    <w:tbl>
      <w:tblPr>
        <w:tblW w:type="dxa" w:w="10106"/>
        <w:tblBorders>
          <w:top w:val="none"/>
          <w:left w:val="single" w:color="EB5757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DF0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EB5757"/>
                <w:sz w:val="21"/>
                <w:szCs w:val="21"/>
              </w:rPr>
              <w:t xml:space="preserve">Проверка заявления «50 000 автомобилей в сутки»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Что есть на самом деле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1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  <w:tc>
          <w:tcPr>
            <w:tcW w:type="dxa" w:w="32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Источник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2018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табл. 2.2.1</w:t>
            </w:r>
          </w:p>
        </w:tc>
      </w:tr>
      <w:tr>
        <w:tc>
          <w:tcPr>
            <w:tcW w:type="dxa" w:w="28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Генплан, табл. 2.2.1</w:t>
            </w:r>
          </w:p>
        </w:tc>
      </w:tr>
      <w:tr>
        <w:tc>
          <w:tcPr>
            <w:tcW w:type="dxa" w:w="28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F2994A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1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Доля</w:t>
            </w:r>
          </w:p>
        </w:tc>
        <w:tc>
          <w:tcPr>
            <w:tcW w:type="dxa" w:w="5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c>
          <w:tcPr>
            <w:tcW w:type="dxa" w:w="30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Связь Новая Рига ↔ Рублёвка</w:t>
            </w:r>
          </w:p>
        </w:tc>
        <w:tc>
          <w:tcPr>
            <w:tcW w:type="dxa" w:w="1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c>
          <w:tcPr>
            <w:tcW w:type="dxa" w:w="30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Вывод.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Следствие: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Профиль дня и сезонность</w:t>
      </w:r>
    </w:p>
    <w:p>
      <w:pPr>
        <w:spacing w:after="170" w:before="12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Пик приходится на 13:00–15:00, а не на вечер.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Инфраструктурные изменения: метро работает в обе стороны</w:t>
      </w:r>
    </w:p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4.4. Социально-экономический контекст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  <w:tc>
          <w:tcPr>
            <w:tcW w:type="dxa" w:w="17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2028 (прогноз)</w:t>
            </w:r>
          </w:p>
        </w:tc>
        <w:tc>
          <w:tcPr>
            <w:tcW w:type="dxa" w:w="2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Комментарий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+24,0% номинально</w:t>
            </w:r>
          </w:p>
        </w:tc>
      </w:tr>
      <w:tr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+5,9%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shd w:fill="FDF1E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+17,0% за 3 года = ~5,4% в год</w:t>
            </w:r>
          </w:p>
        </w:tc>
      </w:tr>
      <w:tr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I и II кварталы 2026: +1,5%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Ключевой вывод по потреблению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Рост аудитории в Ильинском количественный — новые жители, — а не качественный. Планировать нужно на объём трафика, а не на рост среднего чека в реальном выражении.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5. Почему помещения вакантны три года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5.1. Матрица «объективно / управляемо»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Причина</w:t>
            </w:r>
          </w:p>
        </w:tc>
        <w:tc>
          <w:tcPr>
            <w:tcW w:type="dxa" w:w="62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Вес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Природа</w:t>
            </w:r>
          </w:p>
        </w:tc>
        <w:tc>
          <w:tcPr>
            <w:tcW w:type="dxa" w:w="3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Конкретное действие</w:t>
            </w:r>
          </w:p>
        </w:tc>
        <w:tc>
          <w:tcPr>
            <w:tcW w:type="dxa" w:w="12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Стоимость</w:t>
            </w:r>
          </w:p>
        </w:tc>
        <w:tc>
          <w:tcPr>
            <w:tcW w:type="dxa" w:w="118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Срок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Пересчитать №2 к 24–26 тыс. ₽/м²/год, №3 — к 18–21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 дней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2023 года не обновлялась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30 дней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14 дней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4–6 мес.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30 дней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350 тыс. ₽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45 дней</w:t>
            </w:r>
          </w:p>
        </w:tc>
      </w:tr>
      <w:tr>
        <w:tc>
          <w:tcPr>
            <w:tcW w:type="dxa" w:w="24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shd w:fill="5B657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4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shd w:fill="5B657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Borders>
          <w:top w:val="none"/>
          <w:left w:val="single" w:color="1B7A3D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FF7F0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B7A3D"/>
                <w:sz w:val="21"/>
                <w:szCs w:val="21"/>
              </w:rPr>
              <w:t xml:space="preserve">Главный вывод раздела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Это означает, что трёхлетняя вакансия не является приговором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5.2. Пять ошибок, которые видит арендатор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останавливает сделку</w:t>
            </w:r>
          </w:p>
        </w:tc>
      </w:tr>
      <w:tr>
        <w:tc>
          <w:tcPr>
            <w:tcW w:type="dxa" w:w="4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не придирка, а стандартная процедура — и не абстрактная: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c>
          <w:tcPr>
            <w:tcW w:type="dxa" w:w="4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c>
          <w:tcPr>
            <w:tcW w:type="dxa" w:w="4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c>
          <w:tcPr>
            <w:tcW w:type="dxa" w:w="4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c>
          <w:tcPr>
            <w:tcW w:type="dxa" w:w="4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80" w:right="900" w:bottom="960" w:left="90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B8860B" w:sz="10" w:space="6"/>
        </w:pBdr>
        <w:spacing w:after="20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6. Тир-лист потенциальных арендаторов</w:t>
      </w:r>
    </w:p>
    <w:p>
      <w:pPr>
        <w:spacing w:after="130"/>
        <w:jc w:val="both"/>
      </w:pPr>
      <w:r>
        <w:rPr>
          <w:rFonts w:ascii="Georgia" w:cs="Georgia" w:eastAsia="Georgia" w:hAnsi="Georgia"/>
          <w:color w:val="1F2328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1B7A3D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4CAF50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F2C94C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F2994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EB5757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Контакт для развития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 →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offers.4hands.ru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laserlove.ru/franchise</w:t>
            </w:r>
          </w:p>
        </w:tc>
      </w:tr>
      <w:tr>
        <w:tc>
          <w:tcPr>
            <w:tcW w:type="dxa" w:w="54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franshiza.ru/franchise/read/gemotest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poliglotiki.ru/franchajzing.html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franshiza.ru/franchise/read/chempionika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oldboybarbershop.com/franchising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franshiza.ru/franchise/read/tochka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pilates.life/franchise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biz.fit-n-go.ru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franshiza.ru/franchise/read/mariya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franshiza.pedant.ru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biz.algoritmika.org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glowfranshiza.ru</w:t>
            </w:r>
          </w:p>
        </w:tc>
      </w:tr>
      <w:tr>
        <w:tc>
          <w:tcPr>
            <w:tcW w:type="dxa" w:w="54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franshiza.palchiki.com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onepricecoffee.com/franchise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franchise.medsi.ru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leaderfranchise.ru/franshiza_oneyoga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dryclean.ru/partner/usl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cinnabonrussia.com/franchise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persona-franshiza.ru</w:t>
            </w:r>
          </w:p>
        </w:tc>
      </w:tr>
      <w:tr>
        <w:tc>
          <w:tcPr>
            <w:tcW w:type="dxa" w:w="540"/>
            <w:shd w:fill="F2C94C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ems-fitness.tilda.ws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skuratovcoffee.ru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franshiza.ru/franchise/read/chistoff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Сайты операторов</w:t>
            </w:r>
          </w:p>
        </w:tc>
      </w:tr>
      <w:tr>
        <w:tc>
          <w:tcPr>
            <w:tcW w:type="dxa" w:w="540"/>
            <w:shd w:fill="F2994A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market.yandex.ru/lp/market-pvz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franchise@mokryinos.ru · +7 923 117-54-74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Не обращаться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</w:tr>
      <w:tr>
        <w:tc>
          <w:tcPr>
            <w:tcW w:type="dxa" w:w="54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Georgia" w:cs="Georgia" w:eastAsia="Georgia" w:hAnsi="Georgia"/>
          <w:i/>
          <w:iCs/>
          <w:color w:val="5B657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6.1. Пять категорий для холодного предложения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5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именно она</w:t>
            </w:r>
          </w:p>
        </w:tc>
        <w:tc>
          <w:tcPr>
            <w:tcW w:type="dxa" w:w="20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Целевое помещение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1. Детское развитие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или блок</w:t>
            </w:r>
          </w:p>
        </w:tc>
      </w:tr>
      <w:tr>
        <w:tc>
          <w:tcPr>
            <w:tcW w:type="dxa" w:w="2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2. Бьюти-коворкинг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целиком, №2, №3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3. Студийный фитнес,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№1, блоки 75–150 м²</w:t>
            </w:r>
          </w:p>
        </w:tc>
      </w:tr>
      <w:tr>
        <w:tc>
          <w:tcPr>
            <w:tcW w:type="dxa" w:w="2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4. Медицина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(блок 60–90 м²), №3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5. Мебель, кухни,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7. Сценарии и оценка NPV</w:t>
      </w:r>
    </w:p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медианам когорт ЦИАН из раздела 3.7, а не по запрашиваемым ставкам соседей. Все допущения перечислены в приложении.</w:t>
      </w:r>
    </w:p>
    <w:p>
      <w:pPr>
        <w:spacing w:after="170" w:before="12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3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Что делаем</w:t>
            </w:r>
          </w:p>
        </w:tc>
        <w:tc>
          <w:tcPr>
            <w:tcW w:type="dxa" w:w="12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CAPEX</w:t>
            </w:r>
          </w:p>
        </w:tc>
        <w:tc>
          <w:tcPr>
            <w:tcW w:type="dxa" w:w="135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NPV за 3 года</w:t>
            </w:r>
          </w:p>
        </w:tc>
        <w:tc>
          <w:tcPr>
            <w:tcW w:type="dxa" w:w="1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Прирост к «как есть»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shd w:fill="EB575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B. Коррекция цены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№2 → 25 000 ₽/м²/год, №3 → 19 300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5,53 млн ₽</w:t>
            </w:r>
          </w:p>
        </w:tc>
        <w:tc>
          <w:tcPr>
            <w:tcW w:type="dxa" w:w="1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+5,87 млн ₽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shd w:fill="4CAF50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7,65 млн ₽</w:t>
            </w:r>
          </w:p>
        </w:tc>
        <w:tc>
          <w:tcPr>
            <w:tcW w:type="dxa" w:w="1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+7,99 млн ₽</w:t>
            </w:r>
          </w:p>
        </w:tc>
      </w:tr>
      <w:tr>
        <w:tc>
          <w:tcPr>
            <w:tcW w:type="dxa" w:w="2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D. Якорь</w:t>
            </w:r>
          </w:p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20 900 ₽/м²/год</w:t>
            </w:r>
          </w:p>
        </w:tc>
        <w:tc>
          <w:tcPr>
            <w:tcW w:type="dxa" w:w="125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color w:val="1F2328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shd w:fill="1B7A3D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8,43 млн ₽</w:t>
            </w:r>
          </w:p>
        </w:tc>
        <w:tc>
          <w:tcPr>
            <w:tcW w:type="dxa" w:w="1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1B7A3D"/>
                <w:sz w:val="17"/>
                <w:szCs w:val="17"/>
              </w:rPr>
              <w:t xml:space="preserve">+8,77 млн ₽</w:t>
            </w:r>
          </w:p>
        </w:tc>
      </w:tr>
    </w:tbl>
    <w:tbl>
      <w:tblPr>
        <w:tblW w:type="dxa" w:w="10106"/>
        <w:tblBorders>
          <w:top w:val="none"/>
          <w:left w:val="single" w:color="123A5F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EEF2F6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23A5F"/>
                <w:sz w:val="21"/>
                <w:szCs w:val="21"/>
              </w:rPr>
              <w:t xml:space="preserve">Как читать эту таблицу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A даёт отрицательный NPV не потому, что модель пессимистична, а потому, что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110" w:before="0" w:line="264" w:lineRule="auto"/>
        <w:jc w:val="both"/>
      </w:pPr>
      <w:r>
        <w:rPr>
          <w:rFonts w:ascii="Georgia" w:cs="Georgia" w:eastAsia="Georgia" w:hAnsi="Georgia"/>
          <w:b/>
          <w:bCs/>
          <w:color w:val="1F2328"/>
          <w:sz w:val="21"/>
          <w:szCs w:val="21"/>
        </w:rPr>
        <w:t xml:space="preserve">Рекомендация. </w:t>
      </w:r>
      <w:r>
        <w:rPr>
          <w:rFonts w:ascii="Georgia" w:cs="Georgia" w:eastAsia="Georgia" w:hAnsi="Georgia"/>
          <w:color w:val="1F2328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90" w:before="60"/>
      </w:pPr>
      <w:r>
        <w:rPr>
          <w:rFonts w:ascii="Georgia" w:cs="Georgia" w:eastAsia="Georgia" w:hAnsi="Georgia"/>
          <w:i/>
          <w:iCs/>
          <w:color w:val="5B6570"/>
          <w:sz w:val="16"/>
          <w:szCs w:val="16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8. План действий на 90 дней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Ответственный</w:t>
            </w:r>
          </w:p>
        </w:tc>
        <w:tc>
          <w:tcPr>
            <w:tcW w:type="dxa" w:w="37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Пересчитать ставки: №2 → 79–86 тыс. ₽/мес, №3 → 68–79 тыс. ₽/мес. №1 оставить, но переупаковать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c>
          <w:tcPr>
            <w:tcW w:type="dxa" w:w="4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c>
          <w:tcPr>
            <w:tcW w:type="dxa" w:w="4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c>
          <w:tcPr>
            <w:tcW w:type="dxa" w:w="45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14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Бюджет</w:t>
            </w:r>
          </w:p>
        </w:tc>
        <w:tc>
          <w:tcPr>
            <w:tcW w:type="dxa" w:w="31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c>
          <w:tcPr>
            <w:tcW w:type="dxa" w:w="56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c>
          <w:tcPr>
            <w:tcW w:type="dxa" w:w="5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Дни 46–90: адресная работа по тир-листу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48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Цель</w:t>
            </w:r>
          </w:p>
        </w:tc>
      </w:tr>
      <w:tr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c>
          <w:tcPr>
            <w:tcW w:type="dxa" w:w="5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c>
          <w:tcPr>
            <w:tcW w:type="dxa" w:w="53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9. Источники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«Торговая площадь с террасой ТЦ «Амбар-1»»,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«Торговая площадь 39,6 м² ТЦ «Амбар-1»»,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«Офис на первой линии, БЦ «Амбар»», обновлено 12.08.2026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«Аренда помещений в торговом центре «Амбар 2»», обновлено 27.07.2026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metrplus.com — «Наши объекты: Торговый центр в Ильинском» (кадастровый номер 50:11:0050502:1759)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Бенчмарк арендных ставок (43 компа)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move.ru — объявления по с. Ильинское (ул. Ленина 11, 30, 4), Горки-2, Горки-10, Жуковка, Раздоры, Нахабино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arendacre.mirkvartir.ru — объявления по ул. Ленина 11, 26, 30, 10 (ID 3998415, 3619958, 3585838, 3903090)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shopandmall.ru — ТЦ «Ильинский» (GLA 6 300 м², 70 000 чел./мес, ставки 14 400–48 000 ₽/м²/год); ТРК «Павлово Подворье»; Барвиха Luxury Village; Dream House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realestate.ru — объявления по с. Архангельское, д. 27 (ID 102654214, 102657733, 102654215, 102657734, 102651651)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shopandmall.ru — Николо-Урюпино, ЖК «Гранель Аникеевский»; Глухово, ЖК «Новая Рига»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gladston.ru/42457 — Ильинское-Усово, ЖК «Ильинские Луга» (объект реализован)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n1.ru — БЦ «Красногорск Плаза», Ильинское шоссе, 1А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NF Group. Рынок торговой недвижимости Москвы, I полугодие 2026 (media.kf.expert)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Коммерсантъ. «Аренда торговых помещений в Москве: цены и тренды 2026»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ЦИАН — прямая выгрузка через API выдачи, 18.09.2026: 277 объявлений коммерческой аренды г.о. Красногорск (region 269663) и 13 по с. Ильинское (region 269681). Карточки: krasnogorsk.cian.ru/rent/commercial/&lt;id&gt;/ — в тексте использованы 277458208, 290241753, 313072137, 327894962, 331957732, 333311589, 331507639, 325457201, 325457202, 325457203, 333731876, 333983497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spacing w:after="100" w:before="210"/>
      </w:pPr>
      <w:r>
        <w:rPr>
          <w:rFonts w:ascii="Georgia" w:cs="Georgia" w:eastAsia="Georgia" w:hAnsi="Georgia"/>
          <w:b/>
          <w:bCs/>
          <w:color w:val="B8860B"/>
          <w:sz w:val="22"/>
          <w:szCs w:val="22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Georgia" w:cs="Georgia" w:eastAsia="Georgia" w:hAnsi="Georgia"/>
          <w:color w:val="1F2328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pageBreakBefore/>
        <w:pBdr>
          <w:bottom w:val="single" w:color="B8860B" w:sz="10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23A5F"/>
          <w:sz w:val="34"/>
          <w:szCs w:val="34"/>
        </w:rPr>
        <w:t xml:space="preserve">10. Приложение: методология, допущения и ограничения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10.1. Методология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Бенчмарк: 43 сопоставимых предложения по четырём кластерам, собранные 18.09.2026. Пересчёт ₽/м²/год = ставка ₽/мес × 12 ÷ площадь. Поправочные коэффициенты выведены из парных предложений внутри одного здания, а не взяты из отраслевых средних.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10.2. Ключевые допущения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Допущение</w:t>
            </w:r>
          </w:p>
        </w:tc>
        <w:tc>
          <w:tcPr>
            <w:tcW w:type="dxa" w:w="1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1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Данные ИНКОМ 2018 года (70% для радиуса до 40 км) плюс тренд роста. Самая непрочная цифра отчёта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Поправка на 2-й этаж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0,70–0,75 к 1-му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Пара 42 м² / 38 м² в ТЦ «Ильинский»; независимо подтверждено медианами ЦИАН по 254 лотам: 18 072 / 25 751 = 0,70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Поправка на малый блок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×1,5–2,0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Выведено из пар внутри ТЦ «Ильинский» и подтверждено таблицей NF Group по размеру блока</w:t>
            </w:r>
          </w:p>
        </w:tc>
      </w:tr>
      <w:tr>
        <w:tc>
          <w:tcPr>
            <w:tcW w:type="dxa" w:w="31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10.3. Что проверить до принятия решений</w:t>
      </w:r>
    </w:p>
    <w:tbl>
      <w:tblPr>
        <w:tblW w:type="dxa" w:w="10106"/>
        <w:tblBorders>
          <w:top w:val="single" w:color="D6DBE0" w:sz="4"/>
          <w:left w:val="single" w:color="D6DBE0" w:sz="4"/>
          <w:bottom w:val="single" w:color="D6DBE0" w:sz="4"/>
          <w:right w:val="single" w:color="D6DBE0" w:sz="4"/>
          <w:insideH w:val="single" w:color="D6DBE0" w:sz="3"/>
          <w:insideV w:val="single" w:color="D6DBE0" w:sz="3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3900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Почему это важно</w:t>
            </w:r>
          </w:p>
        </w:tc>
        <w:tc>
          <w:tcPr>
            <w:tcW w:type="dxa" w:w="3306"/>
            <w:shd w:fill="123A5F" w:color="auto" w:val="clear"/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FFFFFF"/>
                <w:sz w:val="17"/>
                <w:szCs w:val="17"/>
              </w:rPr>
              <w:t xml:space="preserve">Как проверить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Выписка ЕГРН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Сверка с собственником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1F2328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Этот вопрос был задан в исходной постановке, но данных у нас нет. Ответ мог бы существенно перевесить веса в дереве причин</w:t>
            </w:r>
          </w:p>
        </w:tc>
        <w:tc>
          <w:tcPr>
            <w:tcW w:type="dxa" w:w="3306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c>
          <w:tcPr>
            <w:tcW w:type="dxa" w:w="2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shd w:fill="F2F5F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38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1F2328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10.4. Чего не удалось проверить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Авито данные не отдал: captcha. ЦИАН во второй редакции опрошен напрямую, через API его собственной выдачи из реального браузера, — ограничение первой редакции снято: выгружены все 277 объявлений коммерческой аренды округа.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70" w:line="262" w:lineRule="auto"/>
        <w:jc w:val="both"/>
      </w:pPr>
      <w:r>
        <w:rPr>
          <w:rFonts w:ascii="Georgia" w:cs="Georgia" w:eastAsia="Georgia" w:hAnsi="Georgia"/>
          <w:color w:val="1F2328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spacing w:after="130" w:before="280"/>
      </w:pPr>
      <w:r>
        <w:rPr>
          <w:rFonts w:ascii="Georgia" w:cs="Georgia" w:eastAsia="Georgia" w:hAnsi="Georgia"/>
          <w:b/>
          <w:bCs/>
          <w:color w:val="123A5F"/>
          <w:sz w:val="26"/>
          <w:szCs w:val="26"/>
        </w:rPr>
        <w:t xml:space="preserve">10.5. Неразрешённое противоречие</w:t>
      </w:r>
    </w:p>
    <w:tbl>
      <w:tblPr>
        <w:tblW w:type="dxa" w:w="10106"/>
        <w:tblBorders>
          <w:top w:val="none"/>
          <w:left w:val="single" w:color="B8860B" w:sz="18"/>
          <w:bottom w:val="none"/>
          <w:right w:val="none"/>
          <w:insideH w:val="none"/>
          <w:insideV w:val="none"/>
        </w:tblBorders>
      </w:tblPr>
      <w:tblGrid>
        <w:gridCol w:w="10106"/>
      </w:tblGrid>
      <w:tr>
        <w:tc>
          <w:tcPr>
            <w:tcW w:type="dxa" w:w="10106"/>
            <w:shd w:fill="FBF6EC" w:color="auto" w:val="clear"/>
            <w:tcMar>
              <w:top w:type="dxa" w:w="130"/>
              <w:left w:type="dxa" w:w="190"/>
              <w:bottom w:type="dxa" w:w="130"/>
              <w:right w:type="dxa" w:w="15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60B"/>
                <w:sz w:val="21"/>
                <w:szCs w:val="21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Исходная постановка задачи говорит, что три помещения вакантны непрерывно примерно с 2023 года.</w:t>
            </w:r>
          </w:p>
          <w:p>
            <w:pPr>
              <w:spacing w:after="50" w:line="258" w:lineRule="auto"/>
              <w:jc w:val="both"/>
            </w:pPr>
            <w:r>
              <w:rPr>
                <w:rFonts w:ascii="Georgia" w:cs="Georgia" w:eastAsia="Georgia" w:hAnsi="Georgia"/>
                <w:color w:val="1F2328"/>
                <w:sz w:val="20"/>
                <w:szCs w:val="20"/>
              </w:rPr>
              <w:t xml:space="preserve">Эти два утверждения несовместимы. Возможные объяснения: презентация отражала план, а не факт; арендаторы съехали сразу после сделки; либо слово «сдан» относилось к части корпуса. Разрешить противоречие по открытым источникам невозможно — требуется ответ собственника. От него зависит, считать ли причиной вакансии исходное качество продукта или последующий отток арендаторов.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108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5B657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5B657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cs="Georgia" w:eastAsia="Georgia" w:hAnsi="Georgia"/>
        <w:color w:val="5B6570"/>
        <w:sz w:val="17"/>
        <w:szCs w:val="17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BE0" w:sz="5" w:space="7"/>
      </w:pBdr>
      <w:jc w:val="right"/>
    </w:pPr>
    <w:r>
      <w:rPr>
        <w:rFonts w:ascii="Georgia" w:cs="Georgia" w:eastAsia="Georgia" w:hAnsi="Georgia"/>
        <w:color w:val="5B657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BE0" w:sz="5" w:space="7"/>
      </w:pBdr>
      <w:jc w:val="right"/>
    </w:pPr>
    <w:r>
      <w:rPr>
        <w:rFonts w:ascii="Georgia" w:cs="Georgia" w:eastAsia="Georgia" w:hAnsi="Georgia"/>
        <w:color w:val="5B657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BE0" w:sz="5" w:space="7"/>
      </w:pBdr>
      <w:jc w:val="right"/>
    </w:pPr>
    <w:r>
      <w:rPr>
        <w:rFonts w:ascii="Georgia" w:cs="Georgia" w:eastAsia="Georgia" w:hAnsi="Georgia"/>
        <w:color w:val="5B6570"/>
        <w:sz w:val="15"/>
        <w:szCs w:val="15"/>
      </w:rPr>
      <w:t xml:space="preserve">ТЦ «Амбар 1» · с. Ильинское · исследование вакантных помещений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B8860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b/>
        <w:bCs/>
        <w:color w:val="12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328"/>
        <w:sz w:val="21"/>
        <w:szCs w:val="21"/>
      </w:rPr>
    </w:rPrDefault>
    <w:pPrDefault>
      <w:pPr>
        <w:spacing w:after="110"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0"/>
    </w:pPr>
    <w:rPr>
      <w:rFonts w:ascii="Georgia" w:cs="Georgia" w:eastAsia="Georgia" w:hAnsi="Georgia"/>
      <w:b/>
      <w:bCs/>
      <w:color w:val="12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30" w:before="280"/>
    </w:pPr>
    <w:rPr>
      <w:rFonts w:ascii="Georgia" w:cs="Georgia" w:eastAsia="Georgia" w:hAnsi="Georgia"/>
      <w:b/>
      <w:bCs/>
      <w:color w:val="12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10"/>
    </w:pPr>
    <w:rPr>
      <w:rFonts w:ascii="Georgia" w:cs="Georgia" w:eastAsia="Georgia" w:hAnsi="Georgia"/>
      <w:b/>
      <w:bCs/>
      <w:color w:val="B8860B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5b94efc932158f7047a81e233d3c956b6cf2505.jpg"/><Relationship Id="rId14" Type="http://schemas.openxmlformats.org/officeDocument/2006/relationships/image" Target="media/efbad375f9c174320035dcac7fd8c5bd27000339.jpg"/><Relationship Id="rId15" Type="http://schemas.openxmlformats.org/officeDocument/2006/relationships/image" Target="media/0837aa9f4b5b519dc0fee48f6f2c3683d9ff65ca.jpg"/><Relationship Id="rId16" Type="http://schemas.openxmlformats.org/officeDocument/2006/relationships/image" Target="media/245df0ca5f36b7bd1a29de34241af8252554f69b.jpg"/><Relationship Id="rId17" Type="http://schemas.openxmlformats.org/officeDocument/2006/relationships/image" Target="media/f873ea74cc309c7ad8ff7b3942b68550b1957933.jpg"/><Relationship Id="rId18" Type="http://schemas.openxmlformats.org/officeDocument/2006/relationships/image" Target="media/9ffc53e0669a7d395937d555a199937439e39377.jpg"/><Relationship Id="rId19" Type="http://schemas.openxmlformats.org/officeDocument/2006/relationships/image" Target="media/8e3c778d7204590d89dff0ab02f4aa3478f3ddd5.jpg"/><Relationship Id="rId20" Type="http://schemas.openxmlformats.org/officeDocument/2006/relationships/image" Target="media/355d3b0359b78f479af0e84f255f064cad2ed8a4.jpg"/><Relationship Id="rId21" Type="http://schemas.openxmlformats.org/officeDocument/2006/relationships/image" Target="media/8a6e57fed472de0f5216b29a8a0c0e247a4a8e5a.jpg"/><Relationship Id="rId22" Type="http://schemas.openxmlformats.org/officeDocument/2006/relationships/image" Target="media/2ffa93ffb2c03a826d5fb6df29052872b652c103.jpg"/><Relationship Id="rId23" Type="http://schemas.openxmlformats.org/officeDocument/2006/relationships/image" Target="media/a6b302f5ce2c5990b56d6dd84e6de591d0f66f09.jpg"/><Relationship Id="rId24" Type="http://schemas.openxmlformats.org/officeDocument/2006/relationships/image" Target="media/8da4408031518214bfd56fbbb648c363a185e67d.png"/><Relationship Id="rId25" Type="http://schemas.openxmlformats.org/officeDocument/2006/relationships/image" Target="media/f9f9dec343e75f4378e59d5ea4219c0fc05adeac.png"/><Relationship Id="rId26" Type="http://schemas.openxmlformats.org/officeDocument/2006/relationships/image" Target="media/d1a8c5cc07e52a2877fb5e608136bcc0b60a3b44.png"/><Relationship Id="rId27" Type="http://schemas.openxmlformats.org/officeDocument/2006/relationships/image" Target="media/56ff828bf645bed0ec1e7b4108aa37b8a5854faa.png"/><Relationship Id="rId28" Type="http://schemas.openxmlformats.org/officeDocument/2006/relationships/image" Target="media/72de6371994a4f7a6f2b56edfa9fe1bfa5e81443.png"/><Relationship Id="rId29" Type="http://schemas.openxmlformats.org/officeDocument/2006/relationships/image" Target="media/1b5aedc635f1df08f761a234a1898ba684c81d96.png"/><Relationship Id="rId30" Type="http://schemas.openxmlformats.org/officeDocument/2006/relationships/image" Target="media/613c9909b6c19ce59a6257ec6cb8c8fe0ee25304.png"/><Relationship Id="rId31" Type="http://schemas.openxmlformats.org/officeDocument/2006/relationships/image" Target="media/b588044c9b9a7c748fd47ed4a7e59dc0db42c02c.png"/><Relationship Id="rId32" Type="http://schemas.openxmlformats.org/officeDocument/2006/relationships/image" Target="media/791fcea629cb12afecac644f40aa472fe54ac701.png"/><Relationship Id="rId33" Type="http://schemas.openxmlformats.org/officeDocument/2006/relationships/image" Target="media/43062bdbe82114aca9f6b01883b42485f2156321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2026-09-18T09:05:34.142Z</dcterms:created>
  <dcterms:modified xsi:type="dcterms:W3CDTF">2026-09-18T09:05:34.142Z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