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9" w:lineRule="auto"/>
        <w:jc w:val="left"/>
      </w:pPr>
    </w:p>
    <w:p>
      <w:pPr>
        <w:spacing w:before="0" w:after="0" w:line="269" w:lineRule="auto"/>
        <w:jc w:val="left"/>
      </w:pP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  <w:spacing w:val="60"/>
        </w:rPr>
        <w:t>ЕЖЕНЕДЕЛЬНАЯ АНАЛИТИКА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Рынок недвижимости</w:t>
      </w:r>
    </w:p>
    <w:p>
      <w:pPr>
        <w:spacing w:before="0" w:after="20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Нидерландов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16846F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C0791C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2C5F8A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40" w:after="200" w:line="269" w:lineRule="auto"/>
        <w:jc w:val="left"/>
      </w:pPr>
      <w:r>
        <w:rPr>
          <w:rFonts w:ascii="Calibri" w:hAnsi="Calibri" w:cs="Calibri"/>
          <w:b/>
          <w:i/>
          <w:color w:val="105A4C"/>
          <w:sz w:val="28"/>
        </w:rPr>
        <w:t>«Большие деньги и большие правила: Prologis охотится за Segro, институционалы спасают аренду, а государство переписывает условия игры»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222B36"/>
          <w:sz w:val="26"/>
        </w:rPr>
        <w:t xml:space="preserve">Период: </w:t>
      </w:r>
      <w:r>
        <w:rPr>
          <w:rFonts w:ascii="Calibri" w:hAnsi="Calibri" w:cs="Calibri"/>
          <w:b w:val="0"/>
          <w:i w:val="0"/>
          <w:color w:val="222B36"/>
          <w:sz w:val="26"/>
        </w:rPr>
        <w:t>23–30 июня 2026 г.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</w:rPr>
        <w:t xml:space="preserve">Сегменты: </w:t>
      </w:r>
      <w:r>
        <w:rPr>
          <w:rFonts w:ascii="Calibri" w:hAnsi="Calibri" w:cs="Calibri"/>
          <w:b w:val="0"/>
          <w:i w:val="0"/>
          <w:color w:val="6B7785"/>
          <w:sz w:val="22"/>
        </w:rPr>
        <w:t>жилая недвижимость · коммерция (стрит-ритейл) · индустриальная (склады, промзоны)</w:t>
      </w:r>
    </w:p>
    <w:p>
      <w:pPr>
        <w:spacing w:before="40" w:after="280" w:line="269" w:lineRule="auto"/>
        <w:jc w:val="left"/>
      </w:pPr>
      <w:r>
        <w:rPr>
          <w:rFonts w:ascii="Calibri" w:hAnsi="Calibri" w:cs="Calibri"/>
          <w:b w:val="0"/>
          <w:i/>
          <w:color w:val="6B7785"/>
          <w:sz w:val="19"/>
        </w:rPr>
        <w:t>Отчёт сформирован: 30 июня 2026 г.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50" w:type="dxa"/>
              <w:bottom w:w="15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80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ГЛАВНЫЕ ВЫВОДЫ НЕДЕЛИ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1.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Prologis предложил €14,6 млрд за Segro (премия 24,6%, отклонено) — развязка 22 июля переоценит всю европейскую и нидерландскую логистику.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2.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Институционалы тушат панику в аренде: Vesteda срезал выход инвесторов с 4,1 млрд до 765 млн € — массового сброса жилья не будет.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3.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Электричество стало фактором цены №1 в индустриале: с 1 июля правила netcongestie жёстче, объекты с готовым подключением дорожают.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4.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Ритейл-парки тихо обыгрывают рынок: вакантность 4,4% против 5,5%, доходность ~7,5% — деньги идут в удобство, а не в престиж адреса.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5.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Главная драма недели — не цены, а правила: box 3, квоты доступности и netcongestie определят доходность на 2–3 года вперёд.</w:t>
            </w:r>
          </w:p>
        </w:tc>
      </w:tr>
    </w:tbl>
    <w:p>
      <w:pPr>
        <w:spacing w:before="0" w:after="16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BF1DF"/>
            <w:tcMar>
              <w:top w:w="130" w:type="dxa"/>
              <w:bottom w:w="13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8A5510"/>
                <w:sz w:val="20"/>
              </w:rPr>
              <w:t>★  ВАЖНО ДЛЯ ВАШЕГО ПОРТФЕЛЯ</w:t>
            </w:r>
          </w:p>
          <w:p>
            <w:pPr>
              <w:spacing w:before="40" w:after="40" w:line="276" w:lineRule="auto"/>
              <w:ind w:left="283" w:hanging="198"/>
            </w:pPr>
            <w:r>
              <w:rPr>
                <w:rFonts w:ascii="Calibri" w:hAnsi="Calibri" w:cs="Calibri"/>
                <w:b/>
                <w:i w:val="0"/>
                <w:color w:val="8A5510"/>
                <w:sz w:val="21"/>
              </w:rPr>
              <w:t xml:space="preserve">▪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Ваш фокус — склады: оферта Prologis за Segro (€14,6 млрд) переоценивает весь логистический сектор. Развязка 22 июля — следите, это прямой сигнал к стоимости ваших активов.</w:t>
            </w:r>
          </w:p>
          <w:p>
            <w:pPr>
              <w:spacing w:before="40" w:after="40" w:line="276" w:lineRule="auto"/>
              <w:ind w:left="283" w:hanging="198"/>
            </w:pPr>
            <w:r>
              <w:rPr>
                <w:rFonts w:ascii="Calibri" w:hAnsi="Calibri" w:cs="Calibri"/>
                <w:b/>
                <w:i w:val="0"/>
                <w:color w:val="8A5510"/>
                <w:sz w:val="21"/>
              </w:rPr>
              <w:t xml:space="preserve">▪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Срочно проверьте запас электромощности на ваших площадках (Венло, Мурдейк, Эммен): с 1 июля правила netcongestie ужесточаются, и «подключённые» объекты дорожают относительно остальных.</w:t>
            </w:r>
          </w:p>
          <w:p>
            <w:pPr>
              <w:spacing w:before="40" w:after="40" w:line="276" w:lineRule="auto"/>
              <w:ind w:left="283" w:hanging="198"/>
            </w:pPr>
            <w:r>
              <w:rPr>
                <w:rFonts w:ascii="Calibri" w:hAnsi="Calibri" w:cs="Calibri"/>
                <w:b/>
                <w:i w:val="0"/>
                <w:color w:val="8A5510"/>
                <w:sz w:val="21"/>
              </w:rPr>
              <w:t xml:space="preserve">▪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По ритейл-паркам (ваш сегмент): вакантность 4,4% против 5,5% по рынку, доходность ~7,5% — сегмент держится крепче центров городов; хорошие площадки трудно купить дёшево.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🧵  Сюжеты в развитии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Prologis торгуется за Segro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Оферта €14,6 млрд (премия 24,6%) отклонена советом Segro как заниженная; мяч на стороне Prologis.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2026-07-22 — дедлайн: подтвердить твёрдое намерение или отступить</w:t>
      </w:r>
      <w:hyperlink r:id="rId11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Box 3: переход на налог с реальной доходности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Сенат начал дебаты; спор о налоге на нереализованный («бумажный») рост стоимости.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2028-01-01 — намеченный старт нового режима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B07A1C"/>
          <w:sz w:val="16"/>
          <w:shd w:val="clear" w:color="auto" w:fill="FFF6E5"/>
        </w:rPr>
        <w:t xml:space="preserve"> ПОД НАБЛЮДЕНИЕМ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Перегрузка электросетей тормозит стройку и индустриал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С 1 июля мелкие потребители теряют резерв мощности; очередь — ~15 000 компаний.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2026-07-01 — вступление новых правил в силу</w:t>
      </w:r>
      <w:hyperlink r:id="rId13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B07A1C"/>
          <w:sz w:val="16"/>
          <w:shd w:val="clear" w:color="auto" w:fill="FFF6E5"/>
        </w:rPr>
        <w:t xml:space="preserve"> ПОД НАБЛЮДЕНИЕМ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Vesteda гасит панику с выкупом паёв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Выход инвесторов срезан с 4,1 млрд до 765 млн €; ликвидность теперь ежегодная (7,5%/год).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2027-06-26 — следующий ежегодный цикл заявок на выход</w:t>
      </w:r>
      <w:hyperlink r:id="rId14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Города ужесточают долю доступного жилья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Утрехт — 80%, Роттердам — 67% доступного в новостройке; девелоперы (BPD) лоббируют смягчение.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2026-09-30 — осенью — выльются ли квоты в реальные проекты</w:t>
      </w:r>
      <w:hyperlink r:id="rId15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Азотный пакет на 20 млрд € разблокирует стройку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Кабинет ввёл расчётный нижний порог выбросов и буферные зоны вокруг природных территорий.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2026-09-30 — первые разрешения по новому порогу</w:t>
      </w:r>
      <w:hyperlink r:id="rId16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spacing w:before="0" w:after="8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📊  Статистика в графиках</w:t>
            </w:r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899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8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Самые крупные числа недели одним взглядом.</w:t>
      </w:r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F3A5F"/>
          <w:sz w:val="23"/>
        </w:rPr>
        <w:t>Коротко о неделе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Неделя 23–30 июня прошла под знаком крупного капитала и новых правил. В жилье институционалы стабилизировали аренду (Vesteda удержал выход инвесторов, Bouwinvest удвоил фонд для пожилых), но государство и города закрутили требования доступности, а налог box 3 переписывается под реальную доходность. В коммерции тихий чемпион — периферийные ритейл-парки: вакантность 4,4% против 5,5% по рынку, пока центры городов страдают. В индустриале гремит оферта Prologis на Segro (~14,6 млрд €, отклонена), задающая цену всему сектору, а с 1 июля доступ к электросети становится фактором стоимости №1.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6846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🏠  Жилая недвижимость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Сенат одобрил закон, который даёт государству, провинциям и муниципалитетам право решать, сколько, где и какое жильё строить (Wet versterking regie volkshuisvesting): две трети новостроек должны быть «доступными», 30% — социальная аренда. В силе с 1 июля.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Драйвер: дефицит доступного жилья → государство берёт стройку под контроль → у девелоперов сужается поле для дорогих проектов. Что делать: строите или покупаете под аренду — закладывайте жёсткие квоты доступности уже сейчас.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Eerste Kamer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Сенат начал дебаты по новому налогу для частных арендодателей (Wet werkelijk rendement box 3): вместо налога на выдуманный доход — налог на реальный арендный доход ежегодно, а на подорожание недвижимости — только при продаже. Старт намечен на 2028, но Сенат спорит о налоге на «бумажный» рост.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Простыми словами: налог поедет за реальной доходностью, а не за фиктивной — пустующая недвижимость станет выгоднее, а растущая в цене дороже при продаже. Что делать: следить за финальной редакцией — она решит, держать актив или фиксировать прибыль до 2028.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Eerste Kamer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Верховный суд (Hoge Raad) поставил точку: кто не оспорил налог box 3 за 2017–2020 вовремя — компенсацию не получит, массовая процедура закрыта.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Сигнал-предупреждение: по налогам на недвижимость сроки решают деньги. Что делать: проверьте, поданы ли ваши возражения за текущие годы — опоздание необратимо.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Accountancy Vanmorgen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Крупнейший институциональный арендодатель жилья Vesteda (~10,8 млрд €, ~28 000 квартир) утихомирил волну выхода инвесторов: вместо заявок на выкуп паёв на 4,1 млрд € — итог 765 млн € (−81%). Пенсионные фонды теперь могут выходить ежегодно, фонд даёт ликвидность «по возможности» (7,5% капитала в год).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Драйвер: пенсионные фонды хотели массово выйти из аренды → грозила распродажа и давление на цены → сделка это предотвратила. Что делать владельцу аренды: масштабного сброса жилья на рынок не будет (поддержка оценкам), но на быстрый выход из таких фондов больше не рассчитывайте.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Vesteda / NOS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Bouwinvest (управляет ~14 млрд € для пенсионных фондов) более чем удвоил фонд жилья для пожилых: заявленный капитал вырос со 130 до 263,5 млн €, инвесторов стало шесть.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Редкий приток денег в аренду на фоне общего оттока. Простыми словами: умные деньги заходят в жильё с уходом — там спрос растёт со старением населения. Что делать: healthcare-жильё стоит присмотреть, пока сегмент не перегрет.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0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Утрехт и Роттердам утвердили коалиционные соглашения с жёсткими планками доступного жилья: Утрехт требует 80% доступного во всей новостройке, Роттердам — ~67% (10 000 из 15 000 домов до 2030) плюс строительный фонд 111 млн €.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Города закручивают гайки сильнее национальной нормы. Что делать девелоперу: в этих городах экономика проекта смещается к доступному сегменту — пересчитывайте маржу заранее.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Vastgoedmarkt /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Гендиректор BPD (один из крупнейших девелоперов жилья, структура Rabobank) Харм Янссен в интервью: «надо просто начинать строить» — дефицит инфраструктуры (~80 млрд €) и перегрузка сетей не повод годами морозить площадки, и пора смягчить требование вечной доступности двух третей жилья.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Голос отрасли против гаек из законов выше — назревает конфликт «доступность против темпов стройки». Что делать: следить, чья возьмёт — это определит, что и как быстро появится на рынке.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1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06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sted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06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Заявки на выкуп паёв упали с 4,1 млрд до 765 млн € — масштабной распродажи жилья не будет.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061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uwinve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06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Заявленный капитал вырос со 130 до 263,5 млн € — редкий приток денег в аренду.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41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fordab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Утрехт требует больше доступного жилья, чем национальная норма.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Неделя в жилье — про деньги и правила. Институционалы стабилизируют аренду (Vesteda удержал выход, Bouwinvest нарастил фонд), но государство и города одновременно закручивают требования доступности, а налог box 3 переписывается под реальную доходность. Главное напряжение сезона — «доступность против темпов стройки»: девелоперы давят на смягчение, власти — на квоты. Свежей статистики цен на этой неделе нет (релиз CBS пришёлся на 22 июня, вне окна), поэтому смотрим на сигналы капитала и политики.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1 июля — старт правил netcongestie (бьёт и по стройке жилья); финальная редакция box 3 (до неё рантье неясно — держать или продавать); осень — выльются ли городские квоты в реальные проекты.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🏪  Коммерция (стрит-ритейл)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Ассоциация институциональных инвесторов IVBN потребовала не тянуть до 2032 со смягчением лимита на вычет процентов (earningsstrippingmaatregel): нидерландский потолок (24,5% EBITDA, порог 1 млн €) жёстче, чем предлагает Еврокомиссия (30% EBITDA, порог 3 млн €).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Простыми словами: чем меньше процентов по кредиту можно вычесть из налога, тем дороже держать недвижимость в долг → капитал уходит из NL. Что делать: высокая налоговая нагрузка на заёмную недвижимость — структурный минус страны, учитывайте в доходности на собственный капитал.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Vastgoed Insider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CBRE (крупнейший в мире брокер коммерческой недвижимости) показал тихого чемпиона: периферийные ритейл-парки (крупноформатные магазины на окраинах — мебель, DIY, товары для дома) держат вакантность всего 4,4% против 5,5% по рынку; из 194 парков в 73 нет ни одной пустой единицы.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Драйвер: пока центры городов давит онлайн и банкротства, парки выигрывают на удобстве и парковке → освобождающиеся места быстро пересдаются. Что делать: ритейл-парки — устойчивый высокодоходный сегмент; собственнику стрит-ритейла в центре это повод пересмотреть стратегию.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CBRE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6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Бельгийский REIT Retail Estates (специализируется на ритейл-парках Бенилюкса) подтвердил тезис цифрами: заполняемость 97,8%, чистый арендный доход +2,5%, дивиденд растёт 22-й год подряд, доходность ~7,5% брутто; Нидерланды дают уже 38% портфеля.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Простыми словами: ~7,5% против ставки ЕЦБ ~2% — премия за риск ~5,5 п.п., рынок щедро платит за ритейл-парки. Что делать: высокая доходность = высокий воспринимаемый риск; денежный поток хорош, но следите за качеством арендаторов.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Test-Aankoop (Invest)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7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Wereldhave (старейший биржевой инвестор в торговую недвижимость, индекс AEX) сдал сразу шесть площадей в ТЦ Cityplaza в Нивегейне — мода, обувь, общепит, красота.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Сильные ТЦ продолжают наполняться арендаторами. Что делать: ставка на качественные локации с трафиком работает; слабые центры — зона риска.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Дисконт-сеть Scapino (обувь/одежда/спорт, 170+ магазинов) открыла два новых магазина и запустила более крупный формат Sport XL.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Даже в эпоху онлайна дисконтеры растут вживую. Что делать: спрос на площади под доступные форматы сохраняется — это покупатели вашей недвижимости.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Банк ABN AMRO слегка понизил прогноз по рознице: потребители пока тратят стабильно, но затяжные последствия конфликта на Ближнем Востоке могут ударить по спросу.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Меньше продаж у ритейлеров → труднее платить аренду → риск для собственников. Что делать: проверьте устойчивость ваших арендаторов к спаду спроса.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Vastgoedjournaal / ABN AMRO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0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Готовность голландцев к крупным покупкам (koopbereidheid, субиндекс доверия CBS) совершила рекордный месячный скачок: с −28 до −22, общий индекс доверия — с −46 до −39 (сильнейший рост за 11+ лет).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Простыми словами: настроение улучшается, но всё ещё глубоко в минусе (ниже среднего −9) — это разворот тренда, а не праздник. Что делать ритейлу: осторожный позитив, всплеска трат пока не ждите.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Vakblad Mannenmode (по данным CBS)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1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Вакантность ритейл-парков на начало 2026 — 4,4%, ниже фрикционного уровня и среднего по торговой недвижимости (5,5%).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Ниже рынка = дефицит хороших площадей. Что делать: качественные парки трудно купить дёшево — цените имеющееся.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4,4%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CBRE / keukenendesign.nl</w:t>
            </w:r>
            <w:hyperlink r:id="rId32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564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ail_vac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5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Периферийные ритейл-парки устойчивее торговой недвижимости в целом.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Тема недели в коммерции — устойчивость периферийных ритейл-парков: и CBRE, и результаты Retail Estates сошлись на одном — это стабильный высокодоходный сегмент (вакантность 4,4%, доходность ~7,5%), пока центры городов страдают. Настроение потребителей разворачивается вверх рекордным темпом, но из глубокого минуса — праздновать рано. На налоговом фронте IVBN бьётся за смягчение вычета процентов как условие возврата капитала. Вывод: деньги и арендаторы идут в качество и удобство, а не в престиж адреса.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Реакция правительства на требование IVBN по налогу; устоит ли потребительский разворот; не ускорят ли внешние риски спад в рознице.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2C5F8A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🏭  Индустриал (склады, промзоны)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С 1 июля в зонах перегрузки электросети (netcongestie) мелкие потребители теряют зарезервированную мощность и встают в общую очередь — а там уже ~15 000 крупных компаний. Приоритет — у тех, кто разгружает сеть, экстренных служб и базовых нужд.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Простыми словами: электросеть как шоссе в час пик — провода есть, а свободной полосы для новых складов нет. Драйвер: дефицит мощности → объекты с готовым подключением дорожают, без него теряют ценность. Что делать: проверьте запас мощности на ваших площадках — это теперь фактор цены №1 в индустриале.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VNO-NCW West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Правительство выкатило пакет на 20 млрд € против «азотного замка» (stikstof): расчётный нижний порог выбросов (ниже него — без разрешения) и буферы 500–1000 м вокруг ~100 природных зон, чтобы разблокировать стройку и энергосети.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Драйвер: азотные нормы годами морозили стройку → деньги должны её разморозить. Что делать: среднесрочный позитив для девелопмента складов и инфраструктуры, но эффект не мгновенный — следите за реализацией.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Rijksoverheid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6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Крупнейшая в мире логистическая компания Prologis сделала предложение о поглощении британской Segro за ~14,6 млрд € (премия 24,6%), чтобы создать «крупнейшую в мире котируемую логистическую недвижимость». Совет Segro оферту отклонил как заниженную; по британским правилам Prologis до 22 июля должна подтвердить намерение или отступить.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Драйвер: оценки европейской логистики просели → крупный игрок пытается купить дёшево → сделка задаёт ценовой ориентир всему сектору, включая NL (у Prologis тут крупное присутствие). Что делать: следите за развязкой 22 июля — она переоценит ваши логистические активы.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Warehouse Totaal / PropertyNL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1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Deutsche Bank срезал целевые цены четырёх ведущих логистических REIT, работающих и в NL (CTP 22→19, WDP 30→25, Montea 85→73, VGP 120→100 €), но рекомендацию «покупать» сохранил по всем.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Простыми словами: ожидания по ставкам ЕЦБ выше → будущие доходы дисконтируются жёстче → справедливая цена акций ниже, НО арендные потоки и оферта Prologis держат сектор. Сигнал: рынок ждёт стабилизации, а не падения. Что делать: коррекция оценок — это вход, а не бегство, если верите в логистику.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De Aandeelhouder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Девелопер Panattoni начал спекулятивную застройку (без заранее найденного арендатора) комплекса ~150 000 м² (как 22 футбольных поля) в Эммене; собственные инвестиции &gt;100 млн €, сдача — март 2028.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Спекулятивная стройка такого масштаба = вера девелопера в спрос. Что делать: спрос на современные большие склады жив, но смотрите, найдётся ли арендатор к сдаче — это индикатор реального аппетита.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PropertyNL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Семейный логист Van der Helm (с 1936, регион Вестланд) строит ~100 000 м² в логистическом парке Мурдейк с прямым выходом на дорогу, воду и железную дорогу; ввод — конец 2026.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Ещё один крупный мультимодальный объект в работе — спрос на площадки с тремя видами транспорта сохраняется. Что делать: такие локации — премиальный актив, держите в фокусе.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Warehouse Totaal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6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780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targe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78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Целевые цены снижены на 14–17%; рекомендация «покупать» сохранена — рынок ждёт стабилизации, а не падения.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Индустриал — самый громкий сегмент недели. Большая корпоративная история (оферта Prologis на Segro €14,6 млрд, отклонена) переоценивает весь европейский логистический сектор, а Deutsche Bank на этом фоне срезал цели четырёх REIT, но держит «покупать» — рынок ждёт стабилизации, не падения. На земле спрос жив: Panattoni рискует спекулятивной стройкой, Van der Helm строит мультимодальный хаб. Но фактор цены №1 сместился к электричеству: с 1 июля правила netcongestie ужесточаются, и объекты с готовым подключением будут стоить заметно дороже. Пакет по азоту на 20 млрд € — среднесрочный позитив.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22 июля — подтвердит ли Prologis оферту по Segro (переоценит сектор); как заработают правила netcongestie с 1 июля; первые разрешения по новому азотному порогу.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🧭  Картина недели и прогноз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83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Через все три сегмента проходит одна нить: большие деньги ищут, куда встать, а государство переписывает условия. Институционалы стабилизируют аренду жилья и заходят в нишу пожилых; в логистике разворачивается сделка десятилетия (Prologis/Segro), которая задаст цены всему сектору; ритейл-парки тихо обыгрывают центры. Сквозной риск-фактор для стройки и индустриала — электросети и азот: с 1 июля мощность сети становится фактором цены №1, а азотный пакет на 20 млрд € обещает разморозку, но не сразу. Не-консенсусный угол: пока заголовки про рост цен на жильё, реальная драма — в правилах (box 3, доступность, netcongestie), и именно они определят доходность на 2–3 года вперёд. Прогноз: развязка Prologis/Segro 22 июля — главный ценовой сигнал; первые эффекты netcongestie и азота — структурный водораздел между «подключёнными» и «неподключёнными» активами.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📅  Календарь: за чем следить</w:t>
            </w:r>
          </w:p>
        </w:tc>
      </w:tr>
    </w:tbl>
    <w:p>
      <w:pPr>
        <w:spacing w:before="0" w:after="4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1531"/>
        <w:gridCol w:w="6406"/>
        <w:gridCol w:w="1587"/>
      </w:tblGrid>
      <w:tr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Дата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Событие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Сегмент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2026-07-01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🗳  Вступают в силу новые правила netcongestie (электроподключения)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объекты без мощности теряют ценность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2026-07-22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⏳  Дедлайн Prologis по Segro: подтвердить оферту или отступить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переоценит весь логистический сектор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2026-07-23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📈  Очередной релиз CBS по ценам на жильё (ориентировочно)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свежая динамика цен и сделок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2028-01-01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🗳  Намеченный старт налога box 3 с реальной доходности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смена правил для частных арендодателей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📖  Словарь терминов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2835"/>
        <w:gridCol w:w="6690"/>
      </w:tblGrid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netcongestie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перегрузка электросети — свободной мощности не хватает на всех, подключения ставят в очередь на годы.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stikstof / азотный замок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ограничения по выбросам азота, из-за которых годами не выдавали разрешения на стройку.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box 3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раздел нидерландского подоходного налога на сбережения и инвестиции, включая недвижимость не для собственного проживания.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EPRA NTA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стандартная «чистая стоимость активов» REIT на акцию; дисконт к ней = биржа оценивает компанию дешевле её зданий на балансе.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спред доходности (yield) к Bund/€STR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наценка, которую рынок берёт за риск недвижимости сверх «надёжных» гособлигаций и базовой ставки.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REIT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биржевая компания, владеющая доходной недвижимостью и распределяющая ренту акционерам.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earningsstrippingmaatregel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лимит на вычет процентов по кредиту из налогооблагаемой прибыли; чем жёстче, тем дороже держать недвижимость в долг.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Eerste Kamer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Сенат, верхняя палата парламента Нидерландов.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Hoge Raad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Верховный суд Нидерландов.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спекулятивная застройка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стройка склада/объекта без заранее найденного арендатора — ставка девелопера на спрос.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koopbereidheid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субиндекс потребительского доверия CBS — готовность людей к крупным покупкам.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3PL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логистический подрядчик, который ведёт склады и доставку чужих товаров под заказ.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фрикционная вакантность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минимально неизбежная доля пустующих площадей при нормальной ротации арендаторов.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🔗  Источники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Eerste Kamer — Сенат  </w:t>
      </w:r>
      <w:hyperlink r:id="rId38">
        <w:r>
          <w:rPr>
            <w:color w:val="1155CC"/>
            <w:sz w:val="18"/>
            <w:rFonts w:ascii="Calibri" w:hAnsi="Calibri"/>
            <w:u w:val="single"/>
          </w:rPr>
          <w:t xml:space="preserve">https://www.eerstekamer.nl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Rijksoverheid — правительство  </w:t>
      </w:r>
      <w:hyperlink r:id="rId39">
        <w:r>
          <w:rPr>
            <w:color w:val="1155CC"/>
            <w:sz w:val="18"/>
            <w:rFonts w:ascii="Calibri" w:hAnsi="Calibri"/>
            <w:u w:val="single"/>
          </w:rPr>
          <w:t xml:space="preserve">https://www.rijksoverheid.nl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Accountancy Vanmorgen  </w:t>
      </w:r>
      <w:hyperlink r:id="rId40">
        <w:r>
          <w:rPr>
            <w:color w:val="1155CC"/>
            <w:sz w:val="18"/>
            <w:rFonts w:ascii="Calibri" w:hAnsi="Calibri"/>
            <w:u w:val="single"/>
          </w:rPr>
          <w:t xml:space="preserve">https://www.accountancyvanmorgen.nl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Vesteda — IR  </w:t>
      </w:r>
      <w:hyperlink r:id="rId41">
        <w:r>
          <w:rPr>
            <w:color w:val="1155CC"/>
            <w:sz w:val="18"/>
            <w:rFonts w:ascii="Calibri" w:hAnsi="Calibri"/>
            <w:u w:val="single"/>
          </w:rPr>
          <w:t xml:space="preserve">https://news.vesteda.com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Vastgoedjournaal  </w:t>
      </w:r>
      <w:hyperlink r:id="rId42">
        <w:r>
          <w:rPr>
            <w:color w:val="1155CC"/>
            <w:sz w:val="18"/>
            <w:rFonts w:ascii="Calibri" w:hAnsi="Calibri"/>
            <w:u w:val="single"/>
          </w:rPr>
          <w:t xml:space="preserve">https://vastgoedjournaal.nl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Vastgoedmarkt  </w:t>
      </w:r>
      <w:hyperlink r:id="rId43">
        <w:r>
          <w:rPr>
            <w:color w:val="1155CC"/>
            <w:sz w:val="18"/>
            <w:rFonts w:ascii="Calibri" w:hAnsi="Calibri"/>
            <w:u w:val="single"/>
          </w:rPr>
          <w:t xml:space="preserve">https://www.vastgoedmarkt.nl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 Insider  </w:t>
      </w:r>
      <w:hyperlink r:id="rId44">
        <w:r>
          <w:rPr>
            <w:color w:val="1155CC"/>
            <w:sz w:val="18"/>
            <w:rFonts w:ascii="Calibri" w:hAnsi="Calibri"/>
            <w:u w:val="single"/>
          </w:rPr>
          <w:t xml:space="preserve">https://vastgoedinsider.nl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CBRE Netherlands  </w:t>
      </w:r>
      <w:hyperlink r:id="rId45">
        <w:r>
          <w:rPr>
            <w:color w:val="1155CC"/>
            <w:sz w:val="18"/>
            <w:rFonts w:ascii="Calibri" w:hAnsi="Calibri"/>
            <w:u w:val="single"/>
          </w:rPr>
          <w:t xml:space="preserve">https://www.cbre.nl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Warehouse Totaal  </w:t>
      </w:r>
      <w:hyperlink r:id="rId46">
        <w:r>
          <w:rPr>
            <w:color w:val="1155CC"/>
            <w:sz w:val="18"/>
            <w:rFonts w:ascii="Calibri" w:hAnsi="Calibri"/>
            <w:u w:val="single"/>
          </w:rPr>
          <w:t xml:space="preserve">https://www.warehousetotaal.nl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PropertyNL  </w:t>
      </w:r>
      <w:hyperlink r:id="rId47">
        <w:r>
          <w:rPr>
            <w:color w:val="1155CC"/>
            <w:sz w:val="18"/>
            <w:rFonts w:ascii="Calibri" w:hAnsi="Calibri"/>
            <w:u w:val="single"/>
          </w:rPr>
          <w:t xml:space="preserve">https://propertynl.com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De Aandeelhouder  </w:t>
      </w:r>
      <w:hyperlink r:id="rId48">
        <w:r>
          <w:rPr>
            <w:color w:val="1155CC"/>
            <w:sz w:val="18"/>
            <w:rFonts w:ascii="Calibri" w:hAnsi="Calibri"/>
            <w:u w:val="single"/>
          </w:rPr>
          <w:t xml:space="preserve">https://www.deaandeelhouder.nl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VNO-NCW West  </w:t>
      </w:r>
      <w:hyperlink r:id="rId49">
        <w:r>
          <w:rPr>
            <w:color w:val="1155CC"/>
            <w:sz w:val="18"/>
            <w:rFonts w:ascii="Calibri" w:hAnsi="Calibri"/>
            <w:u w:val="single"/>
          </w:rPr>
          <w:t xml:space="preserve">https://www.vno-ncwwest.nl</w:t>
        </w:r>
      </w:hyperlink>
    </w:p>
    <w:p>
      <w:pPr>
        <w:spacing w:before="200" w:after="0" w:line="269" w:lineRule="auto"/>
        <w:jc w:val="left"/>
      </w:pPr>
    </w:p>
    <w:p>
      <w:pPr>
        <w:spacing w:before="120" w:after="0" w:line="269" w:lineRule="auto"/>
        <w:jc w:val="left"/>
        <w:pBdr>
          <w:top w:val="single" w:sz="6" w:space="4" w:color="D7DEE6"/>
        </w:pBdr>
      </w:pPr>
      <w:r>
        <w:rPr>
          <w:rFonts w:ascii="Calibri" w:hAnsi="Calibri" w:cs="Calibri"/>
          <w:b w:val="0"/>
          <w:i/>
          <w:color w:val="6B7785"/>
          <w:sz w:val="16"/>
        </w:rPr>
        <w:t>Дисклеймер: материал носит информационно-аналитический характер, подготовлен на основе открытых источников и не является инвестиционной рекомендацией. Проверяйте данные по первоисточникам перед принятием решений.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7785"/>
        <w:sz w:val="16"/>
      </w:rPr>
      <w:t xml:space="preserve">Стр. </w:t>
      <w:fldChar w:fldCharType="begin"/>
      <w:instrText xml:space="preserve">PAGE</w:instrText>
      <w:fldChar w:fldCharType="end"/>
    </w:r>
    <w:r>
      <w:rPr>
        <w:rFonts w:ascii="Calibri" w:hAnsi="Calibri"/>
        <w:color w:val="6B7785"/>
        <w:sz w:val="16"/>
      </w:rPr>
      <w:t xml:space="preserve"> из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cs="Calibri"/>
        <w:b w:val="0"/>
        <w:i w:val="0"/>
        <w:color w:val="6B7785"/>
        <w:sz w:val="16"/>
      </w:rPr>
      <w:t>Недвижимость Нидерландов · 23–30 июня 2026 г.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color w:val="222B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warehousetotaal.nl/warehousing/logistiek-vastgoed/prologis-doet-miljardenbod-op-segro-maar-logistieke-vastgoedreus-wijst-overname-af/144181/" TargetMode="External"/><Relationship Id="rId12" Type="http://schemas.openxmlformats.org/officeDocument/2006/relationships/hyperlink" Target="https://www.eerstekamer.nl/wetsvoorstel/36748_wet_werkelijk_rendement_box" TargetMode="External"/><Relationship Id="rId13" Type="http://schemas.openxmlformats.org/officeDocument/2006/relationships/hyperlink" Target="https://www.vno-ncwwest.nl/nieuwe-regels-bij-netcongestie-vanaf-1-juli-2026-wat-betekent-dit-voor-ondernemers/" TargetMode="External"/><Relationship Id="rId14" Type="http://schemas.openxmlformats.org/officeDocument/2006/relationships/hyperlink" Target="https://news.vesteda.com/vesteda-redemption-volume-set-at--765-million-and-fund-terms-amended/" TargetMode="External"/><Relationship Id="rId15" Type="http://schemas.openxmlformats.org/officeDocument/2006/relationships/hyperlink" Target="https://www.vastgoedmarkt.nl/209650/rotterdams-coalitieakkoord-volgt-braaf-de-regiewet-67-procent-betaalbare-woningen" TargetMode="External"/><Relationship Id="rId16" Type="http://schemas.openxmlformats.org/officeDocument/2006/relationships/hyperlink" Target="https://www.rijksoverheid.nl/actueel/nieuws/2026/06/26/kabinet-haalt-nederland-van-het-stikstofslot-met-stevig-pakket-weer-ruimte-voor-boer-natuur-en-bouw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www.eerstekamer.nl/nieuws/20260624/senaat_steunt_versterken_regie_op" TargetMode="External"/><Relationship Id="rId19" Type="http://schemas.openxmlformats.org/officeDocument/2006/relationships/hyperlink" Target="https://www.accountancyvanmorgen.nl/2026/06/25/hoge-raad-geen-rechtsherstel-voor-niet-bezwaarmakers-in-box-3/" TargetMode="External"/><Relationship Id="rId20" Type="http://schemas.openxmlformats.org/officeDocument/2006/relationships/hyperlink" Target="https://vastgoedjournaal.nl/news/73539/twee-pensioenfondsen-stappen-in-ouderenfonds-bouwinvest" TargetMode="External"/><Relationship Id="rId21" Type="http://schemas.openxmlformats.org/officeDocument/2006/relationships/hyperlink" Target="https://vastgoedjournaal.nl/news/73469/harm-janssen-bpd-we-moeten-gewoon-beginnen-met-bouwen" TargetMode="External"/><Relationship Id="rId22" Type="http://schemas.openxmlformats.org/officeDocument/2006/relationships/image" Target="media/image2.png"/><Relationship Id="rId23" Type="http://schemas.openxmlformats.org/officeDocument/2006/relationships/image" Target="media/image3.png"/><Relationship Id="rId24" Type="http://schemas.openxmlformats.org/officeDocument/2006/relationships/image" Target="media/image4.png"/><Relationship Id="rId25" Type="http://schemas.openxmlformats.org/officeDocument/2006/relationships/hyperlink" Target="https://vastgoedinsider.nl/nederland-heft-ook-in-box-2-vaak-te-veel-belasting-op-vastgoed-europese-commissie-hanteert-lichtere-regels-voor-renteaftrekbeperking/" TargetMode="External"/><Relationship Id="rId26" Type="http://schemas.openxmlformats.org/officeDocument/2006/relationships/hyperlink" Target="https://www.cbre.nl/press-releases/perifere-winkelgebieden-trotseren-retailcrisis-en-blijven-verrassend-populair" TargetMode="External"/><Relationship Id="rId27" Type="http://schemas.openxmlformats.org/officeDocument/2006/relationships/hyperlink" Target="https://www.test-aankoop.be/invest/beleggen/vastgoed/gereglementeerde-vastgoedvennootschappen/artikels/2026/06/retail-estates-eerste-stap-frankrijk" TargetMode="External"/><Relationship Id="rId28" Type="http://schemas.openxmlformats.org/officeDocument/2006/relationships/hyperlink" Target="https://vastgoedjournaal.nl/news/73468/nieuwe-huurders-voor-cityplaza-nieuwegein" TargetMode="External"/><Relationship Id="rId29" Type="http://schemas.openxmlformats.org/officeDocument/2006/relationships/hyperlink" Target="https://vastgoedjournaal.nl/news/73511/scapino-opent-nieuwe-winkels-in-dedemsvaart-en-kerkrade" TargetMode="External"/><Relationship Id="rId30" Type="http://schemas.openxmlformats.org/officeDocument/2006/relationships/hyperlink" Target="https://vastgoedjournaal.nl/news/73460/retailvooruitzichten-licht-omlaag-door-nasleep-midden-oostenconflict" TargetMode="External"/><Relationship Id="rId31" Type="http://schemas.openxmlformats.org/officeDocument/2006/relationships/hyperlink" Target="https://www.vakbladmannenmode.nl/koopbereidheid-maakt-sprong/" TargetMode="External"/><Relationship Id="rId32" Type="http://schemas.openxmlformats.org/officeDocument/2006/relationships/hyperlink" Target="https://keukenendesign.nl/leegstand-retailparken-blijft-opvallend-laag/" TargetMode="External"/><Relationship Id="rId33" Type="http://schemas.openxmlformats.org/officeDocument/2006/relationships/image" Target="media/image5.png"/><Relationship Id="rId34" Type="http://schemas.openxmlformats.org/officeDocument/2006/relationships/hyperlink" Target="https://www.deaandeelhouder.nl/nieuws/2026/06/25/beursblik-deutsche-bank-verlaagt-koersdoelen-voor-aanbieders-van-logistiek-vastgoed/" TargetMode="External"/><Relationship Id="rId35" Type="http://schemas.openxmlformats.org/officeDocument/2006/relationships/hyperlink" Target="https://propertynl.com/Nieuws/Panattoni-ontwikkelt-groots-multifunctioneel-bedrijvencomplex-in-Emmen/d6e9ee42-b453-4e1e-aef7-4b5a3487fa0d" TargetMode="External"/><Relationship Id="rId36" Type="http://schemas.openxmlformats.org/officeDocument/2006/relationships/hyperlink" Target="https://www.warehousetotaal.nl/warehousing/logistiek-vastgoed/bouw-100-000-m%C2%B2-groot-distributiecentrum-van-der-helm-logistics-vordert-gestaag-de-eerste-beelden/144110/" TargetMode="External"/><Relationship Id="rId37" Type="http://schemas.openxmlformats.org/officeDocument/2006/relationships/image" Target="media/image6.png"/><Relationship Id="rId38" Type="http://schemas.openxmlformats.org/officeDocument/2006/relationships/hyperlink" Target="https://www.eerstekamer.nl" TargetMode="External"/><Relationship Id="rId39" Type="http://schemas.openxmlformats.org/officeDocument/2006/relationships/hyperlink" Target="https://www.rijksoverheid.nl" TargetMode="External"/><Relationship Id="rId40" Type="http://schemas.openxmlformats.org/officeDocument/2006/relationships/hyperlink" Target="https://www.accountancyvanmorgen.nl" TargetMode="External"/><Relationship Id="rId41" Type="http://schemas.openxmlformats.org/officeDocument/2006/relationships/hyperlink" Target="https://news.vesteda.com" TargetMode="External"/><Relationship Id="rId42" Type="http://schemas.openxmlformats.org/officeDocument/2006/relationships/hyperlink" Target="https://vastgoedjournaal.nl" TargetMode="External"/><Relationship Id="rId43" Type="http://schemas.openxmlformats.org/officeDocument/2006/relationships/hyperlink" Target="https://www.vastgoedmarkt.nl" TargetMode="External"/><Relationship Id="rId44" Type="http://schemas.openxmlformats.org/officeDocument/2006/relationships/hyperlink" Target="https://vastgoedinsider.nl" TargetMode="External"/><Relationship Id="rId45" Type="http://schemas.openxmlformats.org/officeDocument/2006/relationships/hyperlink" Target="https://www.cbre.nl" TargetMode="External"/><Relationship Id="rId46" Type="http://schemas.openxmlformats.org/officeDocument/2006/relationships/hyperlink" Target="https://www.warehousetotaal.nl" TargetMode="External"/><Relationship Id="rId47" Type="http://schemas.openxmlformats.org/officeDocument/2006/relationships/hyperlink" Target="https://propertynl.com" TargetMode="External"/><Relationship Id="rId48" Type="http://schemas.openxmlformats.org/officeDocument/2006/relationships/hyperlink" Target="https://www.deaandeelhouder.nl" TargetMode="External"/><Relationship Id="rId49" Type="http://schemas.openxmlformats.org/officeDocument/2006/relationships/hyperlink" Target="https://www.vno-ncwwest.n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