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  <Override ContentType="application/vnd.openxmlformats-officedocument.wordprocessingml.header+xml" PartName="/word/header4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E1C19" w:sz="4" w:space="2"/>
        </w:pBdr>
        <w:spacing w:after="0" w:before="145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rFonts w:ascii="PT Sans" w:cs="PT Sans" w:eastAsia="PT Sans" w:hAnsi="PT Sans"/>
          <w:caps/>
          <w:color w:val="963F26"/>
          <w:spacing w:val="34"/>
          <w:sz w:val="17"/>
          <w:szCs w:val="17"/>
        </w:rPr>
        <w:t xml:space="preserve">Исследование вакантных помещений</w:t>
      </w:r>
    </w:p>
    <w:p>
      <w:pPr>
        <w:spacing w:after="0" w:before="640"/>
      </w:pPr>
      <w:r>
        <w:rPr>
          <w:rFonts w:ascii="PT Serif" w:cs="PT Serif" w:eastAsia="PT Serif" w:hAnsi="PT Serif"/>
          <w:b/>
          <w:bCs/>
          <w:color w:val="1E1C19"/>
          <w:sz w:val="84"/>
          <w:szCs w:val="84"/>
        </w:rPr>
        <w:t xml:space="preserve">ТЦ «Амбар 1»</w:t>
      </w:r>
    </w:p>
    <w:p>
      <w:pPr>
        <w:spacing w:after="0" w:before="230"/>
      </w:pPr>
      <w:r>
        <w:rPr>
          <w:rFonts w:ascii="PT Serif" w:cs="PT Serif" w:eastAsia="PT Serif" w:hAnsi="PT Serif"/>
          <w:color w:val="23303A"/>
          <w:sz w:val="26"/>
          <w:szCs w:val="26"/>
        </w:rPr>
        <w:t xml:space="preserve">село Ильинское, улица Ленина, 28</w:t>
      </w:r>
    </w:p>
    <w:p>
      <w:pPr>
        <w:spacing w:after="0" w:before="30"/>
      </w:pPr>
      <w:r>
        <w:rPr>
          <w:rFonts w:ascii="PT Serif" w:cs="PT Serif" w:eastAsia="PT Serif" w:hAnsi="PT Serif"/>
          <w:color w:val="6E6860"/>
          <w:sz w:val="20"/>
          <w:szCs w:val="20"/>
        </w:rPr>
        <w:t xml:space="preserve">Московская область · городской округ Красногорск</w:t>
      </w:r>
    </w:p>
    <w:p>
      <w:pPr>
        <w:pBdr>
          <w:bottom w:val="single" w:color="BCB4A8" w:sz="3" w:space="2"/>
        </w:pBdr>
        <w:spacing w:after="0" w:before="1080"/>
      </w:pPr>
      <w:r>
        <w:rPr>
          <w:sz w:val="4"/>
          <w:szCs w:val="4"/>
        </w:rPr>
        <w:t xml:space="preserve"> </w:t>
      </w:r>
    </w:p>
    <w:p>
      <w:pPr>
        <w:spacing w:after="0" w:before="230"/>
      </w:pPr>
      <w:r>
        <w:rPr>
          <w:sz w:val="4"/>
          <w:szCs w:val="4"/>
        </w:rPr>
        <w:t xml:space="preserve"> 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70"/>
      </w:tblGrid>
      <w:tr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3 года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помещения не сдаются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 момента покупки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515,4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объявлениях —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тремя лотами</w:t>
            </w:r>
          </w:p>
        </w:tc>
        <w:tc>
          <w:tcPr>
            <w:tcW w:type="dxa" w:w="3368"/>
            <w:tcBorders>
              <w:top w:val="none"/>
              <w:left w:val="none"/>
              <w:bottom w:val="none"/>
              <w:right w:val="none"/>
            </w:tcBorders>
            <w:tcMar>
              <w:top w:type="dxa" w:w="0"/>
              <w:left w:type="dxa" w:w="0"/>
              <w:bottom w:type="dxa" w:w="0"/>
              <w:right w:type="dxa" w:w="340"/>
            </w:tcMar>
          </w:tcPr>
          <w:p>
            <w:pPr>
              <w:spacing w:after="60"/>
            </w:pPr>
            <w:r>
              <w:rPr>
                <w:rFonts w:ascii="PT Serif" w:cs="PT Serif" w:eastAsia="PT Serif" w:hAnsi="PT Serif"/>
                <w:color w:val="1E1C19"/>
                <w:sz w:val="40"/>
                <w:szCs w:val="40"/>
              </w:rPr>
              <w:t xml:space="preserve">911,5 м²</w:t>
            </w:r>
          </w:p>
          <w:p>
            <w:pPr>
              <w:spacing w:after="0"/>
            </w:pP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t xml:space="preserve">в презентации</w:t>
            </w:r>
            <w:r>
              <w:rPr>
                <w:rFonts w:ascii="PT Sans Narrow" w:cs="PT Sans Narrow" w:eastAsia="PT Sans Narrow" w:hAnsi="PT Sans Narrow"/>
                <w:color w:val="6E6860"/>
                <w:sz w:val="15"/>
                <w:szCs w:val="15"/>
              </w:rPr>
              <w:br/>
              <w:t xml:space="preserve">собственника — одним</w:t>
            </w:r>
          </w:p>
        </w:tc>
      </w:tr>
    </w:tbl>
    <w:p>
      <w:pPr>
        <w:pBdr>
          <w:bottom w:val="single" w:color="BCB4A8" w:sz="3" w:space="2"/>
        </w:pBdr>
        <w:spacing w:after="0" w:before="250"/>
      </w:pPr>
      <w:r>
        <w:rPr>
          <w:sz w:val="4"/>
          <w:szCs w:val="4"/>
        </w:rPr>
        <w:t xml:space="preserve"> </w:t>
      </w:r>
    </w:p>
    <w:p>
      <w:pPr>
        <w:spacing w:after="0" w:before="250"/>
        <w:ind w:right="1100"/>
      </w:pPr>
      <w:r>
        <w:rPr>
          <w:rFonts w:ascii="PT Serif" w:cs="PT Serif" w:eastAsia="PT Serif" w:hAnsi="PT Serif"/>
          <w:color w:val="6E6860"/>
          <w:sz w:val="19"/>
          <w:szCs w:val="19"/>
        </w:rPr>
        <w:t xml:space="preserve">Причины простоя · бенчмарк ставок · локационный анализ · оценка презентации · тир-лист арендаторов · сценарии и NPV</w:t>
      </w:r>
    </w:p>
    <w:p>
      <w:pPr>
        <w:pBdr>
          <w:top w:val="single" w:color="1E1C19" w:sz="4" w:space="12"/>
        </w:pBdr>
        <w:spacing w:after="0" w:before="2600"/>
      </w:pPr>
      <w:r>
        <w:rPr>
          <w:rFonts w:ascii="PT Sans" w:cs="PT Sans" w:eastAsia="PT Sans" w:hAnsi="PT Sans"/>
          <w:caps/>
          <w:color w:val="1E1C19"/>
          <w:spacing w:val="26"/>
          <w:sz w:val="17"/>
          <w:szCs w:val="17"/>
        </w:rPr>
        <w:t xml:space="preserve">Сентябрь 2026</w:t>
      </w:r>
    </w:p>
    <w:p>
      <w:r>
        <w:br w:type="page"/>
      </w:r>
    </w:p>
    <w:p>
      <w:pPr>
        <w:spacing w:after="60"/>
      </w:pPr>
      <w:r>
        <w:rPr>
          <w:rFonts w:ascii="PT Sans" w:cs="PT Sans" w:eastAsia="PT Sans" w:hAnsi="PT Sans"/>
          <w:caps/>
          <w:color w:val="963F26"/>
          <w:spacing w:val="30"/>
          <w:sz w:val="17"/>
          <w:szCs w:val="17"/>
        </w:rPr>
        <w:t xml:space="preserve">Содержание</w:t>
      </w:r>
    </w:p>
    <w:p>
      <w:pPr>
        <w:pBdr>
          <w:bottom w:val="single" w:color="1E1C19" w:sz="8" w:space="2"/>
        </w:pBdr>
        <w:spacing w:after="240"/>
      </w:pPr>
      <w:r>
        <w:rPr>
          <w:sz w:val="4"/>
          <w:szCs w:val="4"/>
        </w:rPr>
        <w:t xml:space="preserve"> 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1. Резюме для собственника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1.1. Вердикт по ставкам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1.2. Три главные причины вакансии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1.3. Топ-5 арендаторов для первого обзвона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1.4. Пять действий на ближайшие 90 дней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2. Паспорт помещений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2.1. Сводная таблица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2.2. Что показывает генплан участка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2.3. Помещение №1 — 430,5 м², 2 этаж, терраса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2.4. Помещение №2 — 39,6 м², 2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2.5. Помещение №3 — 45,3 м², 3 этаж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3. Бенчмарк арендных ставок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3.1. Выборка: одиннадцать предложений и наши три помещения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3.2. Что в этой выборке определяет ставку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3.3. Где рынок действительно закрывается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3.4. Поправка на площадь и на террасу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3.5. Рыночный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3.6. Вердикт по каждому помещению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15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4. Локационный анализ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16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4.1. Расположение и конкурентное окружение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4.2. Жители соседних локаций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18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4.3. Трафик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4.4. Социально-экономический контекст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22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5. Почему помещения вакантны три года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5.1. Матрица «объективно / управляемо»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24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5.2. Пять ошибок, которые видит арендатор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25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6. Оценка текущей презентации объекта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25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6.1. Что презентация исправила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26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6.2. Что она создала заново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27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6.3. Вердикт и что сделать с ней в ближайший месяц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28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7. Тир-лист потенциальных арендаторов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30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7.1. Пять категорий для холодного предложения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37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8. Сценарии и оценка NPV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37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9. План действий на 90 дней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39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10. Источники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40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11. Приложение: методология, допущения и ограничения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11.1. Методология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41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11.2. Ключевые допущения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11.3. Что проверить до принятия решений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42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11.4. Чего не удалось проверить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43</w:t>
      </w:r>
    </w:p>
    <w:p>
      <w:pPr>
        <w:tabs>
          <w:tab w:val="right" w:pos="10066" w:leader="dot"/>
        </w:tabs>
        <w:spacing w:after="4" w:before="0" w:line="220" w:lineRule="auto"/>
        <w:ind w:left="360" w:right="0"/>
      </w:pPr>
      <w:r>
        <w:rPr>
          <w:rFonts w:ascii="PT Serif" w:cs="PT Serif" w:eastAsia="PT Serif" w:hAnsi="PT Serif"/>
          <w:b w:val="false"/>
          <w:bCs w:val="false"/>
          <w:color w:val="23303A"/>
          <w:sz w:val="18"/>
          <w:szCs w:val="18"/>
        </w:rPr>
        <w:t xml:space="preserve">11.5. Неразрешённое противоречие</w:t>
      </w:r>
      <w:r>
        <w:rPr>
          <w:rFonts w:ascii="PT Sans" w:cs="PT Sans" w:eastAsia="PT Sans" w:hAnsi="PT Sans"/>
          <w:color w:val="6E6860"/>
          <w:sz w:val="16"/>
          <w:szCs w:val="16"/>
        </w:rPr>
        <w:t xml:space="preserve">	44</w:t>
      </w:r>
    </w:p>
    <w:p>
      <w:pPr>
        <w:pBdr>
          <w:bottom w:val="single" w:color="E4DED4" w:sz="2" w:space="4"/>
        </w:pBdr>
        <w:tabs>
          <w:tab w:val="right" w:pos="10066" w:leader="none"/>
        </w:tabs>
        <w:spacing w:after="26" w:before="96" w:line="220" w:lineRule="auto"/>
        <w:ind w:left="0" w:right="0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12. Приложение: широкая выгрузка ЦИАН для сверки</w:t>
      </w:r>
      <w:r>
        <w:rPr>
          <w:rFonts w:ascii="PT Sans" w:cs="PT Sans" w:eastAsia="PT Sans" w:hAnsi="PT Sans"/>
          <w:color w:val="963F26"/>
          <w:sz w:val="18"/>
          <w:szCs w:val="18"/>
        </w:rPr>
        <w:t xml:space="preserve">	44</w:t>
      </w:r>
    </w:p>
    <w:p>
      <w:r>
        <w:br w:type="page"/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Резюме для собственника</w:t>
      </w:r>
    </w:p>
    <w:p>
      <w:pPr>
        <w:spacing w:after="170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 в одном абзаце.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Здание не является проблемой: архитектура современная, продуктовый якорь, аптека, пекарня, ПВЗ и цветочный магазин работают, рейтинг ТЦ 4,4 при 68 оценках, а посетители в отзывах ни разу не жалуются на пустоту. Проблема сосредоточена в лизинговой воронке: помещения продаются по ставкам, не соответствующим этажу, через единственный аффилированный канал, с ошибками в объявлениях, устаревшими материалами и позиционированием, под которое в этой локации нет рынка. Из восьми причин вакансии на управляемые приходится около 67% совокупного веса. Первый пакет мер стоит порядка 350 тыс. ₽ и по нашей модели даёт прирост NPV около 6,0 млн ₽ за три года.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На чём построены выводы о ставках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Расчётная база — выборка из 11 сопоставимых предложений ЦИАН, отобранных вручную и проверенных по карточке. Пять лотов на первом этаже, пять на втором, один на третьем: этого хватает, чтобы посчитать поправку на этаж по самой выборке и увидеть, на какой ставке лоты реально уходят с рынка. Широкая машинная выгрузка по округу приведена как сверка. Агрегаторы в расчёт не вошли; Авито закрыл доступ.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Главное, что это даёт сверх агрегаторов, — дата создания каждого объявления, а значит фактический срок экспозиции. Он показывает не то, сколько собственник хочет получить, а то, соглашается ли с этим рынок.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1.1. Вердикт по ставкам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1700"/>
        <w:gridCol w:w="1750"/>
        <w:gridCol w:w="2350"/>
        <w:gridCol w:w="18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Текущая ставка</w:t>
            </w:r>
          </w:p>
        </w:tc>
        <w:tc>
          <w:tcPr>
            <w:tcW w:type="dxa" w:w="17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Вердикт</w:t>
            </w:r>
          </w:p>
        </w:tc>
        <w:tc>
          <w:tcPr>
            <w:tcW w:type="dxa" w:w="2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Рекомендуемая ставка</w:t>
            </w:r>
          </w:p>
        </w:tc>
        <w:tc>
          <w:tcPr>
            <w:tcW w:type="dxa" w:w="1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Целевой срок сдачи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— 430,5 м², 2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терраса, потолки 3,9 м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499 000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13 909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ЗАНИЖЕНА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16 500–18 500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592–664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после нарезки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и реконцепции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— 39,6 м², 2 этаж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129 000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39 091 ₽/м²/год</w:t>
            </w:r>
          </w:p>
        </w:tc>
        <w:tc>
          <w:tcPr>
            <w:tcW w:type="dxa" w:w="17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ЗАВЫШЕНА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на 61% к медиане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своего этажа</w:t>
            </w:r>
          </w:p>
        </w:tc>
        <w:tc>
          <w:tcPr>
            <w:tcW w:type="dxa" w:w="23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24 000–26 000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79–86 тыс. ₽/мес</w:t>
            </w:r>
          </w:p>
        </w:tc>
        <w:tc>
          <w:tcPr>
            <w:tcW w:type="dxa" w:w="1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3–4 месяца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— 45,3 м², 3 этаж,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«офис»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98 000 ₽/мес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25 960 ₽/м²/год</w:t>
            </w:r>
          </w:p>
        </w:tc>
        <w:tc>
          <w:tcPr>
            <w:tcW w:type="dxa" w:w="1750"/>
            <w:tcBorders>
              <w:bottom w:val="single" w:color="1E1C19" w:sz="10"/>
            </w:tcBorders>
            <w:shd w:fill="C98B6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ЗАВЫШЕНА +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ошибка позиционирования</w:t>
            </w:r>
          </w:p>
        </w:tc>
        <w:tc>
          <w:tcPr>
            <w:tcW w:type="dxa" w:w="23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20 000–23 000 ₽/м²/год</w:t>
            </w:r>
          </w:p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76–87 тыс. ₽/мес</w:t>
            </w:r>
          </w:p>
        </w:tc>
        <w:tc>
          <w:tcPr>
            <w:tcW w:type="dxa" w:w="1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2–3 месяца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Расчёт: ₽/м²/год = ставка ₽/мес × 12 ÷ площадь. Источник наших ставок — объявления metrplus.com, обновлены 27.07.2026 и 12.08.2026. Рекомендуемые ставки выведены из выборки раздела 3: медиана этажа и уровень, на котором лоты выборки реально уходят с рынка.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1.2. Три главные причины вакансии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1. Мы просим за верхний этаж цену первого (вклад ≈22%).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Арендатор на втором этаже не получает того, что получает арендатор на первом: мимо его двери никто не проходит случайно, к нему приходят только те, кто заранее собрался прийти. Поэтому рынок платит за верхние этажи меньше — в нашей локации примерно две трети от первого этажа. Это не общее правило из учебника, а измеренная по одиннадцати соседним предложениям величина; как она считалась, показывает раздел 3.2.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же просим за помещение №2 больше, чем просят за любой другой малый блок второго этажа поблизости, и больше, чем за некоторые помещения первого. По выборке хорошо видно, где рынок соглашается, а где нет: то, что выставлено около 24 000 ₽ за метр в год, находит арендатора за два-четыре месяца; то, что выставлено по 30 000, стоит по три-четыре года и не сдаётся вообще. Мы стоим выше этой границы. То же самое с №3.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Показательно, что сам собственник раньше оценивал второй этаж в 2 000 ₽ за метр в месяц — это ровно тот уровень, на котором помещения здесь действительно сдаются. Сегодня за малый блок того же этажа просят 3 258.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2. Объявления стоят там, где их не ищут (вклад ≈18%).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объявления по комплексу — их четыре — размещены на одном сайте, metrplus.com, аффилированном с собственником. Арендатор, который подбирает помещение, идёт не туда: он идёт на ЦИАН и Авито. Мы выгрузили с ЦИАН все объявления коммерческой аренды по округу, 277 штук, — по адресу Ленина, 28 среди них нет ни одного.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Примечательно, что соседний корпус того же собственника на ЦИАН размещён. Значит, канал у собственника есть и он работает — просто три наших помещения в него не заведены.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Вторая половина той же проблемы — что написано внутри объявлений. В них нет ни НДС, ни эксплуатационных расходов, ни коммунальных платежей. Сетевой арендатор без этих цифр не может посчитать, во что ему обойдётся помещение целиком, и поэтому просто не берёт его в работу — это не придирка, а стандартная процедура отдела развития. Вдобавок в двух объявлениях указан кадастровый номер соседнего здания; юрист сети находит это за пять минут.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3. В объявлениях написано не то, что мы продаём (вклад ≈15%).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№3 предлагается как «офис на первой линии». Офисного рынка в Ильинском нет: единственное офисное предложение в селе висит в экспозиции четыре года и, по собственному тексту объявления, в аренду ещё ни разу не сдавалось. Мы конкурируем за спрос, которого не существует.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№2 названо «торговой площадью», хотя это внутренняя комната без витрины. Тот, кто ищет торговую площадь, приезжает, видит комнату без витрины и уезжает — показ потрачен впустую, и таких показов за три года было много.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Помещение №1 предлагается сразу «под офис, коворкинг, спортивную или танцевальную студию». Для арендатора это читается однозначно: собственник сам не знает, что у него за помещение, — и разбираться за него арендатор не станет.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1.3. Топ-5 арендаторов для первого обзвона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20"/>
        <w:gridCol w:w="2100"/>
        <w:gridCol w:w="1600"/>
        <w:gridCol w:w="5886"/>
      </w:tblGrid>
      <w:tr>
        <w:trPr>
          <w:tblHeader/>
        </w:trPr>
        <w:tc>
          <w:tcPr>
            <w:tcW w:type="dxa" w:w="5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center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№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Компания</w:t>
            </w:r>
          </w:p>
        </w:tc>
        <w:tc>
          <w:tcPr>
            <w:tcW w:type="dxa" w:w="1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</w:t>
            </w:r>
          </w:p>
        </w:tc>
        <w:tc>
          <w:tcPr>
            <w:tcW w:type="dxa" w:w="58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Бэби-клуб / Бэби-сад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160 клубов и садов, формат «Бэби-сад» от 140 м². Терраса — прогулочная зона, которую в обычном ТЦ сделать негде. Субсидия МО 14 500 ₽/мес на ребёнка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SoloSalon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 адресов, открытие на Аминьевской в сентябре 2026. 430 м² = 15–20 рабочих мест. Бьюти-спрос на этом адресе уже доказан пятью операторами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4hands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(39,6 м²)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221 точка. Их регламент: 30–100 м², ТЦ либо жилой дом, мокрая точка, от 15 кВт — совпадение по всем пунктам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Art of Pilates</w:t>
            </w:r>
          </w:p>
        </w:tc>
        <w:tc>
          <w:tcPr>
            <w:tcW w:type="dxa" w:w="1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 м²</w:t>
            </w:r>
          </w:p>
        </w:tc>
        <w:tc>
          <w:tcPr>
            <w:tcW w:type="dxa" w:w="58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Формат 100–150 м² и от 150 м². Потолки 3,9 м — их прямое требование под реформеры. Посещение по записи не перегружает 42 парковки</w:t>
            </w:r>
          </w:p>
        </w:tc>
      </w:tr>
      <w:tr>
        <w:trPr>
          <w:cantSplit/>
        </w:trPr>
        <w:tc>
          <w:tcPr>
            <w:tcW w:type="dxa" w:w="5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Laser Love</w:t>
            </w:r>
          </w:p>
        </w:tc>
        <w:tc>
          <w:tcPr>
            <w:tcW w:type="dxa" w:w="1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№3 (45,3 м²)</w:t>
            </w:r>
          </w:p>
        </w:tc>
        <w:tc>
          <w:tcPr>
            <w:tcW w:type="dxa" w:w="58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237 студий; опубликованная 13.03.2026 стратегия — плюс 10 клиник в Москве в 2026. №3 уже имеет отделку бьюти-студии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1.4. Пять действий на ближайшие 90 дней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00"/>
        <w:gridCol w:w="1250"/>
        <w:gridCol w:w="1500"/>
        <w:gridCol w:w="2656"/>
      </w:tblGrid>
      <w:tr>
        <w:trPr>
          <w:tblHeader/>
        </w:trPr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265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Ожидаемый эффект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₽/мес; опубликовать НДС, OPEX, коммунальные, каникулы и индексацию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22% веса причин; делает объект считаемым для сетей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Переупаковать №3 из «офиса» в готовую бьюти-/медицинскую студию, №2 — в «услуги», убрать упоминание ПВЗ Wildberries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15% веса; прекращает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все три помещения на ЦИАН — туда, где уже размещён Корпус II, — плюс Авито и Яндекс.Недвижимость; заказать профессиональную съёмку с планировками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18% веса; объект впервые появляется там, где его ищут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кадастровый номер выпиской ЕГРН; устранить риск по лестнице (антискользящее покрытие, поручни, маркировка)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265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Убирает юридический блокер сделки и главную претензию в отзывах</w:t>
            </w:r>
          </w:p>
        </w:tc>
      </w:tr>
      <w:tr>
        <w:trPr>
          <w:cantSplit/>
        </w:trPr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Начать адресный обзвон по тир-листу: 26 компаний уровня S и A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90 дней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время брокера</w:t>
            </w:r>
          </w:p>
        </w:tc>
        <w:tc>
          <w:tcPr>
            <w:tcW w:type="dxa" w:w="265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Воронка вместо ожидания входящих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это даёт в деньгах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«оставить как есть» даёт NPV минус 0,34 млн ₽ за три года: эксплуатация вакантных площадей стоит дороже, чем приносит поздняя сдача одного помещения.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«коррекция цены и упаковки» при затратах 350 тыс. ₽ даёт NPV 5,69 млн ₽ — прирост 6,03 млн 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Лучший по NPV сценарий — якорь на льготной ставке в помещении №1: 8,62 млн ₽ при CAPEX 3,35 млн ₽.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Паспорт помещений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Все три помещения расположены в Корпусе I комплекса «Амбар» по адресу ул. Ленина, 28: подвал и три этажа, общая площадь 2 191,5 м². Рядом, по адресу ул. Ленина, 26, стоит Корпус II — ТЦ «Амбар-2» того же собственника, открытый в 2026 году (1 414 м²). Общая площадь комплекса — 3 615,5 м², электрическая мощность 670 кВт, охрана и видеонаблюдение 24/7. Парковка на 42 места — общая на оба корпуса.</w:t>
      </w:r>
    </w:p>
    <w:p>
      <w:pPr>
        <w:spacing w:after="30" w:before="100"/>
        <w:jc w:val="center"/>
      </w:pPr>
      <w:r>
        <w:drawing>
          <wp:inline distT="0" distB="0" distL="0" distR="0">
            <wp:extent cx="6096000" cy="4114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Фасад ТЦ «Амбар-1». Читаются вывески: «Бьюти Сфера», OZON, «Пятёрочка», «Аптека 36,6», кафе-пекарня «Хлебная почта», цветы «Ирис». Вывески «Бьюти Сферы» и OZON размещены на уровне 2-го этажа — прецедент фасадной вывески для верхних этажей существует.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2.1. Сводная таблица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6"/>
        <w:gridCol w:w="2600"/>
        <w:gridCol w:w="2600"/>
        <w:gridCol w:w="2600"/>
      </w:tblGrid>
      <w:tr>
        <w:trPr>
          <w:tblHeader/>
        </w:trPr>
        <w:tc>
          <w:tcPr>
            <w:tcW w:type="dxa" w:w="2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№1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№2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Помещение №3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Название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с террасой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Торговая площадь 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Офис на первой линии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Площадь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430,5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39,6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45,3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Этаж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Высота потолков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м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указана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129 000 ₽/мес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98 000 ₽/мес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₽/м²/год (расчёт)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13 909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39 091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25 960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не благоустроена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Мокрая точка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 (санузел 6,7 м²)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Витрина / фасадное остекление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одно арочное окно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Нет, но хорошая линия окон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Состояние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Разнородное: от банкетной отделки до OSB-шелла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Свежий ремонт, нейтральный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Отделка бьюти-студии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Делимость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Да, заявлена в объявлении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Состав по плану БТИ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 помещений: 131,7 + 61,0 + 49,7 + 36,1 + 31,9 + 28,4 + 26,3 + 19,9 + 19,0 + 16,1 + 12,2 + 7,7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Помещение №20 на плане 2-го этажа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Помещения 10 (25,4) + 12 (13,2) + 11 (6,7) м²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Обновлено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27.07.2026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12.08.2026</w:t>
            </w:r>
          </w:p>
        </w:tc>
      </w:tr>
      <w:tr>
        <w:trPr>
          <w:cantSplit/>
        </w:trPr>
        <w:tc>
          <w:tcPr>
            <w:tcW w:type="dxa" w:w="2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iez-im9eyybwx0jp6jkn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utaehbad6yinkfqh8if-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vuefp05dkud5dycvpu5s">
              <w:r>
                <w:rPr>
                  <w:rFonts w:ascii="PT Sans" w:cs="PT Sans" w:eastAsia="PT Sans" w:hAnsi="PT Sans"/>
                  <w:color w:val="30536F"/>
                  <w:sz w:val="17"/>
                  <w:szCs w:val="17"/>
                  <w:u w:val="single"/>
                </w:rPr>
                <w:t xml:space="preserve">Открыть карточку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Адреса карточек полностью — в разделах 2.3–2.5. Корпус II, ТЦ «Амбар-2», ул. Ленина, 26: metrplus.com/commercial-projects/commercial-projects-rent/arenda-pomeshcheniy-v-torgovom-tsentre-ambar-2. Страница комплекса: metrplus.com/commercial-projects/nashi-obyekty/torgovyy-tsentr-v-ilinskom.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2.2. Что показывает генплан участка</w:t>
      </w:r>
    </w:p>
    <w:p>
      <w:pPr>
        <w:spacing w:after="30" w:before="100"/>
        <w:jc w:val="center"/>
      </w:pPr>
      <w:r>
        <w:drawing>
          <wp:inline distT="0" distB="0" distL="0" distR="0">
            <wp:extent cx="4000500" cy="4905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Схема участка из материалов объявления. Корпус I (ул. Ленина, 28) — западное здание; Корпус II (ул. Ленина, 26) — восточное, ближе к дороге. Парковка пронумерована с 1 по 42.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формулировка «на первой линии Ильинского шоссе» требует оговорки. Корпус I отделён от шоссе парковочным полем, а с восточной стороны фронт частично занимает Корпус II. Первая линия — у комплекса в целом, но вход в наше здание ведёт из внутреннего двора-парковки. Кроме того, 42 парковочных места — это парковка всего комплекса из двух корпусов, а в объявлениях она подаётся как ресурс одного помещения.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Расхождение по числу парковочных мест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ранних материалах собственника — 57 мест. В сегодняшних объявлениях и презентации — 42, и на схеме участка они пронумерованы с 1 по 42. В карточке здания на ЦИАН — 12. Разброс — 4,75 раза.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локации, где пешеходный трафик отсутствует, а прямой конкурент располагает 120 местами, это параметр первого порядка. Требует замера на объекте.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2.3. Помещение №1 — 430,5 м², 2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0b3fu5q_hjjb9v7q1g6kz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metrplus.com/commercial-projects/commercial-projects-rent/torgovaya-ploshchad-s-terrasoy-tts-ambar-1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терраса; зал с глянцевым керамогранитом, аркой и люстрами; зал с обшивкой OSB и открытым чёрным потолком. Три фотографии одного лота.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Внутри 430,5 м² собраны разнородные залы. Часть отделана в стилистике банкетного зала середины 2000-х — глянцевый тёмно-бордовый керамогранит, арочные проёмы, кирпичная кладка, люстры, деревянные балки. Другая часть представляет собой шелл с обшивкой OSB, серым ламинатом и открытыми коммуникациями. Формулировка объявления «с современным ремонтом» справедлива лишь для части площади.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Свет: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неравномерный. Банкетные залы тёмные, зал с OSB имеет небольшие окна.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большая, с видом на поля, но это бетонная площадка на плитке — без навеса, озеленения, мебели, освещения и ветрозащиты. Сегодня это бетонная площадка; чтобы она работала как веранда, нужны вложения.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Главная проблема: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смешение банкетного глянца и шелла отпугивает сразу несколько типов арендаторов — каждый видит чужой недоамортизированный ремонт, который придётся демонтировать за свой счёт.</w:t>
      </w:r>
    </w:p>
    <w:p>
      <w:pPr>
        <w:spacing w:after="30" w:before="100"/>
        <w:jc w:val="center"/>
      </w:pPr>
      <w:r>
        <w:drawing>
          <wp:inline distT="0" distB="0" distL="0" distR="0">
            <wp:extent cx="3429000" cy="3409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План 2-го этажа, М 1:200. Красным — предлагаемые 430,5 м². Не выделенное помещение №20 (39,6 м²) — это лот №2, сдаваемый отдельно.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2.4. Помещение №2 — 39,6 м², 2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epiuhvynmf7jo5jnjqsn5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metrplus.com/commercial-projects/commercial-projects-rent/torgovaya-ploshchad-39-6-m-tts-ambar-1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20193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2019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857500" cy="43148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0" cy="4314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— интерьер помещения; справа — его положение на плане 2-го этажа (выделено красным).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Ремонт свежий и аккуратный: белые стены, светлый ламинат, точечные светильники. Но по плану помещение находится в середине этажа, вдали от торца, и имеет одно небольшое арочное окно. Витрины и фасадного остекления нет.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кабинетная, а не торговая типология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Название «торговая площадь» — фактическая ошибка: покупательского обзора нет, импульсной покупки быть не может. Для арендатора, ищущего торговлю, объект не подходит; для арендатора, ищущего кабинет под услуги, он не находится, потому что описан как торговый.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2.5. Помещение №3 — 45,3 м², 3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Объявление: </w:t>
      </w:r>
      <w:hyperlink w:history="1" r:id="rIdcehfd6yzsojrzdlywx4jj">
        <w:r>
          <w:rPr>
            <w:rFonts w:ascii="PT Sans" w:cs="PT Sans" w:eastAsia="PT Sans" w:hAnsi="PT Sans"/>
            <w:color w:val="30536F"/>
            <w:sz w:val="21"/>
            <w:szCs w:val="21"/>
            <w:u w:val="single"/>
          </w:rPr>
          <w:t xml:space="preserve">metrplus.com/commercial-projects/commercial-projects-rent/ofis-na-pervoy-linii-bts-ambar</w:t>
        </w:r>
      </w:hyperlink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8"/>
        <w:gridCol w:w="3368"/>
        <w:gridCol w:w="3368"/>
      </w:tblGrid>
      <w:tr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368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2028825" cy="2705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825" cy="2705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Слева направо: интерьер с ресепшн-стойкой, креслами и зеркалами; комната с линией из пяти окон; общий коридор 3-го этажа с креслами ожидания.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Оценка.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продаёт «просторный светлый офис», а фотографии показывают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оборудованный бьюти-салон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ресепшн, парикмахерские кресла, зеркала, стеллаж с продукцией, постеры с причёсками. Потенциальный арендатор не понимает, что именно сдаётся — пустые кабинеты, работающий салон или доля в нём.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23303A"/>
          <w:sz w:val="21"/>
          <w:szCs w:val="21"/>
        </w:rPr>
        <w:t xml:space="preserve">Что удалось выяснить по этому лоту.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 данным Яндекс.Карт, на 3-м этаже здания прекратили работу две бьюти-студии: «Студия красоты by Кулинич» (27 оценок) и «Студия тела Андросовой М.» (59 оценок, 57 отзывов, рейтинг 5,0). С высокой вероятностью помещение №3 — это площадь одной из них, сдаваемая «как есть». То есть объект представляет собой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готовую бьюти-студию под ключ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с отделкой, зонированием и мокрой точкой, — которую продают как офис в локации, где офисного рынка не существует. Это самая быстрая из возможных побед: смена текста объявления и фотографий без единого рубля вложений в ремонт.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Оценка. Прямого подтверждения, что на фотографиях именно сдаваемый блок, получить не удалось; требует сверки с собственником.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3.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Бенчмарк арендных ставок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 построен на выборке из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 предложений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отобранных собственником вручную и проверенных по карточке ЦИАН. Это не результат автоматического поиска: каждый лот выбран как сопоставимый по месту, типу помещения и формату аренды. Широкая машинная выгрузка по округу тоже делалась и приводится ниже как сверка, но расчётной базой служит именно эта выборка.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Как считается ставка.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У ЦИАН в коммерческой аренде цена в карточке бывает трёх видов: сумма за месяц, ставка за м² в месяц и ставка за м² в год. Без этого различия выборка читается неверно: «2 500» в карточке лота на улице Ленина — это не 2 500 ₽ за помещение, а 2 500 ₽ за метр в месяц. Тип цены взят из поля карточки для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10 лотов из 11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; у одного поле не заполнено, и цена прочитана как сумма за месяц — в таблице он помечен звёздочкой. Все ставки — запрашиваемые, без эксплуатационных платежей.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3.1. Выборка: одиннадцать предложений и наши три помещения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Таблица отсортирована по возрастанию ставки за метр в месяц. Наши три помещения включены в общий ряд и выделены подложкой — так видно, куда каждое из них попадает среди соседей.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640"/>
        <w:gridCol w:w="2460"/>
        <w:gridCol w:w="560"/>
        <w:gridCol w:w="640"/>
        <w:gridCol w:w="1020"/>
        <w:gridCol w:w="1060"/>
        <w:gridCol w:w="1180"/>
        <w:gridCol w:w="2546"/>
      </w:tblGrid>
      <w:tr>
        <w:trPr>
          <w:tblHeader/>
        </w:trPr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Карта</w:t>
            </w:r>
          </w:p>
        </w:tc>
        <w:tc>
          <w:tcPr>
            <w:tcW w:type="dxa" w:w="24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64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06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₽/м²/мес</w:t>
            </w:r>
          </w:p>
        </w:tc>
        <w:tc>
          <w:tcPr>
            <w:tcW w:type="dxa" w:w="118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 в экспозиции</w:t>
            </w:r>
          </w:p>
        </w:tc>
        <w:tc>
          <w:tcPr>
            <w:tcW w:type="dxa" w:w="254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«Амбар-1», ул. Ленина, 28 — Торговая площадь с террасой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430,5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499 000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1 159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bpgv7fwxjzycgomcxhlt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Рублево-Успенское 17 *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350 000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1 944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343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tuiilrxmhr9vbtol2wew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22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44 000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yze9hrpeqlhcydbbl-sv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Ильинское-Усово, дом 9 этажей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2/9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29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137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gyviewmpxmrrtit9_2gt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30с1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33,6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68 000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2 024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26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pdkdm-w2abg8kqkymarj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«Амбар-1», ул. Ленина, 28 — «Офис на первой линии»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45,3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98 000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2 163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pntvnq-g8eab98zju7w1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Центральная 83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1/1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1 320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iimfkaovhk1emprqf3bc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офисный центр «Ильинский»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100 000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1 489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etk-uxi7mjt2eanv4rtm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38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95 000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2 500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1 160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zfom9awqlphxeftoh-dl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175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525 000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3 000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70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v2nir0rwoyrl2yjgmchv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5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с. Ильинское, адрес в карточке не указан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1/4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133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u3tgn85dq1agpuvcmdt_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7</w:t>
            </w:r>
          </w:p>
        </w:tc>
        <w:tc>
          <w:tcPr>
            <w:tcW w:type="dxa" w:w="24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10с1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80</w:t>
            </w:r>
          </w:p>
        </w:tc>
        <w:tc>
          <w:tcPr>
            <w:tcW w:type="dxa" w:w="10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245 000</w:t>
            </w:r>
          </w:p>
        </w:tc>
        <w:tc>
          <w:tcPr>
            <w:tcW w:type="dxa" w:w="106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3 062</w:t>
            </w:r>
          </w:p>
        </w:tc>
        <w:tc>
          <w:tcPr>
            <w:tcW w:type="dxa" w:w="118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10</w:t>
            </w:r>
          </w:p>
        </w:tc>
        <w:tc>
          <w:tcPr>
            <w:tcW w:type="dxa" w:w="254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wle6e5_-yvqakybaeuoh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наш</w:t>
            </w:r>
          </w:p>
        </w:tc>
        <w:tc>
          <w:tcPr>
            <w:tcW w:type="dxa" w:w="24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ТЦ «Амбар-1», ул. Ленина, 28 — Торговая площадь 39,6 м²</w:t>
            </w:r>
          </w:p>
        </w:tc>
        <w:tc>
          <w:tcPr>
            <w:tcW w:type="dxa" w:w="5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2/3</w:t>
            </w:r>
          </w:p>
        </w:tc>
        <w:tc>
          <w:tcPr>
            <w:tcW w:type="dxa" w:w="64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39,6</w:t>
            </w:r>
          </w:p>
        </w:tc>
        <w:tc>
          <w:tcPr>
            <w:tcW w:type="dxa" w:w="102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129 000</w:t>
            </w:r>
          </w:p>
        </w:tc>
        <w:tc>
          <w:tcPr>
            <w:tcW w:type="dxa" w:w="106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5"/>
                <w:szCs w:val="15"/>
              </w:rPr>
              <w:t xml:space="preserve">3 258</w:t>
            </w:r>
          </w:p>
        </w:tc>
        <w:tc>
          <w:tcPr>
            <w:tcW w:type="dxa" w:w="1180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—</w:t>
            </w:r>
          </w:p>
        </w:tc>
        <w:tc>
          <w:tcPr>
            <w:tcW w:type="dxa" w:w="2546"/>
            <w:tcBorders>
              <w:bottom w:val="single" w:color="E4DED4" w:sz="2"/>
            </w:tcBorders>
            <w:shd w:fill="F5EDE6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acld3koteergkvodcpf-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наше объявление</w:t>
              </w:r>
            </w:hyperlink>
          </w:p>
        </w:tc>
      </w:tr>
      <w:tr>
        <w:trPr>
          <w:cantSplit/>
        </w:trPr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6</w:t>
            </w:r>
          </w:p>
        </w:tc>
        <w:tc>
          <w:tcPr>
            <w:tcW w:type="dxa" w:w="24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Ленина 11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1/2</w:t>
            </w:r>
          </w:p>
        </w:tc>
        <w:tc>
          <w:tcPr>
            <w:tcW w:type="dxa" w:w="64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42</w:t>
            </w:r>
          </w:p>
        </w:tc>
        <w:tc>
          <w:tcPr>
            <w:tcW w:type="dxa" w:w="10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5"/>
                <w:szCs w:val="15"/>
              </w:rPr>
              <w:t xml:space="preserve">147 000</w:t>
            </w:r>
          </w:p>
        </w:tc>
        <w:tc>
          <w:tcPr>
            <w:tcW w:type="dxa" w:w="106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5"/>
                <w:szCs w:val="15"/>
              </w:rPr>
              <w:t xml:space="preserve">3 500</w:t>
            </w:r>
          </w:p>
        </w:tc>
        <w:tc>
          <w:tcPr>
            <w:tcW w:type="dxa" w:w="118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5"/>
                <w:szCs w:val="15"/>
              </w:rPr>
              <w:t xml:space="preserve">188</w:t>
            </w:r>
          </w:p>
        </w:tc>
        <w:tc>
          <w:tcPr>
            <w:tcW w:type="dxa" w:w="254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stxe-ryxudhhobybfbgt">
              <w:r>
                <w:rPr>
                  <w:rFonts w:ascii="PT Sans" w:cs="PT Sans" w:eastAsia="PT Sans" w:hAnsi="PT Sans"/>
                  <w:color w:val="30536F"/>
                  <w:sz w:val="15"/>
                  <w:szCs w:val="15"/>
                  <w:u w:val="single"/>
                </w:rPr>
                <w:t xml:space="preserve">ЦИАН 327894962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Столбец «Карта» — номер точки на карте ниже; одна точка соответствует одному зданию, поэтому несколько лотов в одном доме делят номер. Срок экспозиции считается от даты создания объявления на ЦИАН по состоянию на 21 сентября 2026 года; при повторной публикации дата обнуляется, поэтому сроки в 1160 и 1489 дней — нижняя оценка. У наших помещений в этом столбце прочерк: их на ЦИАН нет вовсе, они размещены только на metrplus.com — об этом раздел 5.1. Адрес приведён так, как его отдаёт карточка; у четырёх лотов поле адреса не заполнено, для них указаны населённый пункт и узнаваемый признак объекта. В остальной части раздела ставки приводятся в годовом выражении, как принято в брокерской практике: чтобы перевести колонку «₽/м²/мес» в годовую, умножьте на 12.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Яндекс.Карты: синими маркерами — точки выборки с номерами из таблицы, красным — ТЦ «Амбар-1», ул. Ленина, 28. Слева вся зона, справа Ильинское крупным планом. Точка 5 — центр села: у двух лотов адрес в карточке ЦИАН не заполнен, и площадка ставит их в центр населённого пункта.</w:t>
      </w:r>
    </w:p>
    <w:p>
      <w:pPr>
        <w:spacing w:after="140" w:before="100"/>
        <w:jc w:val="center"/>
      </w:pPr>
      <w:r>
        <w:drawing>
          <wp:inline distT="0" distB="0" distL="0" distR="0">
            <wp:extent cx="619125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3.2. Что в этой выборке определяет ставку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Выборка распадается по этажам почти поровну: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на первом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на втором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один на третьем. Это позволяет посчитать поправку на этаж прямо по ней, не обращаясь к отраслевым средним, которых для торговых центров попросту не публикуют.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700"/>
        <w:gridCol w:w="1000"/>
        <w:gridCol w:w="2100"/>
        <w:gridCol w:w="2400"/>
        <w:gridCol w:w="2906"/>
      </w:tblGrid>
      <w:tr>
        <w:trPr>
          <w:tblHeader/>
        </w:trPr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Этаж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Медиана, ₽/м²/год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Диапазон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Медиана экспозиции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36 750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30 000 – 42 000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133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0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5</w:t>
            </w:r>
          </w:p>
        </w:tc>
        <w:tc>
          <w:tcPr>
            <w:tcW w:type="dxa" w:w="21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24 286</w:t>
            </w:r>
          </w:p>
        </w:tc>
        <w:tc>
          <w:tcPr>
            <w:tcW w:type="dxa" w:w="24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24 000 – 30 000</w:t>
            </w:r>
          </w:p>
        </w:tc>
        <w:tc>
          <w:tcPr>
            <w:tcW w:type="dxa" w:w="29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137 дней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</w:t>
            </w:r>
          </w:p>
        </w:tc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23 333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343 дня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Рабочая поправка на этаж: 0,66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Медиана второго этажа относится к медиане первого как 0,66: 24 286 против 36 750 ₽/м²/год. Второй этаж в этой локации стоит две трети первого, и диапазоны этажей соприкасаются ровно в одной точке — 30 000 ₽/м²/год. Это одновременно самый дешёвый лот первого этажа и самый дорогой лот второго.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Цифра подтверждается независимо. Машинная выгрузка по всему городскому округу Красногорск (254 лота) даёт отношение медиан 0,70, а по блокам 200–800 м² внутри изучаемой зоны — 0,64. Три разные выборки сходятся в коридоре 0,64–0,70, поэтому коэффициент можно предъявлять в переговорах как факт, а не как оценку.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Третий этаж.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в выборке одно: </w:t>
      </w:r>
      <w:hyperlink w:history="1" r:id="rIdnwr6ydk0ej_b3pjuc1c7y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 в Горках-2, 23 333 ₽/м²/год. Это на 4% ниже медианы второго этажа, и лот находится в экспозиции 343 дня. Это самая низкая ставка за метр во всей выборке — дешевле любого предложения в самом Ильинском. То есть третий этаж торгуется ниже второго и ждёт заметно дольше даже по нижней границе цены.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3.3. Где рынок действительно закрывается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Запрашиваемая ставка показывает, чего хочет собственник. Срок экспозиции показывает, согласен ли с этим рынок. На втором этаже выборка делится по этой границе предельно чётко.</w:t>
      </w:r>
    </w:p>
    <w:p>
      <w:pPr>
        <w:spacing w:after="140" w:before="100"/>
        <w:jc w:val="center"/>
      </w:pPr>
      <w:r>
        <w:drawing>
          <wp:inline distT="0" distB="0" distL="0" distR="0">
            <wp:extent cx="6096000" cy="2228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22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00"/>
        <w:gridCol w:w="900"/>
        <w:gridCol w:w="2400"/>
        <w:gridCol w:w="3606"/>
      </w:tblGrid>
      <w:tr>
        <w:trPr>
          <w:tblHeader/>
        </w:trPr>
        <w:tc>
          <w:tcPr>
            <w:tcW w:type="dxa" w:w="3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Группа</w:t>
            </w:r>
          </w:p>
        </w:tc>
        <w:tc>
          <w:tcPr>
            <w:tcW w:type="dxa" w:w="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Лотов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Ставка, ₽/м²/год</w:t>
            </w:r>
          </w:p>
        </w:tc>
        <w:tc>
          <w:tcPr>
            <w:tcW w:type="dxa" w:w="36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 в экспозиции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месяцы</w:t>
            </w:r>
          </w:p>
        </w:tc>
        <w:tc>
          <w:tcPr>
            <w:tcW w:type="dxa" w:w="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24 000 – 24 286</w:t>
            </w:r>
          </w:p>
        </w:tc>
        <w:tc>
          <w:tcPr>
            <w:tcW w:type="dxa" w:w="36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26, 137 и 137 дней</w:t>
            </w:r>
          </w:p>
        </w:tc>
      </w:tr>
      <w:tr>
        <w:trPr>
          <w:cantSplit/>
        </w:trPr>
        <w:tc>
          <w:tcPr>
            <w:tcW w:type="dxa" w:w="32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Второй этаж, стоят годы</w:t>
            </w:r>
          </w:p>
        </w:tc>
        <w:tc>
          <w:tcPr>
            <w:tcW w:type="dxa" w:w="9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7"/>
                <w:szCs w:val="17"/>
              </w:rPr>
              <w:t xml:space="preserve">30 000</w:t>
            </w:r>
          </w:p>
        </w:tc>
        <w:tc>
          <w:tcPr>
            <w:tcW w:type="dxa" w:w="3606"/>
            <w:tcBorders>
              <w:bottom w:val="single" w:color="1E1C19" w:sz="10"/>
            </w:tcBorders>
            <w:shd w:fill="FDF0F0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1160 и 1489 дней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Граница проходит между 24 300 и 30 000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Три лота второго этажа, выставленные по 24 000–24 286 ₽/м²/год, находятся в экспозиции от 26 до 137 дней — это нормальный рабочий срок. Два лота, выставленные по 30 000, стоят 1160 и 1489 дней, то есть три и четыре года.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Площади у групп близкие — 22–34 м² против 38–40 м², — и обе группы лежат в пределах двух километров от нас. Единственное, что их по-настоящему разделяет, — цена.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30 000 ₽/м²/год — это цена, по которой здесь не сдаётся ничего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выборке три лота выставлены ровно по 30 000. Это же три самых долгих лота выборки: 1160, 1320 и 1489 дней. Четвёртый по продолжительности стоит 343 дня — разрыв больше чем втрое.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Причём один из этих трёх находится на первом этаже (Центральная, 83), а два — на втором. То есть 30 000 не сдаётся ни на каком этаже: на первом это слишком дорого для места, на втором — слишком дорого для этажа.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Обратная сторона: самый дорогой лот выборки — 42 000 ₽/м²/год на улице Ленина, 11 — стоит всего 188 дней. Там, где помещение по формату востребовано, высокая цена не мешает; где не востребовано, не спасает и скидка. Это прямо относится к помещению №1.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3.4. Поправка на площадь и на террасу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Малая площадь.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выборке премии за дробность нет. На первом этаже блок 42 м² выставлен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42 000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₽/м²/год, а блок 175 м² в том же доме — по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36 000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: разница всего 17%, и она укладывается в разброс между соседними зданиями. На втором этаже блоки 22, 29 и 33,6 м² стоят одинаково — 24 000–24 286.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Практический вывод: рассчитывать на надбавку за нарезку помещения №1 нельзя; нарезка даёт не цену за метр, а скорость сдачи.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Рыночной наценки за террасу в открытых источниках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не существует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Ни в одном лоте выборки терраса не вынесена в цену отдельной строкой; в более широкой выгрузке по зоне — тоже: там, где она есть, её подают как бесплатное приложение к площади. Нормативный коэффициент 0,3 из приказа Минстроя № 854/пр от 25.11.2016 относится к приведённой площади жилых помещений для ДДУ и к аренде не применяется.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Рекомендация: террасу следует либо добирать в площадь с коэффициентом 0,3, либо использовать как аргумент, оправдывающий верх диапазона, но не как надбавку сверх него.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3.5. Рыночный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00"/>
        <w:gridCol w:w="2700"/>
        <w:gridCol w:w="3306"/>
      </w:tblGrid>
      <w:tr>
        <w:trPr>
          <w:tblHeader/>
        </w:trPr>
        <w:tc>
          <w:tcPr>
            <w:tcW w:type="dxa" w:w="4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Источник, дата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РФ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14,00% — сохранена, первая пауза в цикле снижения с июня 2025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Банк России, 11.09.2026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в ТЦ Москвы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11% (+1 п.п. г/г); пустует 742 тыс. м²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 via Retail.ru,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— стабилизированные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12% (+1 п.п. г/г); прайм и ключевые — 7%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IBC Real Estate, 04.09.2026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Вакансия по методике NF Group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6,4% (+0,9 п.п. к декабрю 2025); прогноз роста до 8%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Окружные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9,2% (+0,7 п.п.) — худший формат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торговой галереи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 180 тыс. ₽/м²/год; якоря — до 50 тыс.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 / РБК, 28.01.2026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Трафик окружных ТЦ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−5…−8% все шесть месяцев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Новые объекты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открываются с вакансией 30–35%, заполняются 1,5–2 года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I полугодие 2026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Прогноз ставок 2026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стагнация или коррекция вниз, кроме премиального сегмента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NF Group, Nikoliers, CORE.XP, IBC</w:t>
            </w:r>
          </w:p>
        </w:tc>
      </w:tr>
      <w:tr>
        <w:trPr>
          <w:cantSplit/>
        </w:trPr>
        <w:tc>
          <w:tcPr>
            <w:tcW w:type="dxa" w:w="4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НДС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повышен до 22% — назван фактором давления на ритейл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РБК, 28.01.2026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Расхождение в оценках вакансии — и почему мы приводим обе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IBC Real Estate называет 11%, NF Group — 6,4%. Разница методологическая: NF Group считает по качественным торговым центрам определённого класса, IBC — по более широкой выборке. Мы приводим обе цифры, а не выбираем удобную.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Для нашего объекта важнее третья цифра: вакансия окружных (районных) ТЦ по NF Group — 9,2%, и это худший формат рынка. Наш объект относится именно к нему.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3.6. Вердикт по каждому помещению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Три помещения продаются разным арендаторам и сравниваются с разными лотами выборки. Общая средняя по ним не значит ничего, поэтому вердикт по каждому отдельный.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№1 — 430,5 м², 2-й этаж, терраса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Крупных блоков на верхних этажах в выборке один: </w:t>
      </w:r>
      <w:hyperlink w:history="1" r:id="rIddmxapclrxfgi_tftvjnrn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180 м² на третьем этаже, 23 333 ₽/м²/год, в экспозиции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13 909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это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×0,60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к нему, то есть на 40% дешевле.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Для сравнения на первом этаже: сопоставимый по размеру блок </w:t>
      </w:r>
      <w:hyperlink w:history="1" r:id="rIdax1ajhtlhtf_7jy9njhqm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krasnogorsk.cian.ru/rent/commercial/331957732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175 м², 36 000 ₽/м²/год, в экспозиции всего 70 дней. Крупная площадь на первом этаже уходит за два месяца; крупная площадь на верхнем этаже ждёт почти год — и это при самой низкой ставке за метр во всей выборке. Решает этаж, а не адрес.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это значит для помещения №1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Мы стоим дешевле единственного сопоставимого лота на 40% и три года не сдаёмся. Цена для этого помещения узким местом не является — снижать её бессмысленно, это не сработало за три года и не сработает на четвёртый.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Подтверждение — в поведении всей выборки: три лота, выставленные по 30 000 ₽/м²/год, стоят дольше всех, а самый дорогой лот по 42 000 ушёл бы за полгода. Рынок отвергает не цену, а продукт: разнородную сборку залов, неблагоустроенную террасу и четыре взаимоисключающих назначения в одном тексте объявления.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Работать надо с нарезкой, с террасой как с отдельным активом и с одним внятным назначением. Экономику обоих путей считает раздел 8.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№2 — 39,6 м², 2-й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единственное из трёх помещений, у которого в выборке есть полноценная когорта: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5 лотов того же этажа и близкой площади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(22–40 м²), медиана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24 286 ₽/м²/год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39 091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61% выше медианы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и дороже каждого из пяти.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Но решает здесь не разрыв с медианой, а граница из раздела 3.3.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Мы просим даже больше, чем те два лота по 30 000, которые уже три и четыре года не могут найти арендатора. Ставка, которая не сдаётся, — это 30 000; мы стоим на 30% выше неё.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№2: 24 000–26 000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79–86 тыс. ₽/мес. Нижняя граница — уровень, на котором лоты выборки реально уходят за два-четыре месяца (24 000–24 286). Верхняя — запас на переговоры и на то, что помещение выйдет с нормальными фотографиями и полными условиями.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Выше 26 000 подниматься нельзя: между 24 300 и 30 000 в этой выборке лежит граница между «сдаётся за квартал» и «стоит четыре года».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Помещение №3 — 45,3 м², 3-й этаж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Прямое наблюдение по третьему этажу в выборке одно — </w:t>
      </w:r>
      <w:hyperlink w:history="1" r:id="rIdjse2jdga8tlpo9apn9ewl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zvenigorod.cian.ru/rent/commercial/322849091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 по 23 333 ₽/м²/год, и оно стоит 343 дня. Мы просим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25 960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— на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11% выше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лота, который сам не может сдаться почти год. Причём это ещё и самая низкая ставка за метр во всей выборке: остальные десять предложений просят больше. То есть 23 333 — это не скидка за слабую локацию, а нижняя граница выборки, на которой рынок всё равно не закрывается.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Проверка через этаж даёт тот же ответ.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Уровень, на котором закрывается второй этаж, — 24 000–24 286 ₽/м²/год. Третий этаж в выборке торгуется ниже второго. Значит, потолок для №3 — это 23 333, а рабочий коридор лежит под ним.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Целевая ставка по помещению №3: 20 000–23 000 ₽/м²/год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То есть 76–87 тыс. ₽/мес. Верхняя граница — уровень единственного лота третьего этажа в выборке; чтобы уйти быстрее, чем он, нужно быть под ним.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 от цены стоит вопрос назначения. Единственное офисное предложение в Ильинском — лот на 40 м² по 30 000 ₽/м²/год — стоит в экспозиции 1489 дней, то есть четыре года, и в объявлении прямо сказано «в аренду ещё не сдавалось». Слово «офис» здесь проверено на соседнем объекте, результат отрицательный: помещение нужно переупаковывать как готовую студию услуг.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И техническое ограничение, которое видно по планам БТИ: грузового подъёма на третий этаж нет. Это сужает круг арендаторов сильнее, чем ставка.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4.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Локационный анализ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4.1. Расположение и конкурентное окружение</w:t>
      </w:r>
    </w:p>
    <w:p>
      <w:pPr>
        <w:spacing w:after="30" w:before="100"/>
        <w:jc w:val="center"/>
      </w:pPr>
      <w:r>
        <w:drawing>
          <wp:inline distT="0" distB="0" distL="0" distR="0">
            <wp:extent cx="6286500" cy="3124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312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top w:val="single" w:color="E4DED4" w:sz="2" w:space="6"/>
        </w:pBdr>
        <w:spacing w:after="17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Яндекс.Карты. Координаты конкурентов — из карточек ЦИАН по тем же адресам, координата объекта — дом 28 по улице Ленина. Расстояния измерены по прямой.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Три факта, которые определяют всё остальное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Первое. Объект стоит не на магистрали в привычном смысле. Автодорога А-109 южнее Новорижского шоссе имеет по одной полосе в каждом направлении — это прямая цитата из генерального плана округа. Не 2+2, а 1+1.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Второе. Микролокация уже занята. В 440 метрах на той же улице работает ТЦ «Ильинский»: GLA 6 300 м², 56 арендаторов, 120 машиномест, 70 000 посетителей в месяц, рейтинг 4,9. Объект стоит внутри уже сложившегося кластера.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Третье. 42 парковочных места против 120 у прямого конкурента. При автомобильном характере локации это структурное ограничение, а не деталь.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Прямые конкуренты в радиусе 3 км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2400"/>
        <w:gridCol w:w="3400"/>
        <w:gridCol w:w="20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Объект</w:t>
            </w:r>
          </w:p>
        </w:tc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Параметры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Якоря и содержание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Ставки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«Ильинский»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11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(440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10 200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6 300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этажа + цоколь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120 машиномест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70 000 чел./мес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56 арендаторов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4,9 (33 отзыва)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«Да!», Эльдорадо, Fix Price, «Волконский», аптеки, кафе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14 400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48 000 ₽/м²/год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ТЦ «Амбар-2»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26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(25 м)</w:t>
            </w:r>
          </w:p>
        </w:tc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Общая 1 414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 в 2026 году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тот же собственник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ВкусВилл, МФЦ Московской области, Отделение почтовой связи, «Ароматный Мир», автомойка-детейлинг Dr. Duck, кальянная SB Lounge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46 154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49 500 ₽/м²/год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(1 этаж)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ТК «Ильинка Вилладж»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ул. Ленина, 30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(75 м)</w:t>
            </w:r>
          </w:p>
        </w:tc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GLA не раскрыт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рейтинг 4,4 (11 отзывов)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внутренний двор,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летняя веранда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Премиальный формат: бутики одежды, ресторан со звездой Michelin, сувениры, салон красоты, ювелирный, винотека, цветы, страхование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24 286 –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66 000 ₽/м²/год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Самый неудобный вывод исследования: конкурент внутри периметра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Корпус II («Амбар-2», ул. Ленина, 26) принадлежит тому же собственнику и открылся весной–летом 2026 года. Датировка по первым отзывам: ВкусВилл — 07.04.2026, SB Lounge — 30.07.2026, Dr. Duck — 10.08.2026.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Туда ушли ВкусВилл, МФЦ, отделение Почты России и «Ароматный Мир» — то есть самые сильные новые арендаторы за последние годы достались новому корпусу, а не 515 вакантным метрам в старом.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Часть трёхлетней вакансии Корпуса I объясняется внутренним приоритетом собственника: лучший продукт предлагался в Корпус II. Отзыв посетителя от 08.02.2026 подтверждает хронологию: «Отличная локация… Ждём открытия нового корпуса».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Чем заполнены 2–3 этажи малых подмосковных ТЦ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прямой ориентир. Ниже — фактическая поэтажная раскладка ТЦ «Октябрь» в Павловской Слободе: четыре уровня, около 35 арендаторов, потолки 3,92–3,94 м, то есть ближайший функциональный аналог нашего объекта.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5300"/>
        <w:gridCol w:w="3306"/>
      </w:tblGrid>
      <w:tr>
        <w:trPr>
          <w:tblHeader/>
        </w:trPr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Уровень</w:t>
            </w:r>
          </w:p>
        </w:tc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Арендаторы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это означает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Цоколь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СДЭК, два маникюрных салона, страхование, FourBikes (велосипеды), солярий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Логистика, бьюти и сезонный товар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Fix Price, ПВЗ Wildberries, ПВЗ OZON, Яндекс Маркет, аптека «Столички», оптика, химчистка «Диана», банк, табак, «Ермолино», «Хинкалье», кондитерская, AM Wine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Всё трафикообразующее: FMCG, три ПВЗ, аптека, банк, общепит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этаж</w:t>
            </w:r>
          </w:p>
        </w:tc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DNS, Ламода, «Нейрополис», «Лондон Тайм» (английский), курсы ОГЭ/ЕГЭ, «Весёлая Затея», студия творчества, «Лотос» (массаж), ателье «Шить Легко», барбершоп, «Даймонд Турс»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/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Плюс свободные 98 м², предлагаемые «под стоматологию, кафе или фитнес»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Электроника, шоурум маркетплейса, три образовательных арендатора подряд, услуги и бьюти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 этаж</w:t>
            </w:r>
          </w:p>
        </w:tc>
        <w:tc>
          <w:tcPr>
            <w:tcW w:type="dxa" w:w="5300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Маникюр/педикюр, Energetica (студия танцев), студия творчества, страхование — всего около четырёх арендаторов</w:t>
            </w:r>
          </w:p>
        </w:tc>
        <w:tc>
          <w:tcPr>
            <w:tcW w:type="dxa" w:w="33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Практически только услуги и студии. Этаж заполнен слабо — это зона наибольшего риска и на нашем объекте тоже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Паттерн подтверждается на других объектах: ТЦ «Княжий двор» на Новорижском шоссе держит на верхних уровнях фитнес-клуб, медцентр, аптеку, салон красоты, химчистку, ателье и ремонт часов; «Павлово Подворье» — школу танцев TODES и детский центр; Vegas Крокус Сити размещает KidZania на 2–3 этажах; Dream House в Барвихе отдал третий этаж целиком мебели, интерьеру и антикварным галереям.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Выведенное правило: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классический товарный ритейл на 2–3 этажи малого подмосковного ТЦ не идёт. Ни в одном из изученных объектов верхние этажи не заняты сетевой одеждой или обувью. Верх берут четыре категории, в порядке надёжности: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детское допобразование и развивающие студии; спорт и танцы; бьюти и медицина; бытовые и финансовые услуги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Общий признак — к этим арендаторам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едут по записи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им не нужен витринный трафик. Побочная выгода: запись распределяет визиты по времени и снимает пиковую нагрузку на 42 парковочных места.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4.2. Жители соседних локаций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Два уточнения по застройщикам, которые часто путают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ЖК «Ильинские луга» строит ПИК — ООО «СЗ „ГрадОлимп“», это подтверждено постановлением администрации округа. «Гранель» в этой зоне ведёт другие проекты: ЖК «Новая Рига» в Глухово, ЖК «Аникеевский» и «Ильинойс».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Названий «Первый Ильинский» и «Новое Глухово» в официальном перечне строящихся ЖК округа и в прогнозе социально-экономического развития нет. Реальные проекты в Глухово — «Новая Рига» (Гранель) и «Рублёвское предместье» («Новая усадьба»).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Главное.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Официальная численность села Ильинское —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478 человек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(перепись 2010 года) — как маркетинговая база нерелевантна. Реальная аудитория формируется тремя проектами комплексного освоения в радиусе 1,3–2,9 км с суммарной проектной ёмкостью около 57–65 тыс. человек, из которых на сегодня реализовано примерно треть.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00"/>
        <w:gridCol w:w="1700"/>
        <w:gridCol w:w="2200"/>
        <w:gridCol w:w="2906"/>
      </w:tblGrid>
      <w:tr>
        <w:trPr>
          <w:tblHeader/>
        </w:trPr>
        <w:tc>
          <w:tcPr>
            <w:tcW w:type="dxa" w:w="3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Населённый пункт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Численность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  <w:tc>
          <w:tcPr>
            <w:tcW w:type="dxa" w:w="29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Ильинское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478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Ильинское-Усово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д. Глухово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Новый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2 237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Инженерный-1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1 134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Петрово-Дальнее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2 001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4,5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Мечниково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2 427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4,8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п. Архангельское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3 656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2020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4,9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с. Николо-Урюпино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693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перепись 2010</w:t>
            </w:r>
          </w:p>
        </w:tc>
        <w:tc>
          <w:tcPr>
            <w:tcW w:type="dxa" w:w="29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5,1 км</w:t>
            </w:r>
          </w:p>
        </w:tc>
      </w:tr>
      <w:tr>
        <w:trPr>
          <w:cantSplit/>
        </w:trPr>
        <w:tc>
          <w:tcPr>
            <w:tcW w:type="dxa" w:w="3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г.о. Красногорск — всего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345 865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Росстат, 01.01.2025</w:t>
            </w:r>
          </w:p>
        </w:tc>
        <w:tc>
          <w:tcPr>
            <w:tcW w:type="dxa" w:w="29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Расстояния — по прямой, по геокодированию OpenStreetMap; оценка. Для большинства сельских населённых пунктов последняя опубликованная цифра — перепись 2010 года: данные переписи 2021 по ним в открытом доступе отсутствуют.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Критическое допущение: радиус не равен доступности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Москва-река отделяет Ильинское от Рублёвки. Жуковка и Барвиха находятся в 2,2 и 3,1 км по прямой, но в 15–20 км по дороге: ближайшие мосты — у Петрово-Дальнего и Успенского.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Поэтому все радиусные оценки в этом разделе следует считать верхней границей. Для решения об аренде нужна изохрона 10/15/20 минут, а не круг. Изохрона не строилась — это ближайший следующий шаг.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Новое жильё — главный драйвер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100"/>
        <w:gridCol w:w="1700"/>
        <w:gridCol w:w="1650"/>
        <w:gridCol w:w="1700"/>
        <w:gridCol w:w="1250"/>
        <w:gridCol w:w="1706"/>
      </w:tblGrid>
      <w:tr>
        <w:trPr>
          <w:tblHeader/>
        </w:trPr>
        <w:tc>
          <w:tcPr>
            <w:tcW w:type="dxa" w:w="2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Застройщик</w:t>
            </w:r>
          </w:p>
        </w:tc>
        <w:tc>
          <w:tcPr>
            <w:tcW w:type="dxa" w:w="16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Проектная ёмкость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Расстояние</w:t>
            </w:r>
          </w:p>
        </w:tc>
        <w:tc>
          <w:tcPr>
            <w:tcW w:type="dxa" w:w="1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ЖК «Ильинские луга»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ПИК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(СЗ «ГрадОлимп»)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44,9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1 257,8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КОТ на 215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1,7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62,4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95,9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Сроки до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«Новая Рига»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~4,0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394,6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 корпусов, 37,6 га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1,3–2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30,2 тыс. м²;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план 2025 — 30,9 тыс. м².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Сдача 2021–2027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«Рублёвское предместье»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«Новая усадьба»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29,5 га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53 корпуса 3–7 эт.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1,3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Сдано 7 корпусов,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готовятся ещё 9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«Riga Hills»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UNION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4,1 тыс. чел.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 корпусов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2,9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IV кв. 2025 и IV кв. 2026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«Ильинойс»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190 тыс. м²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&gt;2 600 квартир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7,2 км</w:t>
            </w:r>
          </w:p>
        </w:tc>
        <w:tc>
          <w:tcPr>
            <w:tcW w:type="dxa" w:w="1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2 — IV кв. 2025;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корп. 3 — III кв. 2028</w:t>
            </w:r>
          </w:p>
        </w:tc>
      </w:tr>
      <w:tr>
        <w:trPr>
          <w:cantSplit/>
        </w:trPr>
        <w:tc>
          <w:tcPr>
            <w:tcW w:type="dxa" w:w="2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«Аникеевский»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ГК «Гранель»</w:t>
            </w:r>
          </w:p>
        </w:tc>
        <w:tc>
          <w:tcPr>
            <w:tcW w:type="dxa" w:w="16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6,7 тыс. чел.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8,2 км</w:t>
            </w:r>
          </w:p>
        </w:tc>
        <w:tc>
          <w:tcPr>
            <w:tcW w:type="dxa" w:w="1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Ввод 2024 — 32,1 тыс. м²</w:t>
            </w:r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Источник: постановление администрации г.о. Красногорск № 2760/10 от 16.10.2025 «О прогнозе социально-экономического развития на 2026–2028 годы», Приложения 1 и 2; Доклад главы округа за 2025 год (опубликован 30.04.2026).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Доказательство заселения, а не проектных намерений.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 2025 году введены два дошкольных отделения Ильинской средней школы — на 200 мест (ул. Архангельская, 12) и на 350 мест (ул. Заповедная, 18). Работает школа на 1 500 мест. Проектом предусмотрены 4 школы и 9 детских садов. Муниципалитет строит социальную инфраструктуру там, где уже живут люди, — это более надёжный индикатор, чем данные застройщика.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Сколько жителей добавится и почему не 57 тысяч за три года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Сколько человек считать на квартиру.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Распространённый ориентир 2,3–2,5 человека для этой застройки завышен. Официальные цифры дают меньше: 44,9 тыс. человек на 1 257,8 тыс. м² =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28,0 м² на человека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что при средней квартире около 52 м² соответствует примерно 1,9 человека на квартиру. Расчёт по 2,3–2,5 завышает прогноз на 15–25%.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3600"/>
        <w:gridCol w:w="37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Горизонт</w:t>
            </w:r>
          </w:p>
        </w:tc>
        <w:tc>
          <w:tcPr>
            <w:tcW w:type="dxa" w:w="3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5 км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Радиус 10 км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Сейчас (2026)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40–50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(центральная оценка ~45)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190–235 тыс. чел.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2029 (прогноз)</w:t>
            </w:r>
          </w:p>
        </w:tc>
        <w:tc>
          <w:tcPr>
            <w:tcW w:type="dxa" w:w="3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50–62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+8–12 тыс. зарегистрированных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205–255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+14–20 тыс.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проектная ёмкость всех КОТ</w:t>
            </w:r>
          </w:p>
        </w:tc>
        <w:tc>
          <w:tcPr>
            <w:tcW w:type="dxa" w:w="3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+57–65 тыс. чел.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горизонт за пределами 2030 года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Предостережение по цифре «57 тысяч»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Публикация МК от 29.10.2025 сообщает, что «на территории поселения Ильинское ожидается прирост населения на 57 тысяч человек к 2028 году». Цифра 44,9 тыс. по «Ильинским лугам» в ней совпадает с постановлением, то есть источник достоверен.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Но 57 тысяч — это проектная ёмкость, а не фактическое заселение к 2028 году. При темпах ввода 60–96 тыс. м² в год и объёме проекта 1 257,8 тыс. м² горизонт полного освоения уходит далеко за 2030 год. Переносить 57 тысяч на трёхлетний горизонт нельзя.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4.3. Трафик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Заявленная цифра и что за ней стоит</w:t>
      </w:r>
    </w:p>
    <w:tbl>
      <w:tblPr>
        <w:tblW w:type="dxa" w:w="10106"/>
        <w:tblInd w:type="dxa" w:w="0"/>
        <w:tblBorders>
          <w:top w:val="single" w:color="8E3A22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8E3A22"/>
                <w:spacing w:val="16"/>
                <w:sz w:val="17"/>
                <w:szCs w:val="17"/>
              </w:rPr>
              <w:t xml:space="preserve">Проверка заявления «50 000 автомобилей в сутки»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маркетинговых материалах объекта заявлен «стабильно высокий а/м трафик — 50 000 а/м в сутки». Прямого замера интенсивности движения у объекта в открытых источниках нет, и независимого подтверждения этой цифре не нашлось.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Ближайшая опубликованная величина — около 57 тыс. автомобилей в сутки — относится к узлу Волоколамское × Ильинское шоссе в городе Красногорск: это примерно 10 км от объекта, и там дорога имеет четыре полосы. У нас — одна полоса в каждом направлении. Перенос этой цифры на село Ильинское завышает трафик в 4–5 раз.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Скорее всего, это добросовестная ошибка переноса. Но в переговорах с сетевым арендатором такая цифра опасна: его аналитики проверят сечение и полосность, и весь остальной аргумент потеряет вес вместе с ней. Ниже — оценка, построенная от документов, а не от соседнего узла.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Что показывают документы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800"/>
        <w:gridCol w:w="2700"/>
        <w:gridCol w:w="1400"/>
        <w:gridCol w:w="3206"/>
      </w:tblGrid>
      <w:tr>
        <w:trPr>
          <w:tblHeader/>
        </w:trPr>
        <w:tc>
          <w:tcPr>
            <w:tcW w:type="dxa" w:w="28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Параметр</w:t>
            </w:r>
          </w:p>
        </w:tc>
        <w:tc>
          <w:tcPr>
            <w:tcW w:type="dxa" w:w="2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Статус</w:t>
            </w:r>
          </w:p>
        </w:tc>
        <w:tc>
          <w:tcPr>
            <w:tcW w:type="dxa" w:w="3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Источник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Дорога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«Ильинское шоссе», федеральная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 г.о. Красногорск,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Полосность у объекта</w:t>
            </w:r>
          </w:p>
        </w:tc>
        <w:tc>
          <w:tcPr>
            <w:tcW w:type="dxa" w:w="2700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«южнее Новорижского шоссе — по 1 полосе в каждом направлении»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дословная цитата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Техническая категория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II категория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2018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Единственный официальный замер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3 200 ед./час на участке от М-9 «Балтия» до Ильинского подъезда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грузового транспорта</w:t>
            </w:r>
          </w:p>
        </w:tc>
        <w:tc>
          <w:tcPr>
            <w:tcW w:type="dxa" w:w="2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 — для ТЦ это «пустой» трафик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</w:t>
            </w:r>
          </w:p>
        </w:tc>
        <w:tc>
          <w:tcPr>
            <w:tcW w:type="dxa" w:w="3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Генплан, табл. 2.2.1</w:t>
            </w:r>
          </w:p>
        </w:tc>
      </w:tr>
      <w:tr>
        <w:trPr>
          <w:cantSplit/>
        </w:trPr>
        <w:tc>
          <w:tcPr>
            <w:tcW w:type="dxa" w:w="28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Интенсивность у объекта</w:t>
            </w:r>
          </w:p>
        </w:tc>
        <w:tc>
          <w:tcPr>
            <w:tcW w:type="dxa" w:w="2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11 000–16 000 авт./сут (среднегодовая);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18 000–24 000 в пик выходного дня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ОЦЕНКА</w:t>
            </w:r>
          </w:p>
        </w:tc>
        <w:tc>
          <w:tcPr>
            <w:tcW w:type="dxa" w:w="3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независимых метода расчёта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Оценка 11–16 тыс. автомобилей в сутки получена тремя независимыми способами, дающими сходящийся результат: от технической категории дороги по СП 34.13330.2021 (8–16 тыс.), от практической пропускной способности дороги 1+1 с примыканиями (11–16 тыс.) и от сопоставления с Путилковским шоссе в той же таблице генплана (12–17 тыс.). Степень доверия — средняя; перед инвестиционным решением необходим собственный замер по ГОСТ 32965-2014.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Структура потока: транзита практически нет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000"/>
        <w:gridCol w:w="1300"/>
        <w:gridCol w:w="5806"/>
      </w:tblGrid>
      <w:tr>
        <w:trPr>
          <w:tblHeader/>
        </w:trPr>
        <w:tc>
          <w:tcPr>
            <w:tcW w:type="dxa" w:w="30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Компонента</w:t>
            </w:r>
          </w:p>
        </w:tc>
        <w:tc>
          <w:tcPr>
            <w:tcW w:type="dxa" w:w="1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Доля</w:t>
            </w:r>
          </w:p>
        </w:tc>
        <w:tc>
          <w:tcPr>
            <w:tcW w:type="dxa" w:w="5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Местный трафик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55–70%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Ильинское, Ильинское-Усово, Глухово, Николо-Урюпино, коттеджные посёлки. Растёт за счёт «Ильинских лугов»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Связь Новая Рига — Рублёвка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20–30%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А-109 работает как хорда-дублёр, а не как основной маршрут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Дачный и рекреационный</w:t>
            </w:r>
          </w:p>
        </w:tc>
        <w:tc>
          <w:tcPr>
            <w:tcW w:type="dxa" w:w="1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10–20%, сезонно</w:t>
            </w:r>
          </w:p>
        </w:tc>
        <w:tc>
          <w:tcPr>
            <w:tcW w:type="dxa" w:w="5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Архангельское, Николина Гора, садовые товарищества</w:t>
            </w:r>
          </w:p>
        </w:tc>
      </w:tr>
      <w:tr>
        <w:trPr>
          <w:cantSplit/>
        </w:trPr>
        <w:tc>
          <w:tcPr>
            <w:tcW w:type="dxa" w:w="30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Грузовой</w:t>
            </w:r>
          </w:p>
        </w:tc>
        <w:tc>
          <w:tcPr>
            <w:tcW w:type="dxa" w:w="1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~15%</w:t>
            </w:r>
          </w:p>
        </w:tc>
        <w:tc>
          <w:tcPr>
            <w:tcW w:type="dxa" w:w="5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Промзоны по направлению: «Экстра-М», «Уникма», «Союзснаб», «Бецема», «Кнауф-Гипс». Для ТЦ нецелевой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Вывод.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Классического сквозного транзита у объекта практически нет: А-109 по характеру — тупиковая радиальная дорога, упирающаяся в Рублёвку и правительственные резиденции со спецподъездами.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Ставка на «транзитный трафик» для этого объекта не обоснована.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 Рабочая модель — местный центр обслуживания плюс целевые поездки. Это, кстати, ровно та модель, под которую подходят арендаторы верхних этажей из раздела 4.1.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Пешеходный трафик: подтверждаем, что он незначим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478 жителей села физически не формируют пешеходного потока для торгового центра.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Через улицу Ленина проходит по существу один магистральный автобусный маршрут — № 540 (м. Тушинская — Бузланово). Остановка «Ильинское, улица Ленина» находится в 81 метре от объекта.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Маршрут № 541, обслуживающий главный растущий массив — ЖК «Ильинские луга», — идёт мимо объекта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, через Глухово и Ильинские Луга на Николо-Урюпино.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Ближайшая железнодорожная платформа — Ильинское, 2,5 км.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Следствие: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формат обязан быть автомобильным. И здесь 42 машиноместа против 120 у ТЦ «Ильинский» становятся ключевым ограничением — что ещё раз выводит на арендаторов, работающих по записи.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Профиль дня и сезонность</w:t>
      </w:r>
    </w:p>
    <w:p>
      <w:pPr>
        <w:spacing w:after="140" w:before="100"/>
        <w:jc w:val="center"/>
      </w:pPr>
      <w:r>
        <w:drawing>
          <wp:inline distT="0" distB="0" distL="0" distR="0">
            <wp:extent cx="5715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Пик приходится на 13:00–15:00, а не на вечер.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К 21:00 загруженность падает до 30% от пика. Это профиль дневного обслуживающего центра «по пути», а не вечернего или выходного шопинга. Практический вывод: приоритет тем арендаторам, чья выручка формируется днём, — детские занятия после школы, услуги по записи, медицина, обед, аптека, — а не вечернему досугу и импульсной торговле.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Сезонность: по исследованию Яндекса о подмосковных дачных пробках загруженность трасс «в область» по пятницам в мае–августе в 2,7 раза выше обычных будней, «в Москву» в воскресенье — в 1,8 раза выше среднего. Годовой размах трафика мимо объекта оценивается в 1,6–2,2 раза. Лучшее торговое окно — суббота с 11:00 до 18:00, когда люди уже на месте и никуда не спешат; пятничный вечер даёт «набег» за продуктами, готовой едой, цветами и хозтоварами.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Инфраструктурные изменения: метро работает в обе стороны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Метро «Ильинская» открылось 5 сентября 2026 года — в 6 км к северу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Станция расположена на 4-м километре Ильинского шоссе, объект — на 10-м. Прогнозный пассажиропоток линии — свыше 250 тыс. поездок в сутки к 2030 году.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Плюс: рост капитализации и населения всего Ильинского направления.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Минус, который необходимо проговорить: метро создаёт мощный перехватывающий узел с парковками между объектом и Москвой. Часть жителей, ранее ехавших в Красногорск мимо нашего ТЦ, теперь доедет до станции и совершит покупки там. Для торговли «по пути» на 10-м километре это отток, а не приток. Ещё один аргумент в пользу смещения от «торговли по пути» к услугам по месту жительства.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Реконструкция А-109 до четырёх полос запланирована в схеме территориального планирования Московской области, но в федеральной схеме не значится — то есть федерального финансирования нет. Расширение участка «Ильинское шоссе — Бузланово», проходящего через село, увязано с проектом планировки ЖК «Ильинские луга». ЦКАД на объект не влияет: она пересекает Новорижское шоссе примерно в 50 км от МКАД и с А-109 не пересекается.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4.4. Социально-экономический контекст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600"/>
        <w:gridCol w:w="1500"/>
        <w:gridCol w:w="1500"/>
        <w:gridCol w:w="1700"/>
        <w:gridCol w:w="2806"/>
      </w:tblGrid>
      <w:tr>
        <w:trPr>
          <w:tblHeader/>
        </w:trPr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2024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2025</w:t>
            </w:r>
          </w:p>
        </w:tc>
        <w:tc>
          <w:tcPr>
            <w:tcW w:type="dxa" w:w="1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2028 (прогноз)</w:t>
            </w:r>
          </w:p>
        </w:tc>
        <w:tc>
          <w:tcPr>
            <w:tcW w:type="dxa" w:w="2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Комментарий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116 500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138 921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191 809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+38,1% номинально за 2026–2028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Среднемесячная зарплата,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Московская область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98 795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116 008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нет данных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Красногорск выше области на ~20%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г.о. Красногорск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375,6 млрд ₽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404,1 млрд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501,0 млрд ₽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+24,0% номинально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Население округа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335 991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~347 600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~368 200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+5,9%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Оборот на душу населения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1,163 млн ₽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1,361 млн ₽</w:t>
            </w:r>
          </w:p>
        </w:tc>
        <w:tc>
          <w:tcPr>
            <w:tcW w:type="dxa" w:w="2806"/>
            <w:tcBorders>
              <w:bottom w:val="single" w:color="E4DED4" w:sz="2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+17,0% за 3 года = ~5,4% в год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Реальные располагаемые доходы РФ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+7,4%</w:t>
            </w:r>
          </w:p>
        </w:tc>
        <w:tc>
          <w:tcPr>
            <w:tcW w:type="dxa" w:w="1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+2,1% (прогноз МЭР на 2026)</w:t>
            </w:r>
          </w:p>
        </w:tc>
        <w:tc>
          <w:tcPr>
            <w:tcW w:type="dxa" w:w="2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I и II кварталы 2026: +1,5%</w:t>
            </w:r>
          </w:p>
        </w:tc>
      </w:tr>
      <w:tr>
        <w:trPr>
          <w:cantSplit/>
        </w:trPr>
        <w:tc>
          <w:tcPr>
            <w:tcW w:type="dxa" w:w="2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Оборот розничной торговли РФ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+10% (янв–ноя)</w:t>
            </w:r>
          </w:p>
        </w:tc>
        <w:tc>
          <w:tcPr>
            <w:tcW w:type="dxa" w:w="1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2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Январь–май 2026: всего +5%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Что происходит с покупательной способностью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Оборот розничной торговли на душу населения в округе растёт на 5,4% в год. При инфляции 4–6% это означает, что в реальном выражении душевое потребление в 2026–2028 не растёт или снижается. Администрация округа признаёт это в собственном прогнозе, указывая на «нестабильный спрос населения на товары, не являющиеся жизненно необходимыми, и снижение покупательной способности вследствие повышения цен».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Аудитория в Ильинском растёт числом, но не доходом. Планировать следует объём трафика; на рост среднего чека в реальном выражении рассчитывать нельзя.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Отдельно: ключевая ставка ЦБ 14% и повышение НДС до 22% напрямую сокращают способность малого бизнеса открывать новые точки. Дорогие деньги — это меньше входящих обращений от независимых предпринимателей и больше веса у сетевых арендаторов, у которых есть собственный капитал.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Расслоение аудитории — не смешивать в одном расчёте.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Массовый комфорт-класс (жители «Ильинских лугов», «Новой Риги», «Рублёвского предместья», «Riga Hills»; квартиры 7–25 млн ₽) растёт быстро и живёт круглогодично — это и есть главный драйвер трафика. Премиальные коттеджные посёлки (Петровский, Глухово, Николо-Урюпино; дома от 60 млн до 1,4 млрд ₽) не растут: спрос на элитные загородные дома Московского региона в III квартале 2025 упал на 41% год к году при росте предложения на 63,4%. По индексу Intermark PMR TOP-100 Рублёво-Успенское направление даёт 69% самых дорогих домов Подмосковья, а Ильинское шоссе представлено единичными объектами — то есть наша локация не является ядром делюкс-сегмента.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Доля круглогодичного проживания в коттеджных посёлках оценивается в 60–75% на основании данных ИНКОМ-Недвижимость 2018 года (70% для радиуса до 40 км от Москвы). Актуального исследования за 2024–2026 годы в открытых источниках не существует. Это самая непрочная цифра отчёта.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5.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Почему помещения вакантны три года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771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771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5.1. Матрица «объективно / управляемо»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50"/>
        <w:gridCol w:w="620"/>
        <w:gridCol w:w="1250"/>
        <w:gridCol w:w="3400"/>
        <w:gridCol w:w="1200"/>
        <w:gridCol w:w="1186"/>
      </w:tblGrid>
      <w:tr>
        <w:trPr>
          <w:tblHeader/>
        </w:trPr>
        <w:tc>
          <w:tcPr>
            <w:tcW w:type="dxa" w:w="24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Причина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Вес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Природа</w:t>
            </w:r>
          </w:p>
        </w:tc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Конкретное действие</w:t>
            </w:r>
          </w:p>
        </w:tc>
        <w:tc>
          <w:tcPr>
            <w:tcW w:type="dxa" w:w="1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Стоимость</w:t>
            </w:r>
          </w:p>
        </w:tc>
        <w:tc>
          <w:tcPr>
            <w:tcW w:type="dxa" w:w="118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Ценообразование: №2 и №3 выше рынка; в объявлениях не указаны НДС, OPEX и коммунальные платежи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№2 к 24–26 тыс. ₽/м²/год, №3 — к 20–23 тыс. Опубликовать полную занятость: НДС, OPEX, коммунальные, каникулы, индексацию — так, как это делают конкуренты на ул. Ленина, 11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Маркетинг и каналы: единственный аффилированный брокер; на ЦИАН размещён только Корпус II, Корпуса I нет ни в одном из 277 объявлений округа; презентация от 27.07.2026 разошлась с объявлениями по площади и назначению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Завести Корпус I на ЦИАН — туда, где уже размещён Корпус II. Плюс Авито и Яндекс.Недвижимость. Профессиональная съёмка с планировками. Привлечь 2–3 независимых брокеров на комиссию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~300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Позиционирование: «офис» там, где нет офисного рынка; «торговая площадь» без витрины; ошибочный кадастровый номер; приглашение ПВЗ, которым регламент запрещает 2-й этаж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15%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все три объявления. №3 — готовая бьюти-студия, №2 — помещение под услуги, №1 — одно назначение вместо четырёх. Выписка ЕГРН, исправление кадастрового номера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Продукт: 430 м² — разнородная сборка залов; терраса не благоустроена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12%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Нарезка на 3 блока с отдельными входами и санузлами; благоустройство террасы (навес, освещение, озеленение)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~6,5 млн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4–6 мес.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Каннибализация: Корпус II забрал ВкусВилл, МФЦ, Почту, «Ароматный Мир»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10%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УПРАВЛЯЕМО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корпуса по функциям: Корпус II — торговля и сервис у дороги, Корпус I — услуги, детское и здоровье. Единая матрица арендаторов на оба здания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 ₽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Физика здания: лифт на планах БТИ отсутствует; публичная жалоба на опасную лестницу; 42 парковки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A5A2E"/>
                <w:sz w:val="17"/>
                <w:szCs w:val="17"/>
              </w:rPr>
              <w:t xml:space="preserve">ЧАСТИЧНО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Срочно: антискользящее покрытие, поручни, контрастная маркировка ступеней. Оценить возможность установки лифта. Проверить фактическое число парковочных мест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350 тыс. ₽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(лифт — отдельно)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45 дней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Локация и трафик: 1+1 полоса, 478 жителей села, конкурент с GLA 6 300 м² в 440 м, метро перехватывает поток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8%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Принять как данность и подбирать арендаторов, которым витринный трафик не нужен</w:t>
            </w:r>
          </w:p>
        </w:tc>
        <w:tc>
          <w:tcPr>
            <w:tcW w:type="dxa" w:w="1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Макроэкономика: ставка ЦБ 14%, НДС 22%, вакансия ТЦ растёт, реальные доходы замедлились до +1,5%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6%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6E6860"/>
                <w:sz w:val="17"/>
                <w:szCs w:val="17"/>
              </w:rPr>
              <w:t xml:space="preserve">ОБЪЕКТИВНО</w:t>
            </w:r>
          </w:p>
        </w:tc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Изменить нельзя. Смещать фокус с независимых предпринимателей на сетевых арендаторов с собственным капиталом</w:t>
            </w:r>
          </w:p>
        </w:tc>
        <w:tc>
          <w:tcPr>
            <w:tcW w:type="dxa" w:w="1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  <w:tc>
          <w:tcPr>
            <w:tcW w:type="dxa" w:w="118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10106"/>
        <w:tblInd w:type="dxa" w:w="0"/>
        <w:tblBorders>
          <w:top w:val="single" w:color="2F4A61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F4A61"/>
                <w:spacing w:val="16"/>
                <w:sz w:val="17"/>
                <w:szCs w:val="17"/>
              </w:rPr>
              <w:t xml:space="preserve">Что из этого следует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На управляемые причины приходится около 67% совокупного веса, на объективные — 14%, на частично управляемые — 9%.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Трёхлетний простой не приговор для локации. Две трети проблемы находятся в зоне прямого контроля собственника, и первые три позиции — ценообразование, каналы и позиционирование, дающие вместе 55% веса, — устраняются за 30 дней и примерно 350 тыс. ₽.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5.2. Пять ошибок, которые видит арендатор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900"/>
        <w:gridCol w:w="5206"/>
      </w:tblGrid>
      <w:tr>
        <w:trPr>
          <w:tblHeader/>
        </w:trPr>
        <w:tc>
          <w:tcPr>
            <w:tcW w:type="dxa" w:w="4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видит потенциальный арендатор</w:t>
            </w:r>
          </w:p>
        </w:tc>
        <w:tc>
          <w:tcPr>
            <w:tcW w:type="dxa" w:w="5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останавливает сделку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объявлении не указаны НДС, OPEX и коммунальные платежи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Отдел развития сети не может рассчитать полную занятость (occupancy cost) и не ставит объект в воронку. Это стандартная процедура. Конкурент в 440 метрах, на ул. Ленина, 11, публикует в карточке ЦИАН ставку с указанием НДС, эксплуатационный платёж 350 ₽/м²/мес, переменную часть по счётчикам, каникулы 60 дней и обеспечительный платёж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Кадастровый номер 50:11:0050505:190 относится к соседнему зданию (ул. Ленина, 26). Для ул. Ленина, 28 сам брокер на другой странице указывает 50:11:0050502:1759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 сетевого арендатора проверяет кадастр на первом шаге. Несоответствие адреса и кадастрового номера останавливает сделку и подрывает доверие ко всему пакету документов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№2 приглашает «ПВЗ Wildberries или Яндекс Маркета»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Регламент Wildberries прямо запрещает размещение выше первого этажа и требует от 70 м² в Московской области (у нас 39,6). Яндекс Маркет допускает второй этаж, но только при работающем лифте. Оба обращения отваливаются на первом уточнении — и оставляют впечатление, что собственник не изучил вопрос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№3 продаёт «офис», фотографии показывают бьюти-салон</w:t>
            </w:r>
          </w:p>
        </w:tc>
        <w:tc>
          <w:tcPr>
            <w:tcW w:type="dxa" w:w="5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Арендатор не понимает, что именно сдаётся. Неопределённость на этапе объявления — самая дешёвая причина отказа</w:t>
            </w:r>
          </w:p>
        </w:tc>
      </w:tr>
      <w:tr>
        <w:trPr>
          <w:cantSplit/>
        </w:trPr>
        <w:tc>
          <w:tcPr>
            <w:tcW w:type="dxa" w:w="4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Объявление №1 предлагает «под офис, коворкинг, спортивную или танцевальную студию»</w:t>
            </w:r>
          </w:p>
        </w:tc>
        <w:tc>
          <w:tcPr>
            <w:tcW w:type="dxa" w:w="5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Четыре разных продукта в одном тексте. Ни один из четырёх адресатов не узнаёт в описании своё помещение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6.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Оценка текущей презентации объекта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Объект продаётся презентацией «Торговый комплекс «Амбар» в аренду» — одиннадцать слайдов, датированных 27 июля 2026 года, в тот же день обновлялись и объявления на metrplus.com. Концепция единая: весь второй и третий этаж, 911,5 м², предлагаются под один ресторан.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Обложка и концепция 2-го этажа: 612,8 м², три зала, бар, детская комната и летняя веранда, 33 стола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1500"/>
        <w:gridCol w:w="6206"/>
      </w:tblGrid>
      <w:tr>
        <w:trPr>
          <w:tblHeader/>
        </w:trPr>
        <w:tc>
          <w:tcPr>
            <w:tcW w:type="dxa" w:w="2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предлагается</w:t>
            </w:r>
          </w:p>
        </w:tc>
        <w:tc>
          <w:tcPr>
            <w:tcW w:type="dxa" w:w="1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Площадь</w:t>
            </w:r>
          </w:p>
        </w:tc>
        <w:tc>
          <w:tcPr>
            <w:tcW w:type="dxa" w:w="6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Состав по презентации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612,8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зала ресторана, бар, детская комната, сырный цех, открытая кухня, летняя веранда 131,7 м², 33 стола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3-й этаж</w:t>
            </w:r>
          </w:p>
        </w:tc>
        <w:tc>
          <w:tcPr>
            <w:tcW w:type="dxa" w:w="1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298,7 м²</w:t>
            </w:r>
          </w:p>
        </w:tc>
        <w:tc>
          <w:tcPr>
            <w:tcW w:type="dxa" w:w="6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Семь ресторанных залов и отдельный банкетный зал 41,9 м² — «событийный кластер»</w:t>
            </w:r>
          </w:p>
        </w:tc>
      </w:tr>
      <w:tr>
        <w:trPr>
          <w:cantSplit/>
        </w:trPr>
        <w:tc>
          <w:tcPr>
            <w:tcW w:type="dxa" w:w="2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Итого</w:t>
            </w:r>
          </w:p>
        </w:tc>
        <w:tc>
          <w:tcPr>
            <w:tcW w:type="dxa" w:w="1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911,5 м²</w:t>
            </w:r>
          </w:p>
        </w:tc>
        <w:tc>
          <w:tcPr>
            <w:tcW w:type="dxa" w:w="6206"/>
            <w:tcBorders>
              <w:bottom w:val="single" w:color="1E1C19" w:sz="10"/>
            </w:tcBorders>
            <w:shd w:fill="F0E6D8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41,6% всей площади Корпуса I (2 191,5 м²)</w:t>
            </w:r>
          </w:p>
        </w:tc>
      </w:tr>
    </w:tbl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Что важно зафиксировать сразу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Материалы свежие и сделаны всерьёз: презентация датирована 27 июля 2026 года, в ней есть концепция, рендеры и посчитанная посадка.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При этом объект сейчас продаётся двумя разными предложениями одновременно. Объявления на сайте предлагают три отдельных лота общей площадью 515,4 м² по трём ставкам и под три назначения. Презентация предлагает 911,5 м² одним куском под одно назначение. Арендатор, нашедший оба, не поймёт, что именно сдаётся.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6.1. Что презентация исправила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Одна концепция вместо четырёх.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Объявление по помещению №1 предлагало «офис, коворкинг, спортивную или танцевальную студию» — четыре адресата в одном тексте. Презентация выбрала одного и говорит с ним на его языке: сырный цех, открытая кухня, посадка, детская комната, банкетный зал.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Терраса превращена в продукт.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131,7 м² названы летней верандой, показаны в рендере с мебелью, озеленением и светом, отдельной строкой указана возможность установки навеса. По плану БТИ это помещение 24 — та самая открытая бетонная площадка, которая на прежних фотографиях выглядела неиспользуемой. Здесь показано, чем она может стать.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Планировки с расстановкой.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слайдах 5 и 9 даны поэтажные планы с мебелью и подсчитанной посадкой. Арендатор видит, помещается ли его бизнес, не выезжая на объект.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Рендеры вместо пустых кадров.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Четыре визуализации — зал, веранда, детская, банкетный зал. Они снимают главную проблему прежних фотографий, где разнородные залы с обшивкой OSB и банкетным глянцем отпугивали сразу всех.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Актуальный состав соседей.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Логотипы ВкусВилл, «36,6», Dr. Duck, «Ирис», La Poste, OZON, «Пятёрочка» — состав соответствует тому, что мы подтвердили по картам, включая арендаторов Корпуса II.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53"/>
        <w:gridCol w:w="5053"/>
      </w:tblGrid>
      <w:tr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53"/>
            <w:tcMar>
              <w:top w:type="dxa" w:w="40"/>
              <w:left w:type="dxa" w:w="40"/>
              <w:bottom w:type="dxa" w:w="40"/>
              <w:right w:type="dxa" w:w="4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3048000" cy="1714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8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Bdr>
          <w:top w:val="single" w:color="E4DED4" w:sz="2" w:space="6"/>
        </w:pBdr>
        <w:spacing w:after="170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Рендер летней веранды 131,7 м² и концепция 3-го этажа: семь залов плюс банкетный зал 41,9 м²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6.2. Что она создала заново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Площадь выросла вдвое, а сложность — сильнее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Было 515,4 м² тремя лотами, стало 911,5 м² одним. Найти одного арендатора на 911 м² в селе труднее, чем трёх на 515 м². Кроме того, в 911,5 м² попадают площади, которые в объявлениях не фигурируют, — значит под ресторан планируется освободить и то, что сейчас занято. Кого именно придётся подвинуть и на каких условиях, в презентации не сказано.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Ресторан на втором и третьем этаже без грузового подъёма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поэтажных планах БТИ лифт отсутствует, есть две лестницы. Ресторан с сырным цехом и открытой кухней — это ежедневный поток продуктов, посуды, белья и отходов между этажами и улицей. Плюс банкетный зал на третьем этаже. Вся эта логистика ложится на лестницу, о которой на карточке объекта висит публичный отзыв о падении посетительницы с госпитализацией.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Парковка не сходится с посадкой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0"/>
        <w:gridCol w:w="2200"/>
        <w:gridCol w:w="4506"/>
      </w:tblGrid>
      <w:tr>
        <w:trPr>
          <w:tblHeader/>
        </w:trPr>
        <w:tc>
          <w:tcPr>
            <w:tcW w:type="dxa" w:w="3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Показатель</w:t>
            </w:r>
          </w:p>
        </w:tc>
        <w:tc>
          <w:tcPr>
            <w:tcW w:type="dxa" w:w="2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45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Откуда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2-го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33 стола ≈ 83 гостя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5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Посадка 3-го этажа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залов + банкетный ≈ 50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по 298,7 м²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Полная посадка комплекса</w:t>
            </w:r>
          </w:p>
        </w:tc>
        <w:tc>
          <w:tcPr>
            <w:tcW w:type="dxa" w:w="2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≈ 130 гостей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расчёт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Нужно машиномест при загрузке 70%</w:t>
            </w:r>
          </w:p>
        </w:tc>
        <w:tc>
          <w:tcPr>
            <w:tcW w:type="dxa" w:w="220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≈ 37</w:t>
            </w:r>
          </w:p>
        </w:tc>
        <w:tc>
          <w:tcPr>
            <w:tcW w:type="dxa" w:w="45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оценка, 2,5 гостя на автомобиль</w:t>
            </w:r>
          </w:p>
        </w:tc>
      </w:tr>
      <w:tr>
        <w:trPr>
          <w:cantSplit/>
        </w:trPr>
        <w:tc>
          <w:tcPr>
            <w:tcW w:type="dxa" w:w="3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Всего машиномест</w:t>
            </w:r>
          </w:p>
        </w:tc>
        <w:tc>
          <w:tcPr>
            <w:tcW w:type="dxa" w:w="2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42 на весь комплекс</w:t>
            </w:r>
          </w:p>
        </w:tc>
        <w:tc>
          <w:tcPr>
            <w:tcW w:type="dxa" w:w="45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презентация, слайд 3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Эти 42 места обслуживают ещё «Пятёрочку», аптеку, пункт выдачи OZON, пекарню и арендаторов Корпуса II, включая ВкусВилл. При вечерней загрузке ресторана свободных мест для остальных не остаётся. Для локации, где пешеходного трафика нет и все приезжают на машине, это ограничение физическое, а не маркетинговое.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Вечерний формат в дневной локации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Ресторан зарабатывает вечером. По данным Яндекс.Карт загруженность комплекса достигает пика в 13:00–15:00 и к 21:00 опускается до 30% от пика. Презентация обещает «устойчивый клиентский трафик для ресторана», но ни одной цифры трафика в ней нет — ни посещаемости, ни интенсивности движения, ни численности населения.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Соседний ресторан со звездой Michelin не упомянут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75 метрах, в ТК «Ильинка Village» на улице Ленина, 30, работает ресторан со звездой Michelin. Ресторатор, которому адресована презентация, узнает об этом в первые десять минут собственной проверки. Умолчание в материалах читается как невнимание к рынку и обесценивает остальные аргументы.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Рыночная проверка ресторанного формата на верхних этажах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ЦИАН даёт прямой ответ, как этот формат продаётся в том же коридоре. На улице Экспериментальной, 10 — между Ильинским и Новорижским шоссе — предлагаются 500 м² «под ресторан, кафе» по 30 000 ₽/м²/год (</w:t>
      </w:r>
      <w:hyperlink w:history="1" r:id="rIdgqxxrd-7pq2ggtltgt39d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krasnogorsk.cian.ru/rent/commercial/325457201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 и 1 700 м² «под ресторан, клуб, зал на 500 гостей» по 24 636 ₽/м²/год (</w:t>
      </w:r>
      <w:hyperlink w:history="1" r:id="rId3wtdm9n2nuqrag89szp04">
        <w:r>
          <w:rPr>
            <w:rFonts w:ascii="PT Sans" w:cs="PT Sans" w:eastAsia="PT Sans" w:hAnsi="PT Sans"/>
            <w:color w:val="30536F"/>
            <w:sz w:val="18"/>
            <w:szCs w:val="18"/>
            <w:u w:val="single"/>
          </w:rPr>
          <w:t xml:space="preserve">krasnogorsk.cian.ru/rent/commercial/325457203</w:t>
        </w:r>
      </w:hyperlink>
      <w:r>
        <w:rPr>
          <w:rFonts w:ascii="PT Serif" w:cs="PT Serif" w:eastAsia="PT Serif" w:hAnsi="PT Serif"/>
          <w:color w:val="1E1C19"/>
          <w:sz w:val="21"/>
          <w:szCs w:val="21"/>
        </w:rPr>
        <w:t xml:space="preserve">). Оба лота на четвёртом этаже, оба в экспозиции 263 дня. Ресторанная концепция верхнего этажа здесь уже проверяется рынком девятый месяц и арендатора не нашла. По лоту на 1 700 м² карточка хранит историю цены: 29.12.2025 он был выставлен за 4,25 млн ₽/мес, 16.02.2026 цена снижена до 3,49 млн — минус 17,9%, и после этого он стоит ещё семь месяцев.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Коммерческих условий нет ни одного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 презентации не указаны ставка, НДС, эксплуатационные расходы, коммунальные платежи, арендные каникулы и обеспечительный платёж. Не указаны и технические параметры, которые ресторатор спрашивает первыми: выделенная электрическая мощность на кухню, газ, вентиляция и жироудаление, водоотведение, высота до низа перекрытия. Для сравнения, соседи по улице Ленина, 11 публикуют в карточке ЦИАН ставку с указанием НДС, эксплуатационный платёж 350 ₽ за м² в месяц, переменную часть по счётчикам и каникулы 60 дней.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Мелочи, которые считываются как небрежность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На первом слайде — «Московсковская область». Это первый экран, который видит федеральный оператор.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Заявлено «911,5 м²», при этом 612,8 + 298,7 = 911,5 — арифметика сходится, но на сайте те же этажи продаются как 430,5 + 39,6 + 45,3 = 515,4 м². Расхождение никак не объяснено.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Контакт один — Леонид Синютин, sl@metrplus.com. В ранних материалах собственника контактов было три, включая генерального директора и коммерческую службу.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6.3. Вердикт и что сделать с ней в ближайший месяц</w:t>
      </w:r>
    </w:p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Коротко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маркетинговый материал презентация сделана хорошо: сильные рендеры, посчитанная посадка, единая концепция и работающая идея с верандой. По качеству подачи это заметный шаг вперёд относительно всего, что было у объекта раньше.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Как коммерческое предложение она пока не работает: в ней нет ни цены, ни инженерных параметров, ни доказательств трафика, а выбранный формат упирается в три физических ограничения объекта — отсутствие грузового подъёма, 42 машиноместа и дневной профиль посещаемости.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Концепцию имеет смысл сохранить и достроить. Ресторан имеет смысл как якорь второго этажа с верандой, но третий этаж под банкетный кластер добавляет логистику, которую здание не обслуживает.</w:t>
            </w:r>
          </w:p>
        </w:tc>
      </w:tr>
    </w:tbl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200"/>
        <w:gridCol w:w="4700"/>
        <w:gridCol w:w="1206"/>
      </w:tblGrid>
      <w:tr>
        <w:trPr>
          <w:tblHeader/>
        </w:trPr>
        <w:tc>
          <w:tcPr>
            <w:tcW w:type="dxa" w:w="42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сделать</w:t>
            </w:r>
          </w:p>
        </w:tc>
        <w:tc>
          <w:tcPr>
            <w:tcW w:type="dxa" w:w="47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Зачем</w:t>
            </w:r>
          </w:p>
        </w:tc>
        <w:tc>
          <w:tcPr>
            <w:tcW w:type="dxa" w:w="12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Срок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коммерческий слайд: ставка, НДС, эксплуатация, коммунальные, каникулы, обеспечительный платёж, срок договора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Без него презентация не доходит до финансового директора сети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Добавить технический слайд: выделенная мощность на кухню, газ, вентиляция и жироудаление, водоотведение, высота перекрытий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Ресторатор снимает эти вопросы до показа, иначе показ не назначается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Дать цифры вместо слова «устойчивый»: посещаемость комплекса, интенсивность движения, население в радиусе 5 км, проектная ёмкость новостроек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Заменяет обещание на аргумент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14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Решить вопрос подъёма: техническое заключение о грузовом лифте либо схема загрузки через отдельный вход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Снимает главное физическое возражение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парковку и предложить решение: разметка, соглашение с соседями, вечернее перераспределение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37 машин из 42 — это то, что арендатор посчитает сам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Рассмотреть деление: ресторан с верандой на 2-м этаже, а 3-й этаж — под услуги из тир-листа</w:t>
            </w:r>
          </w:p>
        </w:tc>
        <w:tc>
          <w:tcPr>
            <w:tcW w:type="dxa" w:w="47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911 м² одним куском сужают воронку до нескольких операторов в стране</w:t>
            </w:r>
          </w:p>
        </w:tc>
        <w:tc>
          <w:tcPr>
            <w:tcW w:type="dxa" w:w="12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30 дней</w:t>
            </w:r>
          </w:p>
        </w:tc>
      </w:tr>
      <w:tr>
        <w:trPr>
          <w:cantSplit/>
        </w:trPr>
        <w:tc>
          <w:tcPr>
            <w:tcW w:type="dxa" w:w="42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Исправить опечатку на первом слайде и синхронизировать площади с объявлениями</w:t>
            </w:r>
          </w:p>
        </w:tc>
        <w:tc>
          <w:tcPr>
            <w:tcW w:type="dxa" w:w="47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Стоит ноль, читается как аккуратность</w:t>
            </w:r>
          </w:p>
        </w:tc>
        <w:tc>
          <w:tcPr>
            <w:tcW w:type="dxa" w:w="12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 день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Шестой пункт этого списка — деление 911,5 м² — упирается в вопрос, на который презентация не отвечает: </w:t>
      </w: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кому именно сдавать верхние этажи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. Ресторан на весь второй и третий этаж — это ставка на одного арендатора, которого в радиусе доступности может не оказаться вовсе. Ответ на этот вопрос даёт следующий раздел: 55 сетей и форматов, проверенных на требование к этажу и на реальность планов экспансии.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Оценка сделана по презентации «Торговый комплекс «Амбар» в аренду» (11 слайдов, 27 июля 2026 года) и по поэтажным планам БТИ. Все замечания относятся к материалу этой даты; если презентация обновится, пункты 1–3 таблицы проверяются заново.</w:t>
      </w:r>
    </w:p>
    <w:p>
      <w:pPr>
        <w:sectPr>
          <w:headerReference w:type="default" r:id="rId7"/>
          <w:headerReference w:type="first" r:id="rId8"/>
          <w:footerReference w:type="default" r:id="rId9"/>
          <w:footerReference w:type="first" r:id="rId10"/>
          <w:pgSz w:w="11906" w:h="16838" w:orient="portrait"/>
          <w:pgMar w:top="1020" w:right="900" w:bottom="900" w:left="900" w:header="708" w:footer="708" w:gutter="0"/>
          <w:pgNumType/>
          <w:titlePg/>
          <w:docGrid w:linePitch="360"/>
        </w:sectPr>
      </w:pPr>
    </w:p>
    <w:p>
      <w:pPr>
        <w:pStyle w:val="Heading1"/>
        <w:pBdr>
          <w:bottom w:val="single" w:color="963F26" w:sz="10" w:space="6"/>
        </w:pBdr>
        <w:spacing w:after="200"/>
      </w:pPr>
      <w:r>
        <w:rPr>
          <w:rFonts w:ascii="PT Serif" w:cs="PT Serif" w:eastAsia="PT Serif" w:hAnsi="PT Serif"/>
          <w:b/>
          <w:bCs/>
          <w:color w:val="23303A"/>
          <w:sz w:val="34"/>
          <w:szCs w:val="34"/>
        </w:rPr>
        <w:t xml:space="preserve">7. Тир-лист потенциальных арендаторов</w:t>
      </w:r>
    </w:p>
    <w:p>
      <w:pPr>
        <w:spacing w:after="130"/>
        <w:jc w:val="both"/>
      </w:pPr>
      <w:r>
        <w:rPr>
          <w:rFonts w:ascii="PT Serif" w:cs="PT Serif" w:eastAsia="PT Serif" w:hAnsi="PT Serif"/>
          <w:color w:val="1E1C19"/>
          <w:sz w:val="19"/>
          <w:szCs w:val="19"/>
        </w:rPr>
        <w:t xml:space="preserve">55 компаний и форматов, проверенных на реальность существования и на актуальность заявлений об экспансии (не старше 12 месяцев). Ключевой фильтр — требование сети к этажу: оно отсекает примерно половину «стандартного» списка сетевых арендаторов, поскольку все три наших помещения находятся выше первого этажа. Ставки в предпоследней колонке — наша оценка платёжеспособности категории, а не публичные данные: ни одна из проверенных компаний публичных арендных ставок не раскрывает.</w:t>
      </w:r>
    </w:p>
    <w:tbl>
      <w:tblPr>
        <w:tblW w:type="dxa" w:w="65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300"/>
        <w:gridCol w:w="1300"/>
        <w:gridCol w:w="1300"/>
        <w:gridCol w:w="1300"/>
        <w:gridCol w:w="1300"/>
      </w:tblGrid>
      <w:tr>
        <w:tc>
          <w:tcPr>
            <w:tcW w:type="dxa" w:w="1300"/>
            <w:shd w:fill="2F4A61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S — идеальное совпадение</w:t>
            </w:r>
          </w:p>
        </w:tc>
        <w:tc>
          <w:tcPr>
            <w:tcW w:type="dxa" w:w="1300"/>
            <w:shd w:fill="5E809A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A — сильный кандидат</w:t>
            </w:r>
          </w:p>
        </w:tc>
        <w:tc>
          <w:tcPr>
            <w:tcW w:type="dxa" w:w="1300"/>
            <w:shd w:fill="D7CDBF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B — возможен</w:t>
            </w:r>
          </w:p>
        </w:tc>
        <w:tc>
          <w:tcPr>
            <w:tcW w:type="dxa" w:w="1300"/>
            <w:shd w:fill="C98B6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6"/>
                <w:szCs w:val="16"/>
              </w:rPr>
              <w:t xml:space="preserve">C — слабый</w:t>
            </w:r>
          </w:p>
        </w:tc>
        <w:tc>
          <w:tcPr>
            <w:tcW w:type="dxa" w:w="1300"/>
            <w:shd w:fill="8E3A22" w:color="auto" w:val="clear"/>
            <w:tcMar>
              <w:top w:type="dxa" w:w="50"/>
              <w:left w:type="dxa" w:w="60"/>
              <w:bottom w:type="dxa" w:w="50"/>
              <w:right w:type="dxa" w:w="60"/>
            </w:tcMar>
          </w:tcPr>
          <w:p>
            <w:pPr>
              <w:spacing w:after="0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6"/>
                <w:szCs w:val="16"/>
              </w:rPr>
              <w:t xml:space="preserve">D — не подойдёт</w:t>
            </w:r>
          </w:p>
        </w:tc>
      </w:tr>
    </w:tbl>
    <w:p>
      <w:pPr>
        <w:spacing w:after="120"/>
      </w:pPr>
    </w:p>
    <w:tbl>
      <w:tblPr>
        <w:tblW w:type="dxa" w:w="148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"/>
        <w:gridCol w:w="1400"/>
        <w:gridCol w:w="1090"/>
        <w:gridCol w:w="2930"/>
        <w:gridCol w:w="1150"/>
        <w:gridCol w:w="2600"/>
        <w:gridCol w:w="2390"/>
        <w:gridCol w:w="1280"/>
        <w:gridCol w:w="1458"/>
      </w:tblGrid>
      <w:tr>
        <w:trPr>
          <w:tblHeader/>
        </w:trPr>
        <w:tc>
          <w:tcPr>
            <w:tcW w:type="dxa" w:w="54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Тир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Компания / сеть</w:t>
            </w:r>
          </w:p>
        </w:tc>
        <w:tc>
          <w:tcPr>
            <w:tcW w:type="dxa" w:w="10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Категория</w:t>
            </w:r>
          </w:p>
        </w:tc>
        <w:tc>
          <w:tcPr>
            <w:tcW w:type="dxa" w:w="293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Кратко о компании: формат, число точек, динамика экспансии, источник</w:t>
            </w:r>
          </w:p>
        </w:tc>
        <w:tc>
          <w:tcPr>
            <w:tcW w:type="dxa" w:w="115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Помещение</w:t>
            </w:r>
          </w:p>
        </w:tc>
        <w:tc>
          <w:tcPr>
            <w:tcW w:type="dxa" w:w="26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подойдёт нашему ТЦ</w:t>
            </w:r>
          </w:p>
        </w:tc>
        <w:tc>
          <w:tcPr>
            <w:tcW w:type="dxa" w:w="239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Почему может не подойти / риск</w:t>
            </w:r>
          </w:p>
        </w:tc>
        <w:tc>
          <w:tcPr>
            <w:tcW w:type="dxa" w:w="128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Ожидаемая ставка</w:t>
            </w:r>
          </w:p>
        </w:tc>
        <w:tc>
          <w:tcPr>
            <w:tcW w:type="dxa" w:w="1458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Контакт для развития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Бэби-клуб / Бэби-сад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 и развитие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160 клубов и садов, 55 активных партнёров; формат «Бэби-сад» от 140 м². Грамота Московского форума франчайзинга 2025. Инвестиции в Москве от 7,6 млн ₽ (fr.baby-club.ru)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430 м² = полноформатный сад, а не кружок. Терраса 2-го этажа = прогулочная зона — в обычном ТЦ это нерешаемая проблема, у нас она решена. Потолки 3,9 м, мокрая точка. Здание нежилое, поэтому размещение законно. Субсидия МО 14 500 ₽/мес на ребёнка после лицензирования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Лицензирование сада требует эвакуационных путей и доступности; отсутствие лифта и жалобы на лестницу — прямой блокер. Нужна оценка соответствия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 (360–466 тыс ₽/мес) при каникулах 4–6 мес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8 800 100 20 24 · fr.baby-club.ru/detskij-sad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SoloSalon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50 адресов. Открытие на Аминьевской — сентябрь 2026; обновлённый коворкинг на Пролетарской — 01.12.2025 (solosalon.ru)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создан ровно под такой метраж: 430 м² = 15–20 рабочих мест + кабинеты. Мокрая точка есть. В здании уже работают «Бьюти Сфера» (77 оценок), Giselle, «Луси», подолог — бьюти-спрос на этом адресе доказан, а две студии 3-го этажа закрылись, освободив клиентуру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 конкурирует с действующими арендаторами здания — возможен конфликт интересов. Нужна вентиляция под маникюр/педикюр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 (430–538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solosalon.ru — раздел франшизы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4hands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Маникюр / бьюти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221 франшизная точка — лидер сегмента. Требования: 30–100 м², первый этаж жилого дома ЛИБО ТЦ / бизнес-кластер, мокрая точка, от 15 кВт (offers.4hands.ru)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Совпадение по всем формальным требованиям: метраж 39,6 в коридоре 30–100, мокрая точка есть, формат ТЦ разрешён их же регламентом, электрической мощности в здании 670 кВт с запасом. Свежий ремонт — капвложения минимальны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— внутренняя комната без витрины; часть их экономики строится на вывеске и витринном трафике. Нужна сильная навигация от входа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 (92–106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offers.4hands.ru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Art of Pilates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Фитнес-студия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студий. Два формата: 100–150 м² (инвестиции от 3,3 млн ₽) и от 150 м² (от 5 млн ₽) (artofpilates-franchise.ru)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Прямое попадание в формат. Потолки 3,9 м — редкость для студийного фитнеса и их прямое требование к оборудованию реформеров. Клиентура коттеджных посёлков бизнес-класса — ядро аудитории пилатеса. Посещение по записи, что снимает нагрузку на 42 парковки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430 м² — это CAPEX собственника. Нужны раздевалки и душевые (мокрая точка одна)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 (200–250 тыс ₽/мес за блок 150 м²)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+7 903 664 7755 · artofpilates-franchise.ru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Laser Love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Косметология / лазерная эпиляция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237 работающих студий в 146 городах. Опубликованная стратегия от 13.03.2026: +10 клиник в Москве в 2026 году (до 30) и +5 в СНГ (laserlove.ru/blog/franchise/strategya-2026)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заявленная цель по Москве на текущий год — самый свежий сигнал экспансии в выборке. Помещение №3 уже имеет отделку бьюти-студии (ресепшн, зонирование, мокрая точка) — заезд почти без вложений. Процедуры по записи,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Заявленная цель — Москва, не область; нужно проверить, рассматривают ли МО. Лазерное оборудование требует подтверждённой мощности и вентиляции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 (83–98 тыс ₽/мес)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laserlove.ru/franchise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2F4A61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S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Гемотест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800+ точек по франшизе. Требования: 55–120 м², помещение «не ниже первого этажа» (т.е. 2-й допустим), потолки от 2,6 м, водоснабжение и канализация, парковка, договор от 3 лет (franshiza.ru/franchise/read/gemotest)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60–90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Одна из немногих федеральных лабораторных сетей, чей регламент прямо допускает этаж выше первого — в отличие от ИНВИТРО и «Хеликса». Здание нежилое, значит медицинская лицензия на 2-м этаже возможна, чего не могут предложить встроенные помещения соседних ЖК. Парковка и соседство с аптекой 36,6 — их профиль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 нарезки и отдельного санузла. Договор от 3 лет — придётся зафиксировать ставку надолго. Конкуренция: ИНВИТРО/Хеликс уже могут стоять на 1-х этажах соседних ЖК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franshiza.ru/franchise/read/gemotest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KDL | Медскан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 / 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450+ собственных офисов, 500+ точек под брендом, 13 лабораторных комплексов. Франшиза запущена 05.02.2025 (Коммерсантъ); первый франчайзинговый офис в Москве открыт 10.12.2025 (РИА). Инвестиции 3,8–5,5 млн ₽, эксклюзивные права на территорию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активно ищет франчайзи в Москве и области с конца 2025 — окно открыто сейчас. Эксклюзив на территорию — сильный аргумент для партнёра: в радиусе 5 км конкурирующих лабораторий мало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публично не раскрыты — возможен отказ по этажу, как у ИНВИТРО.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franchise@kdl.ru · 8 495 258 82 11 · franchise.kdl.ru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Сёма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Детские центры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384 франчайзинговых предприятия — лидер по числу точек в сегменте. Форматы: сад, фри-фло, игровая; от 75 м²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гибкая по формату сеть в детском сегменте: можно зайти игровой на 75 м², а вырасти до сада. Это снижает риск для обеих сторон при поэтапной нарезке 430 м². Спрос подтверждён — в здании уже работал «Центр развития личности Культура»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формат упирается в ту же связку «нет лифта + опасная лестница». Без её решения переговоры остановятся на этапе осмотра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 — карточка франшизы «Сёма»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Полиглотики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Языковая школа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Международная сеть. Базовый формат от 50 м² (два кабинета + холл), расширенный 70–150 м². 1-е место в рейтинге Forbes «Самые выгодные франшизы России 2025» среди языковых школ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во второй половине дня — идеально ложится на дневной профиль загруженности ТЦ (пик 13:00–15:00 по Яндекс.Картам). Аудитория — дети из коттеджных посёлков и ЖК «Ильинские Луга» (4 школы в проекте). Витрина не нужна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45,3 м² чуть меньше их минимума в 50 м² — нужен либо блок из №1, либо связка №3 + смежная комната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poliglotiki.ru/franchajzing.html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Чемпионика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футбол / спорт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~650–700 локаций, 185 франчайзи, 5 стран. Методика одобрена РФС. Ведущие франчайзи запускают более 20 центров в год. Работают на арендованных залах, инвестиции 220 тыс.–1,5 млн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зал 150–200 м², почасово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Редкий арендатор, которого можно поставить в дневные часы без ущерба другим: секции идут после школы. Почасовая аренда зала даёт доход с площади, которая иначе простаивает, и не требует от них капвложений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Почасовая модель = низкая и нестабильная выручка с метра; не закрывает площадь как якорь. Рассматривать как добор, а не как основного арендатора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Почасово: 1 200–2 000 ₽/час (загрузка 4–6 ч/день в будни)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franshiza.ru/franchise/read/chempionika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TOPGUN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барбершопов, 290+ подписанных договоров, 5 стран, 50 городов. Материал Forbes «Экспансия начинается: как TOPGUN намерена расширить сеть барбершопов»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 — формат целевого визита по записи, витринный трафик не критичен. Мужская аудитория коттеджных посёлков платёжеспособна. Мокрая точка есть. Объявление собственника уже называет барбершоп целевым форматом — значит запросы были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работают «Луси» (парикмахерская) и «Бьюти Сфера» — сеть может счесть локацию занятой. 39,6 м² — на нижней границе для 3–4 кресел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OldBoy Barbershop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253 франчайзинговых точки, 290+ запусков в 11 странах (oldboybarbershop.com/franchising)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Вторая по масштабу барбершоп-сеть страны с активным франчайзингом — если TOPGUN откажет, это прямая альтернатива без потери качества оператора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ограничения: внутренняя комната без витрины, конкуренция внутри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oldboybarbershop.com/franchising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BRITVA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Барбершоп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145+ филиалов, 6 в стадии открытия. Инвестиции от 6,5 млн ₽ именно в Москве и Московской области (topfranchise.ru)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прямо декларирует Москву и МО как приоритетную территорию и указывает объём инвестиций для неё — то есть партнёры под этот регион ищутся активно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Высокий порог инвестиций для франчайзи в МО может затянуть поиск партнёра на локацию в селе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topfranchise.ru/stati/obzor-franshizy-britva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ТОЧКА красоты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196 точек, присутствует в рейтингах РБК и Forbes. Сеть предоставляет партнёрам подбор помещения «под ключ»; есть франчайзи, масштабировавшиеся до 6 салонов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Помещение №3 — фактически готовая бьюти-студия закрывшегося оператора: ресепшн, зонирование, мокрая точка, отделка. Заезд почти без CAPEX. Предыдущий оператор на этом месте имел рейтинг 5,0 и 57 отзывов — спрос доказан на самой площадке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за последние 12 месяцев не найдено — активность сети требует проверки звонком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franshiza.ru/franchise/read/tochka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Pilates Life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Пилатес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Крупнейшее в РФ пространство пилатеса. Новые филиалы 2025: Покровка (январь), Орджоникидзе (сентябрь) — подтверждено отраслевым изданием Pilates Journal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Подтверждённые открытия два года подряд. Потолки 3,9 м и возможность сделать отдельный вход с лестничного узла — то, что нужно студийному формату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точки сосредоточены в Москве внутри МКАД; выход в область не подтверждён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pilates.life/franchise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FITLIT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EMS-студий. Формат от 75 м², позиционируется через «низкие арендные затраты», заявленная окупаемость 12 месяцев (franshiza.ru)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 — самый компактный фитнес-формат: 75 м² достаточно, тренировки по записи, парковка не перегружается. Из 430 м² такой блок нарезается легко и оставляет место ещё двум арендаторам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сети построена на дешёвой аренде — они будут давить ставку вниз. Оборудование требует устойчивого электропитания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 — раздел спортивных франшиз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FIT-N-GO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Создатель рынка EMS в России. Инвестиции франчайзи от 1,5 млн ₽ (biz.fit-n-go.ru)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Низкий порог входа для партнёра — 1,5 млн ₽ — увеличивает вероятность найти местного франчайзи из числа жителей посёлков, а не ждать корпоративного решения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найдено; сеть небольшая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biz.fit-n-go.ru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Кухонный Двор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Исторический московский бренд кухонной мебели, развивает франчайзинговые салоны. Открыл принципиально новый салон в Одинцово (Retail.ru, kuxni.net)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Одинцово — соседнее западное направление с той же аудиторией: коттеджные посёлки, ремонт загородного дома. Мебельные шоурумы традиционно идут на 2–3 этаж, потому что покупка плановая, а не импульсная. Потолки 3,9 м позволяют выставить высокие колонны — прямое преимущество перед конкурентами с потолками 3 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Занос крупногабаритных образцов без лифта — реальная логистическая проблема. Низкая частота визитов не создаёт трафика соседям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kuxni.net — раздел о компании / франчайзинг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Кухни «Мария»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Мебель / кухни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федеральная сеть кухонь, собственное производство в Пензе, развивается по франшизе (franshiza.ru/franchise/read/mariya)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Федеральный масштаб и отлаженная франчайзинговая модель. Тот же аргумент по потолкам и плановому характеру покупки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этажу и трафику публично не раскрыты. Та же проблема заноса образцов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franshiza.ru/franchise/read/mariya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Четыре Лапы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 магазинов — юбилейный открыт 22.12.2025 именно в ТЦ («Патриот», Москва). +54 точки за 2025 год, 8 ветцентров, 49 груминг-салонов. Заявлено: «в 2026 планируем продолжить открывать» (New Retail, 22.12.2025)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120–200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ТЦ подтверждён фактом: юбилейный магазин открыт в торговом центре. Темп ~55 точек в год — сеть в активной фазе. Владельцы домашних животных в коттеджных посёлках — платёжеспособная и регулярная аудитория; груминг работает по записи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по этажу публично не раскрыты — зоомагазины обычно просят 1-й этаж с витриной. Вероятен отказ, запрашивать регламент до показа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Свой Доктор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15+ клиник в Москве и МО. Паушальный взнос 200 тыс. ₽, роялти 50 тыс. ₽/мес. Опубликован прямой мобильный коммерческого директора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 — целевой визит, витрина не нужна, здание нежилое (в жилом доме ветклиника ограничена). Ближайшая точка притяжения — Ильинская больница в Глухово показывает, что медицинский профиль в локации востребован. Доступен прямой контакт лица, принимающего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последние 12 месяцев не подтверждена публикациями. Ветклиника требует отдельной вентиляции и утилизации отходов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Руслан Семченко, +7 925 506-54-39 · svoydoctor.ru/franchayzing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Pedant.ru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707 сервисных центров, 400+ договоров франшизы — крупнейшая сеть ремонта смартфонов в РФ. Три формата, различающиеся площадью и локацией; вложения 490–990 тыс.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Три формата означают гибкость по метражу. Услуга целевая: клиент едет чинить телефон, а не заходит случайно. Низкий порог инвестиций — легко найти местного франчайзи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Ремонт электроники обычно ставят на 1-й этаж у потока. Чек с метра ниже, чем у бьюти — будут торговаться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franshiza.pedant.ru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Алгоритмика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Детское IT-образование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200 городов России, присутствие в 25 странах (biz.algoritmika.org)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или блок в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Занятия после школы — попадание в дневной профиль загруженности. ЖК «Ильинские Луга» с 4 школами в проекте создаёт целевую аудиторию на горизонте 3–5 лет. Компьютерный класс не требует витрины и мокрой точки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к помещению не раскрыты. Сегмент перегрет — в радиусе может уже работать конкурент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biz.algoritmika.org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Детская страна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Детский сад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по числу мест сеть частных садов. Ключевой аргумент экономики: субсидия Московской области 14 500 ₽/мес на ребёнка после получения лицензии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Субсидия МО принципиально меняет экономику сада в Красногорском округе и делает возможной более высокую арендную ставку, чем платит обычный детский центр. 430 м² + терраса = лицензируемый формат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Лицензия требует соблюдения норм по эвакуации, инсоляции и доступности — отсутствие лифта и состояние лестницы могут сделать лицензирование невозможным. Проверять до переговоров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10 000–13 000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beboss.ru/franchise/2410-franshiza-detskaya-strana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GLOW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Бьюти-коворкинг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Франшиза бьюти-коворкингов. Инвестиции от 2,6 млн ₽, заявленный доход от 450 тыс. ₽/мес (glowfranshiza.ru)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Альтернатива SoloSalon с вдвое меньшим порогом входа — выше шанс найти местного партнёра. Формат опирается на тренд ухода мастеров из салонов в аренду места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Небольшая сеть, устойчивость модели не подтверждена независимыми источниками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glowfranshiza.ru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5E809A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A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Пальчики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Ногтевая 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72 точки. Инвестиции ~4 млн ₽ (franshiza.palchiki.com)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Устойчивая сеть среднего размера, метраж 39,6 м² типичен для ногтевой студии. Мокрая точка есть, мощности достаточно для вытяжек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Свежих новостей об экспансии не найдено. Конкуренция с действующими бьюти-арендаторами здания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franshiza.palchiki.com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Бетховен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99 магазинов (87 собственных + 14 франчайзи на начало 2026). 13.02.2026 открыты 4 магазина в новой концепции: примерочные, лапомойки, зоны новинок. Ядро аудитории — женщины 35–40 лет, 80% покупателей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150–250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Смена концепции обычно сопровождается поиском новых площадей под увеличенный формат. Портрет покупателя точно совпадает с жительницами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втрое меньше «Четырёх Лап» и растёт медленнее. Новая концепция с лапомойкой требует воды и слива в торговом зале — на 2-м этаже это дорого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16 000–20 000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Cofix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260+ кофеен, 3-е место по выручке среди кофейных сетей РФ, средний чек 310 ₽ (+12% в 2025). План на 2026: 16–42 открытия, 7 контрактов подписано. Новый формат — 5 точек, первая открыта в спортклубе внутри ТЦ. Готовится продажа бизнеса за 1,25–1,4 млрд 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после закрытия №1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Их собственный новый формат — кофейня внутри спортклуба в ТЦ — это прямая инструкция: сначала поставить фитнес или детский центр в №1, затем продавать №2 как «точку при готовом трафике», а не как 39 метров на втором этаже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Идти к ним до закрытия №1 бессмысленно. В здании уже работает пекарня La Poste (148 оценок) — конфликт по кофе. Готовящаяся продажа бизнеса может заморозить решения по новым точкам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cofix.ru — раздел франчайзинга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Кофе Лайк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1100+ точек. План 150 партнёрских открытий в 2026 году, совокупные инвестиции партнёров 150 млн ₽ (RETAILER.ru, 17.06.2026)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Самый агрессивный план открытий среди кофейных сетей в выборке — 150 точек за год означает низкие требования к локации и быстрое решение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Мини-форматы «кофе с собой» сжались на 1% в 2025 и продолжают падать в 2026; доля покупающих кофе в супермаркетах выросла вдвое до 35%, а рядом «Пятёрочка» и «ВкусВилл». Плюс своя пекарня в здании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франчайзинга на сайте сети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Price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250+ кофеен. Форматы: Take away 6–10 м², Island 10–20 м², Standard 20–50 м². Требования: от 12 кВт, обязательны вентиляция и кондиционирование. Совместный формат с «ИЗЗЗИ Бизнес»: запуск в Москве в октябре 2025, к марту 2026 — выход в 6 новых городов (Forbes)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Standard 20–50 м² точно накрывает 39,6 м². Электрической мощности здания (670 кВт) достаточно с большим запасом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Те же риски сегмента, что и у «Кофе Лайк». Требование к вентиляции на 2-м этаже потребует вложений собственника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onepricecoffee.com/franchise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МЕДСИ («Смарт»)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Медицина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1876 медкабинетов. Формат «Смарт» — клиники шаговой доступности; открытие «Смарт» на юго-западе Москвы, в июне 2026 — выход за рубеж (franchise.medsi.ru)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(430,5 м² целиком)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«Смарт» теоретически ложится в 430 м². Сильный бренд стал бы якорем, поднявшим статус всего объекта после понижения позиционирования при замене «Магнолии» на «Пятёрочку»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Крупный федеральный игрок вряд ли пойдёт в село с населением 478 человек без сетевого покрытия вокруг. Медлицензия потребует решения вопроса доступности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franchise.medsi.ru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WSPACE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Коворкинг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Оператор гибких офисов, Москва и Moscow-City, развивает франшизу. Требуется ~600 м², инвестиции 12 млн ₽; заявлен поиск партнёров в Москве и Московской области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 (475,8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оператор гибких офисов в выборке, публично заявивший о поиске партнёров в МО. Объединение №1 и №3 даёт 475,8 м² — близко к их требованию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475,8 м² всё ещё меньше 600 м². Рынок гибких офисов Москвы сжимается: ввод −25,4% в 2025 и прогноз −43% в 2026. Офисного спроса в Ильинском нет (0 объявлений)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12 000–15 000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+7 495 122 55 55 · INFO@WSPACE.SPACE · wspace.space/franchise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Boxberry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пунктов выдачи. Минимальная площадь от 15 м² — самое мягкое требование по метражу среди логистических сетей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 к этажу публично не регламентировано, в отличие от Wildberries и Ozon, — значит переговоры в принципе возможны. Малая площадь позволяет разделить №2 на два назначения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Практика рынка: в ТЦ «Октябрь» (Павловская Слобода) все три ПВЗ стоят на 1-м этаже, а на цоколе — только СДЭК. Без лифта выдача крупногабаритных заказов на 2-м этаже проблематична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для партнёров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СДЭК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сеть. Требования: от 35 м², рекомендуется 50 м². Этаж явно не регламентирован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39,6 м² проходит минимум. В ТЦ «Октябрь» СДЭК стоит на цокольном этаже — прецедент размещения не на первом этаже существует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Ниже рекомендованных 50 м². Поток посылок без лифта ложится на ту самую лестницу, о которой есть публичная жалоба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«Стать партнёром»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One Yoga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Йога / фитнес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студий горячей йоги и пилатеса. Формат требует мощной приточно-вытяжной вентиляции и мокрых точек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150–200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Потолки 3,9 м и наличие мокрой точки — два их ключевых требования, оба выполняются. Электрической мощности 670 кВт достаточно для систем нагрева и вентиляции горячей йоги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Горячая йога — дорогой инженерный формат: потребуется серьёзная вентиляция за счёт собственника. Экспансия сети не подтверждена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leaderfranchise.ru/franshiza_oneyoga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Химчистка «Диана»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Бытовые услуги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600+ приёмных пунктов, 30 лет на рынке. Приёмный пункт от 6 м², роялти отсутствует. Открывают ПП в регионах присутствия, включая Москву и МО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Холл / часть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Приёмный пункт на 6 м² можно разместить в холле, не занимая арендопригодную площадь целиком. Работает как трафикогенератор для соседей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химчистка «СтандАрт» (46 оценок, рейтинг 4,9) — прямой конфликт с действующим арендатором. Скорее всего, отказ по этой причине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Символическая ставка; ценность в трафике, а не в доходе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dryclean.ru/partner/usl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Cinnabon Россия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130 точек в России (1300 в мире). Заявленный план: до 200 пекарен в ближайшие 5 лет; приобретены эксклюзивные права на развитие бренда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Публично заявленный план роста и узнаваемый бренд. Формат кафе-пекарни соответствует метражу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пекарня La Poste с рейтингом 5,0 и 148 оценками — прямая конкуренция. Второй этаж для импульсной выпечки — плохая позиция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cinnabonrussia.com/franchise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Персона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Салон красоты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100+ салонов в 25 городах, входит в ТОП-5 сетей РФ. Инвестиции 3,5–6 млн ₽, заявленный запуск от 2 недель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Готовая отделка бьюти-студии в №3 соответствует их обещанию быстрого запуска. Сильный бренд для аудитории коттеджных посёлков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за 12 месяцев не подтверждена. Формат полноценного салона обычно требует больше 45 м²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22 000–26 000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persona-franshiza.ru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D7CDBF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B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S&amp;I Fitness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EMS-студия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EMS-студий, партнёрам предоставляется Business Book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75–100 м²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Ещё один вариант компактного фитнеса для нарезки 430 м², если FITLIT и FIT-N-GO не дадут результата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Малоизвестная сеть, публичных данных о числе точек и динамике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14 000–18 000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ems-fitness.tilda.ws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Хлеб Насущный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Пекарня / кафе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48 кафе-пекарен в Москве и Санкт-Петербурге. Форматы: Grand Cafe 100–350 м², Express 40–100 м², Mini 20–30 м²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— блок 100–150 м² (с террасой) или №2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Линейка форматов идеально ложится на обе наши площади, а Grand Cafe с выходом на террасу — единственный сценарий, где терраса монетизируется напрямую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Последняя новость о франчайзинге датирована 16.08.2019 — экспансия не подтверждена семь лет. Премиальная пекарня на 2-м этаже без витрины с улицы — сомнительная экономика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20 000–26 000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buybrand.ru/news/24815 — проверять актуальность напрямую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Skuratov Coffee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Кофейня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Присутствие в 7 городах, 2 собственные обжарки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Сильный бренд спешелти-кофе, который подошёл бы премиальной аудитории Рублёво-Успенского направления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подтверждена. Спешелти-формат требует пешеходного трафика, которого в селе с населением 478 человек нет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24 000–28 000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skuratovcoffee.ru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Чистофф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70+ предприятий в 12 городах — данные 2019 года, свежих не найдено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Прачечная самообслуживания не требует персонала и витрины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Данные о сети семилетней давности, экспансия не подтверждена. Конфликт с действующей химчисткой «СтандАрт». Оборудование требует подвода и слива воды на 2-м этаже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franshiza.ru/franchise/read/chistoff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Vet Union / Vetcity Clinic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Ветклиника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ветеринарные сети, развивают франшизу. Требования к помещению не публикуют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№3 (45,3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Запасной вариант в ветеринарном направлении, если «Свой Доктор» откажет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Экспансия не подтверждена ни у одной из двух. Требования не раскрыты — высокая вероятность отказа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18 000–22 000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vetunion.ru/clinic/franchise · vet.city/veterinarnaya-franshiza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SOK / Space1 / GrowUp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Гибкие офисы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Московские операторы гибких офисных пространств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№1 + №3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Формально подходящий метраж для небольшой площадки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Рынок сжимается: ввод гибких офисов в Москве −25,4% в 2025, прогноз −43% в 2026 (RB.RU). Офисного рынка в Ильинском нет: 0 офисных объявлений на realestate.ru, 1 на mirkvartir (целое здание 1 200 м²). Идти в этот канал нецелесообразно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10 000–14 000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Сайты операторов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C98B6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C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Планета Здоровья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2890 точек в 56 регионах; в начале 2025 приобретены 250 аптек сети «Монастырев»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Активно растущая федеральная сеть с подтверждёнными сделками M&amp;A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В здании уже работает аптека «36,6» — прямой конфликт. Аптеки требуют 1-го этажа. Практически гарантированный отказ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26 000–30 000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Раздел развития сети на сайте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Wildberries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Крупнейшая сеть ПВЗ страны. Регламент: минимум 70 м² в Московской области, склад не менее 70% площади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Прямой запрет регламента: «размещать ПВЗ в подвалах, цоколях и этажах выше первого запрещено». Плюс 39,6 м² вдвое меньше требуемых 70 м². ВАЖНО: объявление по помещению №2 прямо приглашает «ПВЗ Wildberries» — это ошибка, отсекающая доверие на первом же звонке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 до появления площади на 1-м этаже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Ozon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ПВЗ, от 30 м² в пределах ЦКАД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Регламент запрещает размещение выше первого этажа и требует отдельного входа с улицы. В здании ПВЗ Ozon уже работает — вывеска на фасаде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Яндекс Маркет ПВЗ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ПВЗ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Требования: от 25 м² (клиентская зона ≥14 м², склад ≥8 м²), ширина клиентской зоны ≥3 м, потолки 2,3–2,5 м, помещение не проходное. Допускается цокольный, первый или второй этаж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№2 (39,6 м²) — условно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Единственный маркетплейс, чей регламент в принципе допускает 2-й этаж, и метраж 39,6 м² проходит с запасом. Есть облегчённые форматы «Лёгкий старт» и «Вместе» внутри действующего бизнеса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БЛОКЕР: «выше первого этажа — нужен работающий лифт или эскалатор». На поэтажных планах БТИ 2-го и 3-го этажей лифт отсутствует, есть только две лестницы. Переходит в тир A немедленно, если лифт будет установлен или обнаружен при осмотре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28 000–32 000 ₽/м²/год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market.yandex.ru/lp/market-pvz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ИНВИТРО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~1800 офисов в РФ и СНГ, ~350 в Москве и МО. Открытия 2026: Москва, Новосибирск, Калуга, Армавир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Жёсткое требование: «первый этаж, первая линия домов, отдельный вход». Ни одно из трёх помещений не удовлетворяет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Хеликс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Лаборатория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900+ диагностических центров в 260 городах. +13 ДЦ с начала года при плане +70 за 2025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Требование: 1-й этаж, желательно первая линия домов, потолки 2,6 м, пандус. Не проходим по этажу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Мокрый нос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Зоотовары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213 магазинов в 38 городах, 5 груминг-салонов, ветеринарный кабинет. 17.08.2026 объявлен поиск помещений в 46 городах (Retail.ru)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Сеть публично ищет помещения прямо сейчас — единственный такой случай в выборке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Требования исключают нас: «главная линия домов с витринными окнами» и 1500 квартир в радиусе 250 м. У нас 2-й этаж без витрины и 478 жителей села. Написать стоит, но рассчитывать не на что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 в текущей конфигурации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franchise@mokryinos.ru · +7 923 117-54-74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Апрель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Аптека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10 700 пунктов в 79 регионах, +1334 точки за год (март 2026), выручка 259 млрд ₽ (+34%), 1-е место в рейтинге Forbes, май 2026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Самая быстрорастущая аптечная сеть страны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— стрит-ритейл на 1-м этаже. Плюс в здании уже работает аптека «36,6». Двойное несоответствие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FIT Service / шиномонтаж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Автосервис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Федеральная сеть СТО и сети шиномонтажа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Автомобильный характер локации формально подходит автотематике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Требуется от 200 м² с заездом для автомобилей. На 2-м и 3-м этажах физически невозможно. В комплексе эта ниша уже закрыта: автомойка-детейлинг Dr. Duck в цоколе Корпуса II. Автотематика у нас возможна только как офис автострахования или автоподбора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Не обращаться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E4DED4" w:sz="2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Дарк-китчен</w:t>
            </w:r>
          </w:p>
        </w:tc>
        <w:tc>
          <w:tcPr>
            <w:tcW w:type="dxa" w:w="10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F&amp;B / логистика</w:t>
            </w:r>
          </w:p>
        </w:tc>
        <w:tc>
          <w:tcPr>
            <w:tcW w:type="dxa" w:w="293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Формат (не сеть): 30–50 м², два входа с подъездом для курьеров, вода, канализация К1+К3, приточно-вытяжная вентиляция</w:t>
            </w:r>
          </w:p>
        </w:tc>
        <w:tc>
          <w:tcPr>
            <w:tcW w:type="dxa" w:w="115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Метраж №2 формально подходит</w:t>
            </w:r>
          </w:p>
        </w:tc>
        <w:tc>
          <w:tcPr>
            <w:tcW w:type="dxa" w:w="239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Модель построена на непрерывном потоке курьеров. Второй этаж без лифта делает формат нерабочим: каждый заказ — подъём и спуск по лестнице</w:t>
            </w:r>
          </w:p>
        </w:tc>
        <w:tc>
          <w:tcPr>
            <w:tcW w:type="dxa" w:w="128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40"/>
            <w:tcBorders>
              <w:bottom w:val="single" w:color="1E1C19" w:sz="10"/>
            </w:tcBorders>
            <w:shd w:fill="8E3A22" w:color="auto" w:val="clear"/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3"/>
                <w:szCs w:val="13"/>
              </w:rPr>
              <w:t xml:space="preserve">D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3"/>
                <w:szCs w:val="13"/>
              </w:rPr>
              <w:t xml:space="preserve">Т-Банк / Точка</w:t>
            </w:r>
          </w:p>
        </w:tc>
        <w:tc>
          <w:tcPr>
            <w:tcW w:type="dxa" w:w="10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</w:t>
            </w:r>
          </w:p>
        </w:tc>
        <w:tc>
          <w:tcPr>
            <w:tcW w:type="dxa" w:w="293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Банки, работающие без физической сети отделений</w:t>
            </w:r>
          </w:p>
        </w:tc>
        <w:tc>
          <w:tcPr>
            <w:tcW w:type="dxa" w:w="115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6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  <w:tc>
          <w:tcPr>
            <w:tcW w:type="dxa" w:w="239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Бизнес-модель не предполагает офисов обслуживания. Обращение бессмысленно по определению</w:t>
            </w:r>
          </w:p>
        </w:tc>
        <w:tc>
          <w:tcPr>
            <w:tcW w:type="dxa" w:w="128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3"/>
                <w:szCs w:val="13"/>
              </w:rPr>
              <w:t xml:space="preserve">Неприменимо</w:t>
            </w:r>
          </w:p>
        </w:tc>
        <w:tc>
          <w:tcPr>
            <w:tcW w:type="dxa" w:w="1458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3"/>
                <w:szCs w:val="13"/>
              </w:rPr>
              <w:t xml:space="preserve">—</w:t>
            </w:r>
          </w:p>
        </w:tc>
      </w:tr>
    </w:tbl>
    <w:p>
      <w:pPr>
        <w:spacing w:after="0" w:before="120"/>
      </w:pPr>
      <w:r>
        <w:rPr>
          <w:rFonts w:ascii="PT Serif" w:cs="PT Serif" w:eastAsia="PT Serif" w:hAnsi="PT Serif"/>
          <w:i/>
          <w:iCs/>
          <w:color w:val="6E6860"/>
          <w:sz w:val="15"/>
          <w:szCs w:val="15"/>
        </w:rPr>
        <w:t xml:space="preserve">Распределение: S — 6, A — 20, B — 13, C — 6, D — 10 — всего 55 строк. Данные собраны 18.09.2026. Компании, у которых не найдено публичных новостей об экспансии за последние 12 месяцев, помечены в колонке «Кратко» словами «экспансия не подтверждена» и понижены в тире.</w:t>
      </w:r>
    </w:p>
    <w:p>
      <w:pPr>
        <w:sectPr>
          <w:headerReference w:type="default" r:id="rId11"/>
          <w:footerReference w:type="default" r:id="rId12"/>
          <w:pgSz w:w="16838" w:h="11906" w:orient="landscape"/>
          <w:pgMar w:top="900" w:right="800" w:bottom="820" w:left="800" w:header="708" w:footer="708" w:gutter="0"/>
          <w:pgNumType/>
          <w:docGrid w:linePitch="360"/>
        </w:sectPr>
      </w:pPr>
    </w:p>
    <w:p>
      <w:pPr>
        <w:pStyle w:val="Heading2"/>
        <w:spacing w:after="130" w:before="0"/>
      </w:pPr>
      <w:r>
        <w:rPr>
          <w:rFonts w:ascii="PT Serif" w:cs="PT Serif" w:eastAsia="PT Serif" w:hAnsi="PT Serif"/>
          <w:b/>
          <w:bCs/>
          <w:color w:val="23303A"/>
          <w:sz w:val="26"/>
          <w:szCs w:val="26"/>
        </w:rPr>
        <w:t xml:space="preserve">7.1. Пять категорий для холодного предложения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Это направления, где имеет смысл идти первым, не дожидаясь входящего запроса. Общий признак всех пяти: арендатору не нужен витринный трафик, к нему едут по записи, и он выигрывает от того, что здание нежилое.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5600"/>
        <w:gridCol w:w="200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Категория</w:t>
            </w:r>
          </w:p>
        </w:tc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именно она</w:t>
            </w:r>
          </w:p>
        </w:tc>
        <w:tc>
          <w:tcPr>
            <w:tcW w:type="dxa" w:w="20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Целевое помещение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1. Детское развитие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частный сад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ЖК «Ильинские луга» — 44,9 тыс. проектных жителей в 1,7 км, 4 школы и 9 детских садов в проекте. Детей 0–17 лет в округе: 74,1 тыс. сейчас и 78,0 тыс. к 2028. Субсидия Московской области 14 500 ₽/мес на ребёнка после лицензирования меняет экономику сада. Терраса — прогулочная зона, которой нет ни у одного конкурента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или блок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2. Бьюти-коворкинг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бьюти-сети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здании уже работают пять бьюти-операторов, и ещё две студии на 3-м этаже закрылись, оставив клиентуру. Мастера массово уходят из салонов в аренду рабочего места. Мокрая точка есть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целиком, №2,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3. Студийный фитнес,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пилатес, EMS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Рынок фитнеса РФ: 316,5 млрд ₽ в 2025 (+20%), прогноз 365 млрд ₽ на 2026. Потолки 3,9 м — прямое требование студийных форматов и редкость для района. Посещение по записи не перегружает парковку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блоки 75–150 м²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4. Медицина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лаборатории</w:t>
            </w:r>
          </w:p>
        </w:tc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Здание нежилое — значит медицинская лицензия на 2-м этаже возможна, чего не могут предложить встроенные помещения соседних ЖК. Гемотест прямо допускает этаж «не ниже первого». Ильинская больница в Глухово подтверждает медицинский профиль локации</w:t>
            </w:r>
          </w:p>
        </w:tc>
        <w:tc>
          <w:tcPr>
            <w:tcW w:type="dxa" w:w="20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(блок 60–90 м²), №3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5. Мебель, кухни,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интерьерные шоурумы</w:t>
            </w:r>
          </w:p>
        </w:tc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Покупка плановая, а не импульсная — верхний этаж не мешает. Потолки 3,9 м позволяют выставить высокие колонны. Аудитория коттеджных посёлков ремонтирует и обставляет дома. «Кухонный Двор» уже открыл новый салон в соседнем Одинцово</w:t>
            </w:r>
          </w:p>
        </w:tc>
        <w:tc>
          <w:tcPr>
            <w:tcW w:type="dxa" w:w="20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№1, блок 150–200 м²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Шестое и седьмое направления — с оговорками. Ветеринария: аудитория коттеджных посёлков подходит идеально, но экспансия найденных сетей не подтверждена, поэтому идти нужно к локальным операторам. Языковые школы и IT-образование для детей: занятия во второй половине дня точно попадают в дневной профиль загруженности, но сегмент конкурентный и требует проверки, нет ли оператора в «Ильинских лугах».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8.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Сценарии и оценка NPV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Горизонт — 36 месяцев. Ставка дисконтирования 18% годовых: ключевая ставка ЦБ 14% на 11.09.2026 плюс премия за риск 4 процентных пункта. Эксплуатационные расходы на вакантную площадь, которые несёт собственник, приняты в 3 000 ₽/м²/год. Индексация аренды 7% с 13-го и 25-го месяцев. Ставки сдачи взяты по выборке раздела 3 — по уровню, на котором лоты реально уходят с рынка, а не по запрашиваемым ставкам соседей. Все допущения перечислены в приложении.</w:t>
      </w:r>
    </w:p>
    <w:p>
      <w:pPr>
        <w:spacing w:after="140" w:before="100"/>
        <w:jc w:val="center"/>
      </w:pPr>
      <w:r>
        <w:drawing>
          <wp:inline distT="0" distB="0" distL="0" distR="0">
            <wp:extent cx="6286500" cy="2486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300"/>
        <w:gridCol w:w="3900"/>
        <w:gridCol w:w="1250"/>
        <w:gridCol w:w="1350"/>
        <w:gridCol w:w="1306"/>
      </w:tblGrid>
      <w:tr>
        <w:trPr>
          <w:tblHeader/>
        </w:trPr>
        <w:tc>
          <w:tcPr>
            <w:tcW w:type="dxa" w:w="2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Сценарий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Что делаем</w:t>
            </w:r>
          </w:p>
        </w:tc>
        <w:tc>
          <w:tcPr>
            <w:tcW w:type="dxa" w:w="12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CAPEX</w:t>
            </w:r>
          </w:p>
        </w:tc>
        <w:tc>
          <w:tcPr>
            <w:tcW w:type="dxa" w:w="135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NPV за 3 года</w:t>
            </w:r>
          </w:p>
        </w:tc>
        <w:tc>
          <w:tcPr>
            <w:tcW w:type="dxa" w:w="1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Прирост к «как есть»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A. Оставить как есть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Ничего не меняем. По модели №1 уходит на 30-м месяце по текущей ставке; №2 и №3 не сдаются за горизонт — за три года при этих ставках спроса не возникло, оснований ждать иного нет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8E3A22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−0,34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B. Коррекция цены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и упаковки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№2 до 25 000 ₽/м²/год, №3 до 20 900 ₽/м²/год и переупаковка в бьюти-студию. №1 без изменения ставки. Съёмка, тексты, выход на площадки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0,35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5,69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+6,03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C. Реконцепция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То же, что в B, плюс нарезка №1 на три блока (150 / 130 / 150,5 м²) по ~1 500 ₽/м²/мес с вводом на 7, 11 и 16-м месяцах, каникулы 2 месяца. Благоустройство террасы, ремонт лестницы</w:t>
            </w:r>
          </w:p>
        </w:tc>
        <w:tc>
          <w:tcPr>
            <w:tcW w:type="dxa" w:w="125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7,0 млн ₽</w:t>
            </w:r>
          </w:p>
        </w:tc>
        <w:tc>
          <w:tcPr>
            <w:tcW w:type="dxa" w:w="1350"/>
            <w:tcBorders>
              <w:bottom w:val="single" w:color="E4DED4" w:sz="2"/>
            </w:tcBorders>
            <w:shd w:fill="5E809A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7,81 млн ₽</w:t>
            </w:r>
          </w:p>
        </w:tc>
        <w:tc>
          <w:tcPr>
            <w:tcW w:type="dxa" w:w="1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+8,15 млн ₽</w:t>
            </w:r>
          </w:p>
        </w:tc>
      </w:tr>
      <w:tr>
        <w:trPr>
          <w:cantSplit/>
        </w:trPr>
        <w:tc>
          <w:tcPr>
            <w:tcW w:type="dxa" w:w="2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D. Якорь</w:t>
            </w:r>
          </w:p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по льготной ставке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№1 целиком одному оператору (частный сад или фитнес) по 10 800 ₽/м²/год с каникулами 6 месяцев и участием собственника в отделке на 3,0 млн ₽. Якорь генерирует трафик, поэтому №2 и №3 уходят быстрее и по верхней границе своих коридоров: 27 000 и 23 000 ₽/м²/год</w:t>
            </w:r>
          </w:p>
        </w:tc>
        <w:tc>
          <w:tcPr>
            <w:tcW w:type="dxa" w:w="125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7"/>
                <w:szCs w:val="17"/>
              </w:rPr>
              <w:t xml:space="preserve">3,35 млн ₽</w:t>
            </w:r>
          </w:p>
        </w:tc>
        <w:tc>
          <w:tcPr>
            <w:tcW w:type="dxa" w:w="1350"/>
            <w:tcBorders>
              <w:bottom w:val="single" w:color="1E1C19" w:sz="10"/>
            </w:tcBorders>
            <w:shd w:fill="2F4A61" w:color="auto" w:val="clear"/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FFFFFF"/>
                <w:sz w:val="17"/>
                <w:szCs w:val="17"/>
              </w:rPr>
              <w:t xml:space="preserve">8,62 млн ₽</w:t>
            </w:r>
          </w:p>
        </w:tc>
        <w:tc>
          <w:tcPr>
            <w:tcW w:type="dxa" w:w="1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2F4A61"/>
                <w:sz w:val="17"/>
                <w:szCs w:val="17"/>
              </w:rPr>
              <w:t xml:space="preserve">+8,96 млн ₽</w:t>
            </w:r>
          </w:p>
        </w:tc>
      </w:tr>
    </w:tbl>
    <w:tbl>
      <w:tblPr>
        <w:tblW w:type="dxa" w:w="10106"/>
        <w:tblInd w:type="dxa" w:w="0"/>
        <w:tblBorders>
          <w:top w:val="single" w:color="23303A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23303A"/>
                <w:spacing w:val="16"/>
                <w:sz w:val="17"/>
                <w:szCs w:val="17"/>
              </w:rPr>
              <w:t xml:space="preserve">Как читать эту таблицу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Отрицательный NPV сценария A объясняется просто: эксплуатация 515 вакантных метров стоит около 1,55 млн ₽ в год и за три года съедает всё, что приносит поздняя сдача одного помещения. Бездействие здесь не нейтрально — оно стоит денег.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D даёт лучший NPV при вдвое меньшем CAPEX, чем сценарий C. Причина: якорь одновременно закрывает самую трудную площадь и создаёт трафик для двух малых лотов, тогда как нарезка в сценарии C решает только первую задачу и растягивает заполнение на 16 месяцев.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Сценарий B при затратах 350 тыс. ₽ даёт около двух третей эффекта сценария D. Это лучший показатель отдачи на вложенный рубль в таблице, и именно с него следует начинать — он не конфликтует ни с C, ни с D и может выполняться параллельно.</w:t>
            </w:r>
          </w:p>
        </w:tc>
      </w:tr>
    </w:tbl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b/>
          <w:bCs/>
          <w:color w:val="1E1C19"/>
          <w:sz w:val="21"/>
          <w:szCs w:val="21"/>
        </w:rPr>
        <w:t xml:space="preserve">Рекомендация. </w:t>
      </w: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Выполнить B немедленно как самостоятельный шаг, параллельно начав переговоры по D. Сценарий C держать как запасной на случай, если якорного арендатора на всю площадь №1 найти не удастся за 6 месяцев: нарезка — это способ продать площадь, которую не купили целиком, и начинать с неё дорого и преждевременно.</w:t>
      </w:r>
    </w:p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Модель детерминированная: сроки сдачи заданы допущениями, а не вероятностным распределением. Она показывает порядок величин и ранжирование сценариев, а не точный прогноз. Основные риски: сроки сдачи могут сдвинуться вправо; ставки на переговорах могут оказаться ниже; CAPEX по сценарию C оценён укрупнённо и требует сметы.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9.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План действий на 90 дней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1–14: то, что стоит ноль и даёт больше всего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500"/>
        <w:gridCol w:w="1900"/>
        <w:gridCol w:w="3706"/>
      </w:tblGrid>
      <w:tr>
        <w:trPr>
          <w:tblHeader/>
        </w:trPr>
        <w:tc>
          <w:tcPr>
            <w:tcW w:type="dxa" w:w="45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Ответственный</w:t>
            </w:r>
          </w:p>
        </w:tc>
        <w:tc>
          <w:tcPr>
            <w:tcW w:type="dxa" w:w="37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Пересчитать ставки: №2 до 79–86 тыс. ₽/мес, №3 до 76–87 тыс. ₽/мес. №1 оставить, но переупаковать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Собственник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Ставки в рынке впервые за 3 года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Опубликовать в каждом объявлении: НДС, OPEX, коммунальные, обеспечительный платёж, каникулы, индексацию, срок договора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Объект становится считаемым для сетевого арендатора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№3: убрать слово «офис», продавать готовую бьюти-/медицинскую студию с отделкой и мокрой точкой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Попадание в реальный спрос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№2: убрать «торговая площадь» и упоминание ПВЗ Wildberries. Продавать помещение под услуги: барбершоп, маникюр, ремонт электроники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Прекращается поток заведомо отказных обращений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Переписать №1: выбрать одно назначение вместо четырёх. Рекомендуем детский сад / студийный фитнес / бьюти-коворкинг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Брокер</w:t>
            </w:r>
          </w:p>
        </w:tc>
        <w:tc>
          <w:tcPr>
            <w:tcW w:type="dxa" w:w="37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Адресат узнаёт в описании своё помещение</w:t>
            </w:r>
          </w:p>
        </w:tc>
      </w:tr>
      <w:tr>
        <w:trPr>
          <w:cantSplit/>
        </w:trPr>
        <w:tc>
          <w:tcPr>
            <w:tcW w:type="dxa" w:w="45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выписку ЕГРН, исправить кадастровый номер во всех объявлениях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Юрист</w:t>
            </w:r>
          </w:p>
        </w:tc>
        <w:tc>
          <w:tcPr>
            <w:tcW w:type="dxa" w:w="37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блокер сделки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15–45: каналы и устранение физических блокеров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00"/>
        <w:gridCol w:w="1400"/>
        <w:gridCol w:w="3106"/>
      </w:tblGrid>
      <w:tr>
        <w:trPr>
          <w:tblHeader/>
        </w:trPr>
        <w:tc>
          <w:tcPr>
            <w:tcW w:type="dxa" w:w="56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14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Бюджет</w:t>
            </w:r>
          </w:p>
        </w:tc>
        <w:tc>
          <w:tcPr>
            <w:tcW w:type="dxa" w:w="3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Результат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Профессиональная фотосъёмка всех трёх помещений: дневной свет, широкий угол, планировки с размерами, снимок террасы с визуализацией благоустройства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~120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Замена фотографий, где «офис» выглядит как салон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Размещение на ЦИАН, Авито, Яндекс.Недвижимости. На ЦИАН у собственника уже есть аккаунт — там размещён Корпус II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~180 тыс. ₽/год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Три помещения впервые попадают туда, где их ищут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Привлечь 2–3 независимых брокеров по коммерческой недвижимости на комиссию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комиссия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Внешняя воронка и внешняя проверка позиционирования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Устранить риск по лестнице: антискользящее покрытие, поручни, контрастная маркировка ступеней, освещение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~350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Снят юридический риск и главная претензия в отзывах; открыт путь к детским и медицинским арендаторам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Проверить и зафиксировать фактическое число парковочных мест; договориться о разметке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~50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Устранено расхождение 12 / 42 / 57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Получить техническое заключение о возможности установки лифта и его стоимости</w:t>
            </w:r>
          </w:p>
        </w:tc>
        <w:tc>
          <w:tcPr>
            <w:tcW w:type="dxa" w:w="14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~100 тыс. ₽</w:t>
            </w:r>
          </w:p>
        </w:tc>
        <w:tc>
          <w:tcPr>
            <w:tcW w:type="dxa" w:w="3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Решение по Яндекс Маркет ПВЗ и по всей детско-медицинской воронке</w:t>
            </w:r>
          </w:p>
        </w:tc>
      </w:tr>
      <w:tr>
        <w:trPr>
          <w:cantSplit/>
        </w:trPr>
        <w:tc>
          <w:tcPr>
            <w:tcW w:type="dxa" w:w="56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Обновить презентацию объекта: текущий состав арендаторов, реальные данные по трафику, планировки</w:t>
            </w:r>
          </w:p>
        </w:tc>
        <w:tc>
          <w:tcPr>
            <w:tcW w:type="dxa" w:w="14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~60 тыс. ₽</w:t>
            </w:r>
          </w:p>
        </w:tc>
        <w:tc>
          <w:tcPr>
            <w:tcW w:type="dxa" w:w="3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Материалы перестают противоречить действительности</w:t>
            </w:r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Дни 46–90: адресная работа по тир-листу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300"/>
        <w:gridCol w:w="4806"/>
      </w:tblGrid>
      <w:tr>
        <w:trPr>
          <w:tblHeader/>
        </w:trPr>
        <w:tc>
          <w:tcPr>
            <w:tcW w:type="dxa" w:w="53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Действие</w:t>
            </w:r>
          </w:p>
        </w:tc>
        <w:tc>
          <w:tcPr>
            <w:tcW w:type="dxa" w:w="48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Цель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Обзвон и письма по 6 компаниям тира S и 20 компаниям тира A с индивидуальным предложением под конкретное помещение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менее 15 содержательных контактов и 5 показов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предложении первой строкой указывать: здание нежилое, значит медицинская, стоматологическая и детская лицензия на 2-м этаже возможна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Единственное преимущество, которого нет у встроенных помещений соседних ЖК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Переговоры по сценарию D: якорь в №1 с каникулами 6 месяцев и участием в отделке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Подписанный протокол о намерениях с одним якорем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Развести матрицу арендаторов Корпуса I и Корпуса II, чтобы прекратить внутреннюю конкуренцию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Корпус II — торговля и сервис у дороги; Корпус I — услуги, детское, здоровье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Заказать собственный замер трафика по ГОСТ 32965-2014: 3 будних дня, пятница, суббота, воскресенье</w:t>
            </w:r>
          </w:p>
        </w:tc>
        <w:tc>
          <w:tcPr>
            <w:tcW w:type="dxa" w:w="48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Своя цифра вместо чужой, завышенной в 4–5 раз</w:t>
            </w:r>
          </w:p>
        </w:tc>
      </w:tr>
      <w:tr>
        <w:trPr>
          <w:cantSplit/>
        </w:trPr>
        <w:tc>
          <w:tcPr>
            <w:tcW w:type="dxa" w:w="53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Построить изохрону транспортной доступности 10/15/20 минут</w:t>
            </w:r>
          </w:p>
        </w:tc>
        <w:tc>
          <w:tcPr>
            <w:tcW w:type="dxa" w:w="48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Корректная зона охвата вместо радиуса, искажённого Москвой-рекой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10.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Источники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Объект и объявления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с террасой ТЦ «Амбар-1»», обновлено 27.07.2026 — metrplus.com/commercial-projects/commercial-projects-rent/torgovaya-ploshchad-s-terrasoy-tts-ambar-1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«Торговая площадь 39,6 м² ТЦ «Амбар-1»», обновлено 27.07.2026 — metrplus.com/commercial-projects/commercial-projects-rent/torgovaya-ploshchad-39-6-m-tts-ambar-1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«Офис на первой линии, БЦ «Амбар»», обновлено 12.08.2026 — metrplus.com/commercial-projects/commercial-projects-rent/ofis-na-pervoy-linii-bts-ambar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«Аренда помещений в торговом центре «Амбар 2»», обновлено 27.07.2026 — metrplus.com/commercial-projects/commercial-projects-rent/arenda-pomeshcheniy-v-torgovom-tsentre-ambar-2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«Наши объекты: Торговый центр в Ильинском», кадастровый номер 50:11:0050502:1759 — metrplus.com/commercial-projects/nashi-obyekty/torgovyy-tsentr-v-ilinskom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карточка ТЦ «Амбар», рейтинг 4,4, 68 оценок, 18 отзывов, доступ 18.09.2026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Яндекс.Карты — карточки арендаторов: «Магнолия», «Пятёрочка», La Poste, «Республика», «Ирис», «Бьюти Сфера», «СтандАрт», «Аптека 36,6», Giselle, «Студия тела Андросовой М.», «Студия красоты by Кулинич»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Материалы собственника по комплексу «Амбар», metrplus.com: технические характеристики, схема участка, поэтажный состав арендаторов, плановые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rusprofile.ru / companies.rbc.ru — ООО «Природа-Инвест», ИНН 7722605826, ОГРН 5077746351678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Бенчмарк арендных ставок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ЦИАН — прямая выгрузка через интерфейс собственной выдачи площадки, 18.09.2026. Городской округ Красногорск (region 269663, 277 объявлений), село Ильинское (269681, 13) и отдельными запросами посёлки Рублёво-Успенского направления: Жуковка (55627), Горки-2 (44049), Раздоры (127988), Бузаево (30779), Солослово (142572), Усово (338640), Барвиха (21503), Знаменское (60255), Рождествено (385122), Малое Сареево (92038); Ильинское (269681), Ильинское-Усово (269699) и Глухово (269719) выгружены повторно 20.09.2026 с типом цены. Всего 309 объявлений, после отсечения по границе зоны — 125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Карточки лотов: krasnogorsk.cian.ru/rent/commercial/&lt;id&gt;/ — полный реестр со ссылками в приложении 12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Агрегаторы move.ru, mirkvartir.ru, shopandmall.ru, realestate.ru, gladston.ru из бенчмарка исключены: переопубликованные объявления без даты подачи и без однозначной единицы ставки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Авито — доступ закрыт по адресу, с которого шёл сбор; в выборку не попал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Group. Рынок торговой недвижимости Москвы, I полугодие 2026 (media.kf.expert) — только как рыночный фон, не как источник компов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РБК-Недвижимость. «Что будет с рынком торговой недвижимости в Москве в 2026 году», 28.01.2026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 / IBC Real Estate. «Доля вакантных площадей в ТЦ Москвы достигла 11%», 04.09.2026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Банк России — ключевая ставка 14,00%, решение от 11.09.2026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Локация, трафик, конкуренты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Проект генерального плана городского округа Красногорск, материалы по обоснованию, Том I, 2018 — krasnogorsk-adm.ru (полосность А-109, табл. 2.2.1 интенсивности, табл. 2.3.1.1 реконструкции)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Интерфакс. Открытие Рублёво-Архангельской линии и станции «Ильинская», 05.09.2026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«Красногорск поехал быстрее», 28.06.2019 (узел Волоколамское × Ильинское шоссе)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Яндекс. Исследование «Подмосковные пробки в дачный сезон»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2ГИС — ТЦ «Ильинский», 56 организаций, рейтинг 4,9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tc-oktyabr.ru — поэтажная раскладка ТЦ «Октябрь», Павловская Слобода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tc-dvor.ru — ТЦ «Княжий двор»; podvorie.com — ТРК «Павлово Подворье»; ilinka-village.clients.site — ТК «Ильинка Вилладж»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rasp.yandex.ru — остановка «Ильинское, улица Ленина»; ginfo.ru, moscowmap.ru — маршруты 540, 541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Демография, строительство, доходы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Постановление администрации г.о. Красногорск № 2760/10 от 16.10.2025 «О прогнозе социально-экономического развития на 2026–2028 годы», Приложения 1 и 2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Доклад главы г.о. Красногорск о достигнутых значениях показателей (Указ Президента № 607) за 2025 год, опубликован 30.04.2026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Росстат — численность населения РФ по муниципальным образованиям на 1 января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pik.ru/il-luga, erzrf.ru — ЖК «Ильинские луга», застройщик ООО «СЗ «ГрадОлимп»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МК. «Власти Подмосковья нашли оригинальный способ решения демографической проблемы», 29.10.2025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NF Group — элитная загородная недвижимость Московского региона, октябрь 2025 (спрос −41% г/г)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Intermark. «Рынок премиальной загородной недвижимости Подмосковья. Итоги 2024»; PMR TOP-100, III квартал 2025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РБК-Недвижимость со ссылкой на ИНКОМ-Недвижимость, 25.10.2018 — доля постоянного проживания 70% в радиусе 40 км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Интерфакс — реальные располагаемые доходы РФ: итог 2025 (+7,4%), I и II кварталы 2026 (+1,5%)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audit-it.ru / ЕМИСС — среднемесячная зарплата по Московской области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Арендаторы и сети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franshiza.ru — Гемотест, ИНВИТРО, «Чемпионика», Cofix, «Сёма», «ТОЧКА красоты», «Чистофф», «Мария»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franchise.kdl.ru; Коммерсантъ, 05.02.2025; РИА Новости, 10.12.2025 — KDL | Медскан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laserlove.ru/blog/franchise/strategya-2026 — стратегия Laser Love на 2026, 13.03.2026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fr.baby-club.ru/detskij-sad; topfranchise.ru — «Сёма», «Первый алгоритм», BRITVA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offers.4hands.ru; solosalon.ru; glowfranshiza.ru; oldboybarbershop.com; persona-franshiza.ru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artofpilates-franchise.ru; pilates.life/franchise; biz.fit-n-go.ru; ddxfitness.ru/real-estate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insport365.com — план DDX Fitness на 2026, заявлен 18.06.2026 на форуме «Движение»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RETAILER.ru, 17.06.2026 — «Кофе Лайк» откроет 150 кофеен в 2026; Cofix, Coffee Way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New Retail, 22.12.2025 — сеть «Четыре Лапы» открыла 600-й зоомагазин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Retail.ru, 17.08.2026 — сеть «Мокрый нос» объявила о поиске помещений в 46 городах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Retail.ru; Forbes, май 2026 — аптечная сеть «Апрель»; Бетховен; «Кухонный Двор»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market.yandex.ru/lp/market-pvz — требования Яндекс Маркет ПВЗ; регламенты Wildberries и Ozon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poliglotiki.ru; biz.algoritmika.org; beboss.ru — «Детская страна»; franshiza.pedant.ru; dryclean.ru/partner</w:t>
      </w:r>
    </w:p>
    <w:p>
      <w:pPr>
        <w:pStyle w:val="ListParagraph"/>
        <w:numPr>
          <w:ilvl w:val="0"/>
          <w:numId w:val="3"/>
        </w:numPr>
        <w:spacing w:after="45" w:line="250" w:lineRule="auto"/>
        <w:jc w:val="left"/>
      </w:pPr>
      <w:r>
        <w:rPr>
          <w:rFonts w:ascii="PT Serif" w:cs="PT Serif" w:eastAsia="PT Serif" w:hAnsi="PT Serif"/>
          <w:color w:val="1E1C19"/>
          <w:sz w:val="17"/>
          <w:szCs w:val="17"/>
        </w:rPr>
        <w:t xml:space="preserve">wspace.space/franchise; RB.RU — сокращение ввода гибких офисов в Москве</w:t>
      </w:r>
    </w:p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11.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методология, допущения и ограничения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11.1. Методология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Первичный сбор: извлечение полного текста и всех фотографий трёх объявлений; скачано и просмотрено 29 фотографий, включая поэтажные планы БТИ и схему участка.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Бенчмарк: выборка из 11 сопоставимых предложений ЦИАН, отобранных вручную и проверенных по карточке (раздел 3). Тип цены — за месяц, за м² в месяц или за м² в год — взят из поля карточки для 10 лотов из 11. Как сверка использована машинная выгрузка 309 объявлений, из них 125 внутри зоны (приложение 12); агрегаторы и Авито в расчёт не вошли.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Трафик: три независимых метода оценки (от технической категории дороги, от пропускной способности, от аналога в той же таблице генплана), дающие сходящийся диапазон.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Демография: приоритет отдан первоисточникам — постановлению администрации округа и докладу главы, а не агрегаторам новостроек.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NPV: детерминированная модель месячных денежных потоков на 36 месяцев, ставка дисконтирования 18% годовых.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11.2. Ключевые допущения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100"/>
        <w:gridCol w:w="1900"/>
        <w:gridCol w:w="5106"/>
      </w:tblGrid>
      <w:tr>
        <w:trPr>
          <w:tblHeader/>
        </w:trPr>
        <w:tc>
          <w:tcPr>
            <w:tcW w:type="dxa" w:w="31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Допущение</w:t>
            </w:r>
          </w:p>
        </w:tc>
        <w:tc>
          <w:tcPr>
            <w:tcW w:type="dxa" w:w="1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Значение</w:t>
            </w:r>
          </w:p>
        </w:tc>
        <w:tc>
          <w:tcPr>
            <w:tcW w:type="dxa" w:w="51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Обоснование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Ставка дисконтирования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18% годовых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Ключевая ставка ЦБ 14% на 11.09.2026 плюс премия за риск 4 п.п.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Эксплуатация вакантной площади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3 000 ₽/м²/год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Оценка для малого ТЦ класса C в Подмосковье. Диапазон NF Group для галерей московских ТЦ (9 000–25 000) к этому объекту неприменим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Индексация аренды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7% с 13-го и 25-го месяцев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Обычная практика договоров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Коэффициент заселения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28 м² на человека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Выведен из официальных данных: 44,9 тыс. чел. на 1 257,8 тыс. м². Соответствует ≈1,9 чел./квартира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Доля круглогодичного проживания в КП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60–75%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Данные ИНКОМ 2018 года (70% для радиуса до 40 км) плюс тренд роста. Наименее надёжная цифра в работе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Поправка на второй этаж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0,66 к первому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Медианы выборки: 24 286 ₽/м²/год на втором этаже против 36 750 на первом. Сверка: по блокам 200–800 м² внутри зоны — 0,64, по всему округу Красногорск (254 лота) — 0,70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Премия за малый блок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отсутствует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выборке блок 42 м² и блок 175 м² в соседних домах на первом этаже различаются на 17%, на втором блоки 22–33,6 м² стоят одинаково. Нарезка помещения №1 даёт скорость сдачи, а не цену за метр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Терраса</w:t>
            </w:r>
          </w:p>
        </w:tc>
        <w:tc>
          <w:tcPr>
            <w:tcW w:type="dxa" w:w="1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является надбавкой к ставке</w:t>
            </w:r>
          </w:p>
        </w:tc>
        <w:tc>
          <w:tcPr>
            <w:tcW w:type="dxa" w:w="51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Рыночной наценки в открытых источниках не существует</w:t>
            </w:r>
          </w:p>
        </w:tc>
      </w:tr>
      <w:tr>
        <w:trPr>
          <w:cantSplit/>
        </w:trPr>
        <w:tc>
          <w:tcPr>
            <w:tcW w:type="dxa" w:w="31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Веса причин вакансии</w:t>
            </w:r>
          </w:p>
        </w:tc>
        <w:tc>
          <w:tcPr>
            <w:tcW w:type="dxa" w:w="1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экспертная оценка</w:t>
            </w:r>
          </w:p>
        </w:tc>
        <w:tc>
          <w:tcPr>
            <w:tcW w:type="dxa" w:w="51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Не результат статистического расчёта. Приведены для приоритизации действий, а не как измеренная величина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11.3. Что проверить до принятия решений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900"/>
        <w:gridCol w:w="3900"/>
        <w:gridCol w:w="3306"/>
      </w:tblGrid>
      <w:tr>
        <w:trPr>
          <w:tblHeader/>
        </w:trPr>
        <w:tc>
          <w:tcPr>
            <w:tcW w:type="dxa" w:w="2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Вопрос</w:t>
            </w:r>
          </w:p>
        </w:tc>
        <w:tc>
          <w:tcPr>
            <w:tcW w:type="dxa" w:w="3900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Почему это важно</w:t>
            </w:r>
          </w:p>
        </w:tc>
        <w:tc>
          <w:tcPr>
            <w:tcW w:type="dxa" w:w="3306"/>
            <w:tcBorders>
              <w:top w:val="single" w:color="1E1C19" w:sz="10"/>
              <w:bottom w:val="single" w:color="BCB4A8" w:sz="4"/>
            </w:tcBorders>
            <w:tcMar>
              <w:top w:type="dxa" w:w="66"/>
              <w:left w:type="dxa" w:w="74"/>
              <w:bottom w:type="dxa" w:w="52"/>
              <w:right w:type="dxa" w:w="74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4"/>
                <w:szCs w:val="14"/>
              </w:rPr>
              <w:t xml:space="preserve">Как проверить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Есть ли в здании работающий лифт?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На поэтажных планах БТИ 2-го и 3-го этажей лифт отсутствует — только две лестницы. От ответа зависят Яндекс Маркет ПВЗ, вся детская и медицинская воронка, мебельные шоурумы и доступность для МГН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 объекта. Планы БТИ могут не отражать позже установленное оборудование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Состояние лестницы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Публичный отзыв от 26.03.2025 описывает падение беременной женщины с 3-го на 2-й этаж с госпитализацией и утверждает, что падали и другие. Это одновременно юридический риск и блокер для детских и медицинских арендаторов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Осмотр, техническое заключение, немедленные меры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Кадастровый номер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 двух объявлениях указан номер соседнего здания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Выписка ЕГРН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Реальное число парковочных мест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Расхождение 12 / 42 / 57 между источниками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Замер и разметка на объекте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Условия аренды: НДС, OPEX, коммунальные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Ни в одном объявлении не указаны; без них сетевой арендатор не считает объект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Внутренние документы собственника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Совпадает ли помещение №3 с площадью закрывшейся бьюти-студии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 этого зависит скорость переупаковки и аргументация: предыдущий оператор имел рейтинг 5,0 и 57 отзывов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Сверка с собственником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7"/>
                <w:szCs w:val="17"/>
              </w:rPr>
              <w:t xml:space="preserve">Были ли входящие обращения за 3 года и почему отваливались</w:t>
            </w:r>
          </w:p>
        </w:tc>
        <w:tc>
          <w:tcPr>
            <w:tcW w:type="dxa" w:w="3900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Открытые источники на это ответа не дают, а ответ способен заметно перевесить веса в дереве причин</w:t>
            </w:r>
          </w:p>
        </w:tc>
        <w:tc>
          <w:tcPr>
            <w:tcW w:type="dxa" w:w="3306"/>
            <w:tcBorders>
              <w:bottom w:val="single" w:color="E4DED4" w:sz="2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Журнал обращений брокера</w:t>
            </w:r>
          </w:p>
        </w:tc>
      </w:tr>
      <w:tr>
        <w:trPr>
          <w:cantSplit/>
        </w:trPr>
        <w:tc>
          <w:tcPr>
            <w:tcW w:type="dxa" w:w="2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Фактическая вакансия Корпуса I</w:t>
            </w:r>
          </w:p>
        </w:tc>
        <w:tc>
          <w:tcPr>
            <w:tcW w:type="dxa" w:w="3900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515,4 м² — это только то, что в экспозиции. Четыре арендатора закрылись, их площади в объявлениях не видны</w:t>
            </w:r>
          </w:p>
        </w:tc>
        <w:tc>
          <w:tcPr>
            <w:tcW w:type="dxa" w:w="3306"/>
            <w:tcBorders>
              <w:bottom w:val="single" w:color="1E1C19" w:sz="10"/>
            </w:tcBorders>
            <w:tcMar>
              <w:top w:type="dxa" w:w="66"/>
              <w:left w:type="dxa" w:w="74"/>
              <w:bottom w:type="dxa" w:w="66"/>
              <w:right w:type="dxa" w:w="74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7"/>
                <w:szCs w:val="17"/>
              </w:rPr>
              <w:t xml:space="preserve">Внутренние данные собственника</w:t>
            </w:r>
          </w:p>
        </w:tc>
      </w:tr>
    </w:tbl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11.4. Чего не удалось проверить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Росреестр и публичная кадастровая карта (pkk.rosreestr.ru, nspd.gov.ru) обрывали соединение. Ни площадь, ни год постройки, ни собственник официально не подтверждены — все цифры по зданию приводятся со слов брокера.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Авито в бенчмарк не попал: площадка отвечает «доступ ограничен: проблема с IP» уже на главной странице, с любого запроса с того адреса, с которого шёл сбор. Это ограничение сети, а не блокировка конкретного запроса, и обойти его в рамках работы было нечем. Все ставки бенчмарка поэтому опираются на один источник — ЦИАН.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Точные адреса лотов в выгрузке поиска ЦИАН не приходят — приходят координаты. Ручка карточки, которая отдаёт адрес, на момент сбора отвечала капчей, поэтому в таблицах указан ближайший населённый пункт по координатам, а точный адрес открывается по ссылке на объявление.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Срок экспозиции по ЦИАН считается от даты создания объявления. При повторной публикации она может обнулиться, поэтому приведённые 1157 и 1486 дней — нижняя оценка реального срока, а не верхняя.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Прямых замеров интенсивности движения на А-109 в сечении села Ильинское в открытых источниках нет ни у Росавтодора, ни у ФКУ «Центравтомагистраль», ни у Минтранса Московской области. Единственный официальный замер — из генплана 2018 года, то есть ему восемь лет, и он не учитывает ни «Ильинские луга», ни метро «Ильинская».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Численность сёл Ильинское, Глухово, Николо-Урюпино и Петрово-Дальнее по переписи 2021 не опубликована; сайты Росстата и Мосстата отдавали ошибку 503. Используются данные переписи 2010 года.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Актуального исследования доли круглогодичного проживания в подмосковных коттеджных посёлках за 2024–2026 годы не существует в открытом доступе.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Поэтажная схема ТЦ «Ильинский» не опубликована: известно, что арендаторов 56, но их распределение по этажам неизвестно. Данных о вакантности конкурирующих объектов нет ни по одному.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Публичных арендных ставок конкретных сетей не раскрывает ни одна из 55 проверенных компаний и форматов — все ставки в тир-листе являются нашей оценкой платёжеспособности категории.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История изменения ставок по объекту не восстанавливается: объявления размещены единственным аффилированным каналом, объявлений от других брокеров не обнаружено.</w:t>
      </w:r>
    </w:p>
    <w:p>
      <w:pPr>
        <w:pStyle w:val="ListParagraph"/>
        <w:numPr>
          <w:ilvl w:val="0"/>
          <w:numId w:val="2"/>
        </w:numPr>
        <w:spacing w:after="58" w:line="252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Изохроны транспортной доступности 10/15/20 минут не строились; с учётом разделяющей роли Москвы-реки это обязательный следующий шаг.</w:t>
      </w:r>
    </w:p>
    <w:p>
      <w:pPr>
        <w:pStyle w:val="Heading2"/>
        <w:keepNext/>
        <w:spacing w:after="110" w:before="300"/>
      </w:pPr>
      <w:r>
        <w:rPr>
          <w:rFonts w:ascii="PT Serif" w:cs="PT Serif" w:eastAsia="PT Serif" w:hAnsi="PT Serif"/>
          <w:b/>
          <w:bCs/>
          <w:color w:val="23303A"/>
          <w:sz w:val="25"/>
          <w:szCs w:val="25"/>
        </w:rPr>
        <w:t xml:space="preserve">11.5. Неразрешённое противоречие</w:t>
      </w:r>
    </w:p>
    <w:tbl>
      <w:tblPr>
        <w:tblW w:type="dxa" w:w="10106"/>
        <w:tblInd w:type="dxa" w:w="0"/>
        <w:tblBorders>
          <w:top w:val="single" w:color="963F26" w:sz="8"/>
          <w:left w:val="none"/>
          <w:bottom w:val="single" w:color="E4DED4" w:sz="2"/>
          <w:right w:val="none"/>
          <w:insideH w:val="none"/>
          <w:insideV w:val="none"/>
        </w:tblBorders>
      </w:tblPr>
      <w:tblGrid>
        <w:gridCol w:w="10106"/>
      </w:tblGrid>
      <w:tr>
        <w:trPr>
          <w:cantSplit/>
        </w:trPr>
        <w:tc>
          <w:tcPr>
            <w:tcW w:type="dxa" w:w="10106"/>
            <w:tcMar>
              <w:top w:type="dxa" w:w="150"/>
              <w:left w:type="dxa" w:w="0"/>
              <w:bottom w:type="dxa" w:w="150"/>
              <w:right w:type="dxa" w:w="520"/>
            </w:tcMar>
          </w:tcPr>
          <w:p>
            <w:pPr>
              <w:spacing w:after="85"/>
            </w:pPr>
            <w:r>
              <w:rPr>
                <w:rFonts w:ascii="PT Sans" w:cs="PT Sans" w:eastAsia="PT Sans" w:hAnsi="PT Sans"/>
                <w:b/>
                <w:bCs/>
                <w:caps/>
                <w:color w:val="963F26"/>
                <w:spacing w:val="16"/>
                <w:sz w:val="17"/>
                <w:szCs w:val="17"/>
              </w:rPr>
              <w:t xml:space="preserve">Ранние материалы собственника описывают Корпус I как полностью сданный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В материалах, по которым комплекс предлагался раньше, Корпус I (ул. Ленина, 28) помечен словом «сдан», и перечислены арендаторы на всех этажах, включая 2-й и 3-й.</w:t>
            </w:r>
          </w:p>
          <w:p>
            <w:pPr>
              <w:spacing w:after="58" w:line="258" w:lineRule="auto"/>
              <w:jc w:val="both"/>
            </w:pPr>
            <w:r>
              <w:rPr>
                <w:rFonts w:ascii="PT Serif" w:cs="PT Serif" w:eastAsia="PT Serif" w:hAnsi="PT Serif"/>
                <w:color w:val="1E1C19"/>
                <w:sz w:val="20"/>
                <w:szCs w:val="20"/>
              </w:rPr>
              <w:t xml:space="preserve">Между тем эти этажи стоят вакантными последние три года. Оба утверждения верными быть не могут: либо в материалах отражался план, либо арендаторы съехали почти сразу, либо «сдан» относилось к части корпуса. По открытым источникам это не разрешается.</w:t>
            </w:r>
          </w:p>
        </w:tc>
      </w:tr>
    </w:tbl>
    <w:p>
      <w:pPr>
        <w:pStyle w:val="Heading1"/>
        <w:keepNext/>
        <w:pBdr>
          <w:top w:val="single" w:color="BCB4A8" w:sz="4" w:space="16"/>
        </w:pBdr>
        <w:spacing w:after="150" w:before="640"/>
      </w:pPr>
      <w:r>
        <w:rPr>
          <w:rFonts w:ascii="PT Sans" w:cs="PT Sans" w:eastAsia="PT Sans" w:hAnsi="PT Sans"/>
          <w:color w:val="963F26"/>
          <w:spacing w:val="16"/>
          <w:sz w:val="22"/>
          <w:szCs w:val="22"/>
        </w:rPr>
        <w:t xml:space="preserve">12.</w:t>
      </w:r>
      <w:r>
        <w:rPr>
          <w:rFonts w:ascii="PT Sans" w:cs="PT Sans" w:eastAsia="PT Sans" w:hAnsi="PT Sans"/>
          <w:sz w:val="22"/>
          <w:szCs w:val="22"/>
        </w:rPr>
        <w:t xml:space="preserve">  </w:t>
      </w:r>
      <w:r>
        <w:rPr>
          <w:rFonts w:ascii="PT Serif" w:cs="PT Serif" w:eastAsia="PT Serif" w:hAnsi="PT Serif"/>
          <w:b/>
          <w:bCs/>
          <w:color w:val="1E1C19"/>
          <w:sz w:val="36"/>
          <w:szCs w:val="36"/>
        </w:rPr>
        <w:t xml:space="preserve">Приложение: широкая выгрузка ЦИАН для сверки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Ставки раздела 3 считаются по выборке из 11 лотов, отобранных вручную. Эта таблица — не она: здесь машинная выгрузка ЦИАН целиком, 125 объявлений коммерческой аренды внутри территории с карты. Она приведена, чтобы поправку на этаж и порядок ставок можно было проверить на широком материале, а не только на одиннадцати карточках.</w:t>
      </w:r>
    </w:p>
    <w:p>
      <w:pPr>
        <w:spacing w:after="96" w:before="0" w:line="254" w:lineRule="auto"/>
        <w:jc w:val="both"/>
      </w:pPr>
      <w:r>
        <w:rPr>
          <w:rFonts w:ascii="PT Serif" w:cs="PT Serif" w:eastAsia="PT Serif" w:hAnsi="PT Serif"/>
          <w:color w:val="1E1C19"/>
          <w:sz w:val="21"/>
          <w:szCs w:val="21"/>
        </w:rPr>
        <w:t xml:space="preserve">Выгрузка сделана 18–20 сентября 2026 года; сгруппирована по населённым пунктам, внутри — по возрастанию ставки. Столбец «дней» — срок с даты создания объявления; при повторной публикации эта дата обнуляется, поэтому срок — нижняя оценка. Звёздочка у ставки — цена в карточке прочитана как ставка за м² в год по величине, а не по полю типа цены. На этой выгрузке отношение медиан второго этажа к первому — 0,70 по всему округу и 0,64 по блокам 200–800 м² внутри зоны, что подтверждает коэффициент 0,66 из раздела 3.2.</w:t>
      </w:r>
    </w:p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Ильинское-Усово — 53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13 500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ahr3k_m9ncxgp5ahpq3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334096509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tobgic5k3ep68in-iin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329804298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ovhy8w6veqz3j_brzwp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329803342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18 237*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-xmzu917aachapmdptq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326181813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lkxj9khqmfhbixy2ljt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330684655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140 160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19 200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aiy3lt8p2h0ycut-rpx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332688764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19 355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qgy5zjwuxd1nrrhfoa4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334096625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21 216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se82lst2ohhqzq1fmyr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334096839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Лесная, 141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814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jpikvh_r7ezhzjzulvk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303876473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qeyktsxksh4e5l7gc07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330605809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w5bqaumwdcvpf7asoh2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23 478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v_sddykevfh7me2yi8l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331946855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23 684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ry-iofn08hq4txvankf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320581965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tgfr-gie178gcgx21ym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23 816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lfby6bdoxgoo5p2lvuu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334096897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146 800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b6wydnbh8afg1tvcip-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333495746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qovxvzmbce0whznnzb2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333594237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yuvyoxhv6g0uxxhp5jl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329788014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gw5qvx7gifwntpa73fa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_d3fusz1al_ugdfvr2us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329787507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sr4lzezfcgcjehyz717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333437804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26 382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tywdoommiwhn-iadrtj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332310503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26 782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i2n7x7tyg2joaprsmp4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328226996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27 115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duqq0nham-9chhcreisr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332681968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27 907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jezg5s8yejjchkveaso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333616923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27-й, 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6k3qlz6qcx7hwe_tvic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333593299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28 831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bklg9yb_owf-6irsflp5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giiklpztpxfj3kwe3wv2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319821445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99,8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30 060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d_fxzuaceu5pt73afij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327252455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-0bqqnzqs27u6r-25ox6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328211746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gsi1z-e-mqxlq5_3yma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332681922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352 350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zaprnbaxagk2esm7ubv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332604619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32 697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-gafgch5jpsgwynhf-q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328054792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kcbymro_a9p6wnv7rf-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331190255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66,2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34 441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tbjbvvygigefzmjtn7a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332604660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133,7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390 003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by7tcqgy5odxxuuyyyq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331968103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45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8rowrcv6zn98ngcays96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332623732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176,3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519 997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35 394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r2ny5jcvtjwbyn6qlij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331968259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275 002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35 408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mh0ikj7jfu6uah1xtyf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331968354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35 714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6_kk2q3y5xgftt-wax2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329026279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1ssrh8ii4djlqre3zcs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333942109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36 101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hp0wrfa50dlgl4gh8lp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331968329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73,8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36 585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ldsrpq-uwnuuebsochyu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324834779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4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36 923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agvdbz6w_mvstt7f0ha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326463844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650 004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38 049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1sv0otcjguaubktfdl_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1/10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38 400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klq2vxjmlvr7lmekesx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333942092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41 769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torv53rksxng25tops07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42 188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m4m-1yefdtiuq-us7ob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332867952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Архангельская,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199 998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44 444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jg9xjehvlc4d9hj4mao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333943686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48 649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vdghjxbvhizzat2s0a-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333670293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50 241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tpln4mcifbo6swi1tcj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321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1 349 992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50 467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rc18gh-_rf1m-dvkclo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Заповедная, 15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87,9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375 003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51 195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tl0umllfgcwkpnd_gom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333953930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Глухово — 23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118,7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70 003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7 077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p47witvbwbwjdswboyb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328135352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11 170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429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tnrygg1c2aumhytcrck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319810794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261 600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4irf6xddqwyx5p_qson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182,6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212 044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287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cerj3xom_undfykd_k7a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324728283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4/7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311,3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361 497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13 935*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533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nrbz3i-_4wq1uficwyd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315802301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3nx4j5gcyzw8e3dd-xx4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16 552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zfkiyqmcv0g-4nnkrdy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333084996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63,3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88 620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bes-nzvbvknsosdmvw7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327319412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21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93,2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130 480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e_gla8qs9l5o18bavc2o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328207266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22,3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31 220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7fjz6eaiuzw1ae2desa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332411093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1561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2 211 417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bytyohsbt_7ijjcez44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333276228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7к2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17 857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mgm35rf9b-r2giqvfsn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333546762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81 150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plh2w5febpknexm-ibua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333350445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0mxuovqvjqav7v8g5gsd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332411100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11к1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21 600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begho6gghpmr2u1_spc8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331786589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78,8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150 002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22 843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1 295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hoif3_bjlfzisto7pno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284412431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249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f2w3wntkpbl3hvadhnn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325682607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Романовская,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1/8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111,1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227 755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203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myyv5_ke6kysyksaorf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327319350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6 917 500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pu55vzsmjtgqord7bir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2 305 833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277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fb52x7lpx_wjxgpc9jq9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325069017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11 529 167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27 670*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3,7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u8qdddrp6vpmg_okm_g3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332934083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Центральная, 83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1 317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cpqzg-egigz8__8uv1p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283508170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Рублевское Предместье, 1с4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370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1 295 000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1,7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u1bg99lrj5txqzv6ixot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333809670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Архангельское — 15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465,1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359 987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9 288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9wory9dbu3f1_-bpjt8zb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333960746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235,7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216 549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11 025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oabpw2d0lwsnxjt_okbf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333961008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13 600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5,3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9xvtoqe2gp8k-pkp43j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333940025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542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v13ucaordo-d_y9r0o8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315411685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18 072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408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h-bk5pg4xy2sa2xwbhkl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320553651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672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19 643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j6jqqatv4_albr0tcio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Ильинское шоссе, 4-й, с8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5/6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849 981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22 245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jtmxryiju1xopdowvhv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333983497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280 005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26 902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qzxpnicg-ojaq2syxoc_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331344662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20,7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31 884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jhzm9bsnzxhjtvafgfr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61,9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169 998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32 956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frsvws60150clsaubde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28 000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myb5dcitdn4t5mo8290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332816562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215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649 999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36 279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om7ufyrn1me8jtpkvu20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36 818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xnjqznbudkyskqthd_t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331865748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1/5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26 000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q2frygfrnyk7hrgdpyaj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333043114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Новорижское шоссе, 23-й, вл2с1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570 004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39 086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5,2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vovgy8gnyqsyyz0emlwz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332447124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Ильинское — 13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-1/2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107 800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16 800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595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yu_hly_t2lp-tivrdhvp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313072137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go7qpyv_pd7stpg2xxol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30с1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33,6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68 001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24 286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g6iyjagirdddm9l0waed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333311589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3 489 958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24 635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5kyczxpltncdqft3dobx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2 500 000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kz94looddaomknzztanxv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333731876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1 486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ohsoeis_te4g-il85tp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277458208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1 157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73ep3qplyyxxgmyiytppq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290241753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Экспериментальная, 10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500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1 250 000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263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0,6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nr-78au30lyvyeezk9ww1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325457201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525 000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67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nlnvs0t32jwlzkwkmn7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331957732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0,0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q26uaqbrtus8epecdvoe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329868661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10с1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245 000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36 750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htgik9u009b9bermnukd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333822157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11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42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147 000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185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0,2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utb8e1zl1th94vh6gtjry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327894962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Ленина, 26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80,6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310 001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46 154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81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0,4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siennx3l8azqqdglout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331507639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Жуковка — 11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246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349 996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17 073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8jamsrfbmovqe5h2_ok77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1017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2 034 000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qbbsywqy1voqs0jg7bd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333543808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224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498 997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26 732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566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px-ntqbauegphvgjof0wm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314353642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16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iqqchhsgeaidpwz1yupwp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333543804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207 998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47 094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57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d2u_tssai4dwdb-97gzve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332276656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41,5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172 917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6c4y9u6oltpyi81amcd7o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332954310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3/4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57,1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237 917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xbnlfp0rwk2ty-etmyzqh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332954531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228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50 000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bl2kkjjto68tnuq3jqw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332954861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n56fruvkihh5nx_zmbj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333568687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7 599 987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73 489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112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brtvfyvf0iejbtmo5lgbn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330575706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1241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7 599 991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73 492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93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2,4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zayd5x5lkpafi8ww5-lkk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331164405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Бузланово — 5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750 000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v3uzogefjvrknsg19yyu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333708487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н/д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16 000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2a1jrglxsjttiywnw-zk0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333083003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Новый поселок, 9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225 500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22 000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11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r8cffx_umh9ylgf3rnhj-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333685077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139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458 700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mvoc0rq8z64zmqq46gfbw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333560586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ЖК «Рига Хиллс», к2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1/9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123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405 900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39 600*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2,5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av6dwmo-hi_mbxgcra8js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333341406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Горки-2 — 3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Рублево-Успенское, 17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3/3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349 995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23 333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340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sgxffdfvp0c64xpsmnhl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322849091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1/2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480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960 000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24 000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8E3A22"/>
                <w:sz w:val="14"/>
                <w:szCs w:val="14"/>
              </w:rPr>
              <w:t xml:space="preserve">388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6,1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ujq9ldqi0leutfawy0lg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321164596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—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300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1 100 000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44 000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32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8,9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j1qptryx8k_1aaw6mnl_z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333014437</w:t>
              </w:r>
            </w:hyperlink>
          </w:p>
        </w:tc>
      </w:tr>
    </w:tbl>
    <w:p>
      <w:pPr>
        <w:pStyle w:val="Heading3"/>
        <w:keepNext/>
        <w:spacing w:after="80" w:before="230"/>
      </w:pPr>
      <w:r>
        <w:rPr>
          <w:rFonts w:ascii="PT Sans" w:cs="PT Sans" w:eastAsia="PT Sans" w:hAnsi="PT Sans"/>
          <w:b/>
          <w:bCs/>
          <w:caps/>
          <w:color w:val="963F26"/>
          <w:spacing w:val="18"/>
          <w:sz w:val="17"/>
          <w:szCs w:val="17"/>
        </w:rPr>
        <w:t xml:space="preserve">пос. Истра — 2 объявлений</w:t>
      </w:r>
    </w:p>
    <w:tbl>
      <w:tblPr>
        <w:tblW w:type="dxa" w:w="10106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00"/>
        <w:gridCol w:w="620"/>
        <w:gridCol w:w="700"/>
        <w:gridCol w:w="1000"/>
        <w:gridCol w:w="1100"/>
        <w:gridCol w:w="760"/>
        <w:gridCol w:w="560"/>
        <w:gridCol w:w="2866"/>
      </w:tblGrid>
      <w:tr>
        <w:trPr>
          <w:tblHeader/>
        </w:trPr>
        <w:tc>
          <w:tcPr>
            <w:tcW w:type="dxa" w:w="25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Адрес</w:t>
            </w:r>
          </w:p>
        </w:tc>
        <w:tc>
          <w:tcPr>
            <w:tcW w:type="dxa" w:w="62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Эт.</w:t>
            </w:r>
          </w:p>
        </w:tc>
        <w:tc>
          <w:tcPr>
            <w:tcW w:type="dxa" w:w="7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м²</w:t>
            </w:r>
          </w:p>
        </w:tc>
        <w:tc>
          <w:tcPr>
            <w:tcW w:type="dxa" w:w="10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₽/мес</w:t>
            </w:r>
          </w:p>
        </w:tc>
        <w:tc>
          <w:tcPr>
            <w:tcW w:type="dxa" w:w="110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₽/м²/год</w:t>
            </w:r>
          </w:p>
        </w:tc>
        <w:tc>
          <w:tcPr>
            <w:tcW w:type="dxa" w:w="7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Дней</w:t>
            </w:r>
          </w:p>
        </w:tc>
        <w:tc>
          <w:tcPr>
            <w:tcW w:type="dxa" w:w="560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км</w:t>
            </w:r>
          </w:p>
        </w:tc>
        <w:tc>
          <w:tcPr>
            <w:tcW w:type="dxa" w:w="2866"/>
            <w:tcBorders>
              <w:top w:val="single" w:color="1E1C19" w:sz="10"/>
              <w:bottom w:val="single" w:color="BCB4A8" w:sz="4"/>
            </w:tcBorders>
            <w:tcMar>
              <w:top w:type="dxa" w:w="40"/>
              <w:left w:type="dxa" w:w="62"/>
              <w:bottom w:type="dxa" w:w="26"/>
              <w:right w:type="dxa" w:w="62"/>
            </w:tcMar>
            <w:vAlign w:val="bottom"/>
          </w:tcPr>
          <w:p>
            <w:pPr>
              <w:keepNext/>
              <w:spacing w:after="0" w:line="210" w:lineRule="auto"/>
              <w:jc w:val="left"/>
            </w:pPr>
            <w:r>
              <w:rPr>
                <w:rFonts w:ascii="PT Sans" w:cs="PT Sans" w:eastAsia="PT Sans" w:hAnsi="PT Sans"/>
                <w:caps/>
                <w:color w:val="8C8479"/>
                <w:spacing w:val="12"/>
                <w:sz w:val="13"/>
                <w:szCs w:val="13"/>
              </w:rPr>
              <w:t xml:space="preserve">Объявление</w:t>
            </w:r>
          </w:p>
        </w:tc>
      </w:tr>
      <w:tr>
        <w:trPr>
          <w:cantSplit/>
        </w:trPr>
        <w:tc>
          <w:tcPr>
            <w:tcW w:type="dxa" w:w="25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25</w:t>
            </w:r>
          </w:p>
        </w:tc>
        <w:tc>
          <w:tcPr>
            <w:tcW w:type="dxa" w:w="62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40</w:t>
            </w:r>
          </w:p>
        </w:tc>
        <w:tc>
          <w:tcPr>
            <w:tcW w:type="dxa" w:w="10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150 000</w:t>
            </w:r>
          </w:p>
        </w:tc>
        <w:tc>
          <w:tcPr>
            <w:tcW w:type="dxa" w:w="110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45 000</w:t>
            </w:r>
          </w:p>
        </w:tc>
        <w:tc>
          <w:tcPr>
            <w:tcW w:type="dxa" w:w="7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25</w:t>
            </w:r>
          </w:p>
        </w:tc>
        <w:tc>
          <w:tcPr>
            <w:tcW w:type="dxa" w:w="560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5,8</w:t>
            </w:r>
          </w:p>
        </w:tc>
        <w:tc>
          <w:tcPr>
            <w:tcW w:type="dxa" w:w="2866"/>
            <w:tcBorders>
              <w:bottom w:val="single" w:color="E4DED4" w:sz="2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wkm_l4u0ttbksyl5hvbpx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333240022</w:t>
              </w:r>
            </w:hyperlink>
          </w:p>
        </w:tc>
      </w:tr>
      <w:tr>
        <w:trPr>
          <w:cantSplit/>
        </w:trPr>
        <w:tc>
          <w:tcPr>
            <w:tcW w:type="dxa" w:w="25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Лесная Сторожка, 13</w:t>
            </w:r>
          </w:p>
        </w:tc>
        <w:tc>
          <w:tcPr>
            <w:tcW w:type="dxa" w:w="62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1/1</w:t>
            </w:r>
          </w:p>
        </w:tc>
        <w:tc>
          <w:tcPr>
            <w:tcW w:type="dxa" w:w="7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100</w:t>
            </w:r>
          </w:p>
        </w:tc>
        <w:tc>
          <w:tcPr>
            <w:tcW w:type="dxa" w:w="10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490 000</w:t>
            </w:r>
          </w:p>
        </w:tc>
        <w:tc>
          <w:tcPr>
            <w:tcW w:type="dxa" w:w="110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/>
                <w:bCs/>
                <w:color w:val="1E1C19"/>
                <w:sz w:val="14"/>
                <w:szCs w:val="14"/>
              </w:rPr>
              <w:t xml:space="preserve">58 800</w:t>
            </w:r>
          </w:p>
        </w:tc>
        <w:tc>
          <w:tcPr>
            <w:tcW w:type="dxa" w:w="7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b w:val="false"/>
                <w:bCs w:val="false"/>
                <w:color w:val="1E1C19"/>
                <w:sz w:val="14"/>
                <w:szCs w:val="14"/>
              </w:rPr>
              <w:t xml:space="preserve">128</w:t>
            </w:r>
          </w:p>
        </w:tc>
        <w:tc>
          <w:tcPr>
            <w:tcW w:type="dxa" w:w="560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center"/>
            </w:pPr>
            <w:r>
              <w:rPr>
                <w:rFonts w:ascii="PT Sans" w:cs="PT Sans" w:eastAsia="PT Sans" w:hAnsi="PT Sans"/>
                <w:color w:val="1E1C19"/>
                <w:sz w:val="14"/>
                <w:szCs w:val="14"/>
              </w:rPr>
              <w:t xml:space="preserve">5,9</w:t>
            </w:r>
          </w:p>
        </w:tc>
        <w:tc>
          <w:tcPr>
            <w:tcW w:type="dxa" w:w="2866"/>
            <w:tcBorders>
              <w:bottom w:val="single" w:color="1E1C19" w:sz="10"/>
            </w:tcBorders>
            <w:tcMar>
              <w:top w:type="dxa" w:w="40"/>
              <w:left w:type="dxa" w:w="62"/>
              <w:bottom w:type="dxa" w:w="40"/>
              <w:right w:type="dxa" w:w="62"/>
            </w:tcMar>
            <w:vAlign w:val="center"/>
          </w:tcPr>
          <w:p>
            <w:pPr>
              <w:keepNext w:val="false"/>
              <w:spacing w:after="0" w:line="236" w:lineRule="auto"/>
              <w:jc w:val="left"/>
            </w:pPr>
            <w:hyperlink w:history="1" r:id="rId1a2e3whgtiuibfypm6lkc">
              <w:r>
                <w:rPr>
                  <w:rFonts w:ascii="PT Sans" w:cs="PT Sans" w:eastAsia="PT Sans" w:hAnsi="PT Sans"/>
                  <w:color w:val="30536F"/>
                  <w:sz w:val="14"/>
                  <w:szCs w:val="14"/>
                  <w:u w:val="single"/>
                </w:rPr>
                <w:t xml:space="preserve">ЦИАН 329962592</w:t>
              </w:r>
            </w:hyperlink>
          </w:p>
        </w:tc>
      </w:tr>
    </w:tbl>
    <w:p>
      <w:pPr>
        <w:spacing w:after="165" w:before="80"/>
        <w:ind w:right="520"/>
        <w:jc w:val="left"/>
      </w:pPr>
      <w:r>
        <w:rPr>
          <w:rFonts w:ascii="PT Sans Narrow" w:cs="PT Sans Narrow" w:eastAsia="PT Sans Narrow" w:hAnsi="PT Sans Narrow"/>
          <w:color w:val="6E6860"/>
          <w:sz w:val="15"/>
          <w:szCs w:val="15"/>
        </w:rPr>
        <w:t xml:space="preserve">Колонка «₽/мес» — сумма за месяц; где в карточке была ставка за метр, она приведена к сумме умножением на площадь. Из выборки исключены 5 лота: ЦИАН 332183406 (пос. Истра, нет площади); ЦИАН 331636078 (Архангельская, 17, цена 2 600 при 120 м² не читается ни как сумма за месяц, ни как ставка за метр); ЦИАН 333736664 (Бузланово, нет площади); ЦИАН 331541518 (Зеленая, 47, нет площади); ЦИАН 284370519 (Жуковка, цена 200 000 при 1000 м² не читается ни как сумма за месяц, ни как ставка за метр).</w:t>
      </w:r>
    </w:p>
    <w:sectPr>
      <w:headerReference w:type="default" r:id="rId13"/>
      <w:footerReference w:type="default" r:id="rId14"/>
      <w:pgSz w:w="11906" w:h="16838" w:orient="portrait"/>
      <w:pgMar w:top="102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sz w:val="2"/>
        <w:szCs w:val="2"/>
      </w:rP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PT Sans" w:cs="PT Sans" w:eastAsia="PT Sans" w:hAnsi="PT Sans"/>
        <w:color w:val="6E686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sz w:val="2"/>
        <w:szCs w:val="2"/>
      </w:rPr>
      <w:t xml:space="preserve"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4DED4" w:sz="2" w:space="8"/>
      </w:pBdr>
      <w:spacing w:after="0"/>
      <w:jc w:val="left"/>
    </w:pPr>
    <w:r>
      <w:rPr>
        <w:rFonts w:ascii="PT Sans" w:cs="PT Sans" w:eastAsia="PT Sans" w:hAnsi="PT Sans"/>
        <w:caps/>
        <w:color w:val="8C8479"/>
        <w:spacing w:val="20"/>
        <w:sz w:val="14"/>
        <w:szCs w:val="14"/>
      </w:rPr>
      <w:t xml:space="preserve">ТЦ «Амбар 1» · Ильинское · сентябрь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30" w:hanging="190"/>
      </w:pPr>
      <w:rPr>
        <w:rFonts w:ascii="PT Serif" w:cs="PT Serif" w:eastAsia="PT Serif" w:hAnsi="PT Serif"/>
        <w:color w:val="963F26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PT Sans" w:cs="PT Sans" w:eastAsia="PT Sans" w:hAnsi="PT Sans"/>
        <w:color w:val="963F26"/>
        <w:sz w:val="18"/>
        <w:szCs w:val="1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erif" w:cs="PT Serif" w:eastAsia="PT Serif" w:hAnsi="PT Serif"/>
        <w:color w:val="1E1C19"/>
        <w:sz w:val="21"/>
        <w:szCs w:val="21"/>
      </w:rPr>
    </w:rPrDefault>
    <w:pPrDefault>
      <w:pPr>
        <w:spacing w:after="100" w:line="262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50" w:before="0"/>
    </w:pPr>
    <w:rPr>
      <w:rFonts w:ascii="PT Serif" w:cs="PT Serif" w:eastAsia="PT Serif" w:hAnsi="PT Serif"/>
      <w:b/>
      <w:bCs/>
      <w:color w:val="1E1C19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10" w:before="300"/>
    </w:pPr>
    <w:rPr>
      <w:rFonts w:ascii="PT Serif" w:cs="PT Serif" w:eastAsia="PT Serif" w:hAnsi="PT Serif"/>
      <w:b/>
      <w:bCs/>
      <w:color w:val="23303A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230"/>
    </w:pPr>
    <w:rPr>
      <w:rFonts w:ascii="PT Sans" w:cs="PT Sans" w:eastAsia="PT Sans" w:hAnsi="PT Sans"/>
      <w:b/>
      <w:bCs/>
      <w:color w:val="963F26"/>
      <w:sz w:val="17"/>
      <w:szCs w:val="17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header" Target="header4.xml"/><Relationship Id="rId14" Type="http://schemas.openxmlformats.org/officeDocument/2006/relationships/footer" Target="footer4.xml"/><Relationship Id="rIdliez-im9eyybwx0jp6jkn" Type="http://schemas.openxmlformats.org/officeDocument/2006/relationships/hyperlink" Target="https://metrplus.com/commercial-projects/commercial-projects-rent/torgovaya-ploshchad-s-terrasoy-tts-ambar-1/" TargetMode="External"/><Relationship Id="rIdxutaehbad6yinkfqh8if-" Type="http://schemas.openxmlformats.org/officeDocument/2006/relationships/hyperlink" Target="https://metrplus.com/commercial-projects/commercial-projects-rent/torgovaya-ploshchad-39-6-m-tts-ambar-1/" TargetMode="External"/><Relationship Id="rId5vuefp05dkud5dycvpu5s" Type="http://schemas.openxmlformats.org/officeDocument/2006/relationships/hyperlink" Target="https://metrplus.com/commercial-projects/commercial-projects-rent/ofis-na-pervoy-linii-bts-ambar/" TargetMode="External"/><Relationship Id="rId0b3fu5q_hjjb9v7q1g6kz" Type="http://schemas.openxmlformats.org/officeDocument/2006/relationships/hyperlink" Target="https://metrplus.com/commercial-projects/commercial-projects-rent/torgovaya-ploshchad-s-terrasoy-tts-ambar-1/" TargetMode="External"/><Relationship Id="rIdepiuhvynmf7jo5jnjqsn5" Type="http://schemas.openxmlformats.org/officeDocument/2006/relationships/hyperlink" Target="https://metrplus.com/commercial-projects/commercial-projects-rent/torgovaya-ploshchad-39-6-m-tts-ambar-1/" TargetMode="External"/><Relationship Id="rIdcehfd6yzsojrzdlywx4jj" Type="http://schemas.openxmlformats.org/officeDocument/2006/relationships/hyperlink" Target="https://metrplus.com/commercial-projects/commercial-projects-rent/ofis-na-pervoy-linii-bts-ambar/" TargetMode="External"/><Relationship Id="rIdpbpgv7fwxjzycgomcxhlt" Type="http://schemas.openxmlformats.org/officeDocument/2006/relationships/hyperlink" Target="https://metrplus.com/commercial-projects/commercial-projects-rent/torgovaya-ploshchad-s-terrasoy-tts-ambar-1/" TargetMode="External"/><Relationship Id="rIdetuiilrxmhr9vbtol2wew" Type="http://schemas.openxmlformats.org/officeDocument/2006/relationships/hyperlink" Target="https://zvenigorod.cian.ru/rent/commercial/322849091/" TargetMode="External"/><Relationship Id="rIdeyze9hrpeqlhcydbbl-sv" Type="http://schemas.openxmlformats.org/officeDocument/2006/relationships/hyperlink" Target="https://krasnogorsk.cian.ru/rent/commercial/329788014/" TargetMode="External"/><Relationship Id="rIdcgyviewmpxmrrtit9_2gt" Type="http://schemas.openxmlformats.org/officeDocument/2006/relationships/hyperlink" Target="https://krasnogorsk.cian.ru/rent/commercial/329788329/" TargetMode="External"/><Relationship Id="rIdqpdkdm-w2abg8kqkymarj" Type="http://schemas.openxmlformats.org/officeDocument/2006/relationships/hyperlink" Target="https://krasnogorsk.cian.ru/rent/commercial/333311589/" TargetMode="External"/><Relationship Id="rIdhpntvnq-g8eab98zju7w1" Type="http://schemas.openxmlformats.org/officeDocument/2006/relationships/hyperlink" Target="https://metrplus.com/commercial-projects/commercial-projects-rent/ofis-na-pervoy-linii-bts-ambar/" TargetMode="External"/><Relationship Id="rIdjiimfkaovhk1emprqf3bc" Type="http://schemas.openxmlformats.org/officeDocument/2006/relationships/hyperlink" Target="https://krasnogorsk.cian.ru/rent/commercial/283508170/" TargetMode="External"/><Relationship Id="rIdvetk-uxi7mjt2eanv4rtm" Type="http://schemas.openxmlformats.org/officeDocument/2006/relationships/hyperlink" Target="https://krasnogorsk.cian.ru/rent/commercial/277458208/" TargetMode="External"/><Relationship Id="rId9zfom9awqlphxeftoh-dl" Type="http://schemas.openxmlformats.org/officeDocument/2006/relationships/hyperlink" Target="https://krasnogorsk.cian.ru/rent/commercial/290241753/" TargetMode="External"/><Relationship Id="rIdnv2nir0rwoyrl2yjgmchv" Type="http://schemas.openxmlformats.org/officeDocument/2006/relationships/hyperlink" Target="https://krasnogorsk.cian.ru/rent/commercial/331957732/" TargetMode="External"/><Relationship Id="rIdqu3tgn85dq1agpuvcmdt_" Type="http://schemas.openxmlformats.org/officeDocument/2006/relationships/hyperlink" Target="https://krasnogorsk.cian.ru/rent/commercial/329868661/" TargetMode="External"/><Relationship Id="rIdhwle6e5_-yvqakybaeuoh" Type="http://schemas.openxmlformats.org/officeDocument/2006/relationships/hyperlink" Target="https://krasnogorsk.cian.ru/rent/commercial/333822157/" TargetMode="External"/><Relationship Id="rIdbacld3koteergkvodcpf-" Type="http://schemas.openxmlformats.org/officeDocument/2006/relationships/hyperlink" Target="https://metrplus.com/commercial-projects/commercial-projects-rent/torgovaya-ploshchad-39-6-m-tts-ambar-1/" TargetMode="External"/><Relationship Id="rIdzstxe-ryxudhhobybfbgt" Type="http://schemas.openxmlformats.org/officeDocument/2006/relationships/hyperlink" Target="https://krasnogorsk.cian.ru/rent/commercial/327894962/" TargetMode="External"/><Relationship Id="rIdnwr6ydk0ej_b3pjuc1c7y" Type="http://schemas.openxmlformats.org/officeDocument/2006/relationships/hyperlink" Target="https://zvenigorod.cian.ru/rent/commercial/322849091/" TargetMode="External"/><Relationship Id="rIddmxapclrxfgi_tftvjnrn" Type="http://schemas.openxmlformats.org/officeDocument/2006/relationships/hyperlink" Target="https://zvenigorod.cian.ru/rent/commercial/322849091/" TargetMode="External"/><Relationship Id="rIdax1ajhtlhtf_7jy9njhqm" Type="http://schemas.openxmlformats.org/officeDocument/2006/relationships/hyperlink" Target="https://krasnogorsk.cian.ru/rent/commercial/331957732/" TargetMode="External"/><Relationship Id="rIdjse2jdga8tlpo9apn9ewl" Type="http://schemas.openxmlformats.org/officeDocument/2006/relationships/hyperlink" Target="https://zvenigorod.cian.ru/rent/commercial/322849091/" TargetMode="External"/><Relationship Id="rIdgqxxrd-7pq2ggtltgt39d" Type="http://schemas.openxmlformats.org/officeDocument/2006/relationships/hyperlink" Target="https://krasnogorsk.cian.ru/rent/commercial/325457201/" TargetMode="External"/><Relationship Id="rId3wtdm9n2nuqrag89szp04" Type="http://schemas.openxmlformats.org/officeDocument/2006/relationships/hyperlink" Target="https://krasnogorsk.cian.ru/rent/commercial/325457203/" TargetMode="External"/><Relationship Id="rIddahr3k_m9ncxgp5ahpq3w" Type="http://schemas.openxmlformats.org/officeDocument/2006/relationships/hyperlink" Target="https://krasnogorsk.cian.ru/rent/commercial/334096509/" TargetMode="External"/><Relationship Id="rIdvtobgic5k3ep68in-iiny" Type="http://schemas.openxmlformats.org/officeDocument/2006/relationships/hyperlink" Target="https://krasnogorsk.cian.ru/rent/commercial/329804298/" TargetMode="External"/><Relationship Id="rId1ovhy8w6veqz3j_brzwpx" Type="http://schemas.openxmlformats.org/officeDocument/2006/relationships/hyperlink" Target="https://krasnogorsk.cian.ru/rent/commercial/329803342/" TargetMode="External"/><Relationship Id="rIde-xmzu917aachapmdptqd" Type="http://schemas.openxmlformats.org/officeDocument/2006/relationships/hyperlink" Target="https://krasnogorsk.cian.ru/rent/commercial/326181813/" TargetMode="External"/><Relationship Id="rIdmlkxj9khqmfhbixy2ljth" Type="http://schemas.openxmlformats.org/officeDocument/2006/relationships/hyperlink" Target="https://krasnogorsk.cian.ru/rent/commercial/330684655/" TargetMode="External"/><Relationship Id="rIddaiy3lt8p2h0ycut-rpxf" Type="http://schemas.openxmlformats.org/officeDocument/2006/relationships/hyperlink" Target="https://krasnogorsk.cian.ru/rent/commercial/332688764/" TargetMode="External"/><Relationship Id="rIdsqgy5zjwuxd1nrrhfoa49" Type="http://schemas.openxmlformats.org/officeDocument/2006/relationships/hyperlink" Target="https://krasnogorsk.cian.ru/rent/commercial/334096625/" TargetMode="External"/><Relationship Id="rIduse82lst2ohhqzq1fmyr_" Type="http://schemas.openxmlformats.org/officeDocument/2006/relationships/hyperlink" Target="https://krasnogorsk.cian.ru/rent/commercial/334096839/" TargetMode="External"/><Relationship Id="rId6jpikvh_r7ezhzjzulvkz" Type="http://schemas.openxmlformats.org/officeDocument/2006/relationships/hyperlink" Target="https://krasnogorsk.cian.ru/rent/commercial/303876473/" TargetMode="External"/><Relationship Id="rIdlqeyktsxksh4e5l7gc07v" Type="http://schemas.openxmlformats.org/officeDocument/2006/relationships/hyperlink" Target="https://krasnogorsk.cian.ru/rent/commercial/330605809/" TargetMode="External"/><Relationship Id="rIdtw5bqaumwdcvpf7asoh2w" Type="http://schemas.openxmlformats.org/officeDocument/2006/relationships/hyperlink" Target="https://krasnogorsk.cian.ru/rent/commercial/333248259/" TargetMode="External"/><Relationship Id="rIdtv_sddykevfh7me2yi8l7" Type="http://schemas.openxmlformats.org/officeDocument/2006/relationships/hyperlink" Target="https://krasnogorsk.cian.ru/rent/commercial/331946855/" TargetMode="External"/><Relationship Id="rIdjry-iofn08hq4txvankfw" Type="http://schemas.openxmlformats.org/officeDocument/2006/relationships/hyperlink" Target="https://krasnogorsk.cian.ru/rent/commercial/320581965/" TargetMode="External"/><Relationship Id="rIdntgfr-gie178gcgx21ymj" Type="http://schemas.openxmlformats.org/officeDocument/2006/relationships/hyperlink" Target="https://krasnogorsk.cian.ru/rent/commercial/332681937/" TargetMode="External"/><Relationship Id="rIdulfby6bdoxgoo5p2lvuuj" Type="http://schemas.openxmlformats.org/officeDocument/2006/relationships/hyperlink" Target="https://krasnogorsk.cian.ru/rent/commercial/334096897/" TargetMode="External"/><Relationship Id="rIdpb6wydnbh8afg1tvcip-z" Type="http://schemas.openxmlformats.org/officeDocument/2006/relationships/hyperlink" Target="https://krasnogorsk.cian.ru/rent/commercial/333495746/" TargetMode="External"/><Relationship Id="rIdoqovxvzmbce0whznnzb2m" Type="http://schemas.openxmlformats.org/officeDocument/2006/relationships/hyperlink" Target="https://krasnogorsk.cian.ru/rent/commercial/333594237/" TargetMode="External"/><Relationship Id="rIdoyuvyoxhv6g0uxxhp5jlo" Type="http://schemas.openxmlformats.org/officeDocument/2006/relationships/hyperlink" Target="https://krasnogorsk.cian.ru/rent/commercial/329788014/" TargetMode="External"/><Relationship Id="rIdsgw5qvx7gifwntpa73fan" Type="http://schemas.openxmlformats.org/officeDocument/2006/relationships/hyperlink" Target="https://krasnogorsk.cian.ru/rent/commercial/329788329/" TargetMode="External"/><Relationship Id="rId_d3fusz1al_ugdfvr2use" Type="http://schemas.openxmlformats.org/officeDocument/2006/relationships/hyperlink" Target="https://krasnogorsk.cian.ru/rent/commercial/329787507/" TargetMode="External"/><Relationship Id="rIddsr4lzezfcgcjehyz717h" Type="http://schemas.openxmlformats.org/officeDocument/2006/relationships/hyperlink" Target="https://krasnogorsk.cian.ru/rent/commercial/333437804/" TargetMode="External"/><Relationship Id="rIddtywdoommiwhn-iadrtjn" Type="http://schemas.openxmlformats.org/officeDocument/2006/relationships/hyperlink" Target="https://krasnogorsk.cian.ru/rent/commercial/332310503/" TargetMode="External"/><Relationship Id="rIdti2n7x7tyg2joaprsmp4u" Type="http://schemas.openxmlformats.org/officeDocument/2006/relationships/hyperlink" Target="https://krasnogorsk.cian.ru/rent/commercial/328226996/" TargetMode="External"/><Relationship Id="rIduduqq0nham-9chhcreisr" Type="http://schemas.openxmlformats.org/officeDocument/2006/relationships/hyperlink" Target="https://krasnogorsk.cian.ru/rent/commercial/332681968/" TargetMode="External"/><Relationship Id="rId2jezg5s8yejjchkveasoz" Type="http://schemas.openxmlformats.org/officeDocument/2006/relationships/hyperlink" Target="https://krasnogorsk.cian.ru/rent/commercial/333616923/" TargetMode="External"/><Relationship Id="rId86k3qlz6qcx7hwe_tvic7" Type="http://schemas.openxmlformats.org/officeDocument/2006/relationships/hyperlink" Target="https://krasnogorsk.cian.ru/rent/commercial/333593299/" TargetMode="External"/><Relationship Id="rId0bklg9yb_owf-6irsflp5" Type="http://schemas.openxmlformats.org/officeDocument/2006/relationships/hyperlink" Target="https://krasnogorsk.cian.ru/rent/commercial/332604608/" TargetMode="External"/><Relationship Id="rIdmgiiklpztpxfj3kwe3wv2" Type="http://schemas.openxmlformats.org/officeDocument/2006/relationships/hyperlink" Target="https://krasnogorsk.cian.ru/rent/commercial/319821445/" TargetMode="External"/><Relationship Id="rIdtd_fxzuaceu5pt73afijb" Type="http://schemas.openxmlformats.org/officeDocument/2006/relationships/hyperlink" Target="https://krasnogorsk.cian.ru/rent/commercial/327252455/" TargetMode="External"/><Relationship Id="rId-0bqqnzqs27u6r-25ox63" Type="http://schemas.openxmlformats.org/officeDocument/2006/relationships/hyperlink" Target="https://krasnogorsk.cian.ru/rent/commercial/328211746/" TargetMode="External"/><Relationship Id="rIdbgsi1z-e-mqxlq5_3ymae" Type="http://schemas.openxmlformats.org/officeDocument/2006/relationships/hyperlink" Target="https://krasnogorsk.cian.ru/rent/commercial/332681922/" TargetMode="External"/><Relationship Id="rIdszaprnbaxagk2esm7ubvh" Type="http://schemas.openxmlformats.org/officeDocument/2006/relationships/hyperlink" Target="https://krasnogorsk.cian.ru/rent/commercial/332604619/" TargetMode="External"/><Relationship Id="rId9-gafgch5jpsgwynhf-qn" Type="http://schemas.openxmlformats.org/officeDocument/2006/relationships/hyperlink" Target="https://krasnogorsk.cian.ru/rent/commercial/328054792/" TargetMode="External"/><Relationship Id="rIdnkcbymro_a9p6wnv7rf-b" Type="http://schemas.openxmlformats.org/officeDocument/2006/relationships/hyperlink" Target="https://krasnogorsk.cian.ru/rent/commercial/331190255/" TargetMode="External"/><Relationship Id="rIdntbjbvvygigefzmjtn7ag" Type="http://schemas.openxmlformats.org/officeDocument/2006/relationships/hyperlink" Target="https://krasnogorsk.cian.ru/rent/commercial/332604660/" TargetMode="External"/><Relationship Id="rId6by7tcqgy5odxxuuyyyqs" Type="http://schemas.openxmlformats.org/officeDocument/2006/relationships/hyperlink" Target="https://krasnogorsk.cian.ru/rent/commercial/331968103/" TargetMode="External"/><Relationship Id="rIdh8rowrcv6zn98ngcays96" Type="http://schemas.openxmlformats.org/officeDocument/2006/relationships/hyperlink" Target="https://krasnogorsk.cian.ru/rent/commercial/332623732/" TargetMode="External"/><Relationship Id="rIdir2ny5jcvtjwbyn6qliju" Type="http://schemas.openxmlformats.org/officeDocument/2006/relationships/hyperlink" Target="https://krasnogorsk.cian.ru/rent/commercial/331968259/" TargetMode="External"/><Relationship Id="rIdamh0ikj7jfu6uah1xtyft" Type="http://schemas.openxmlformats.org/officeDocument/2006/relationships/hyperlink" Target="https://krasnogorsk.cian.ru/rent/commercial/331968354/" TargetMode="External"/><Relationship Id="rIdc6_kk2q3y5xgftt-wax2b" Type="http://schemas.openxmlformats.org/officeDocument/2006/relationships/hyperlink" Target="https://krasnogorsk.cian.ru/rent/commercial/329026279/" TargetMode="External"/><Relationship Id="rId11ssrh8ii4djlqre3zcsk" Type="http://schemas.openxmlformats.org/officeDocument/2006/relationships/hyperlink" Target="https://krasnogorsk.cian.ru/rent/commercial/333942109/" TargetMode="External"/><Relationship Id="rIdnhp0wrfa50dlgl4gh8lp7" Type="http://schemas.openxmlformats.org/officeDocument/2006/relationships/hyperlink" Target="https://krasnogorsk.cian.ru/rent/commercial/331968329/" TargetMode="External"/><Relationship Id="rIdldsrpq-uwnuuebsochyub" Type="http://schemas.openxmlformats.org/officeDocument/2006/relationships/hyperlink" Target="https://krasnogorsk.cian.ru/rent/commercial/324834779/" TargetMode="External"/><Relationship Id="rIdvagvdbz6w_mvstt7f0ham" Type="http://schemas.openxmlformats.org/officeDocument/2006/relationships/hyperlink" Target="https://krasnogorsk.cian.ru/rent/commercial/326463844/" TargetMode="External"/><Relationship Id="rIdv1sv0otcjguaubktfdl_t" Type="http://schemas.openxmlformats.org/officeDocument/2006/relationships/hyperlink" Target="https://krasnogorsk.cian.ru/rent/commercial/332867946/" TargetMode="External"/><Relationship Id="rId7klq2vxjmlvr7lmekesxy" Type="http://schemas.openxmlformats.org/officeDocument/2006/relationships/hyperlink" Target="https://krasnogorsk.cian.ru/rent/commercial/333942092/" TargetMode="External"/><Relationship Id="rIdtorv53rksxng25tops07v" Type="http://schemas.openxmlformats.org/officeDocument/2006/relationships/hyperlink" Target="https://krasnogorsk.cian.ru/rent/commercial/332867937/" TargetMode="External"/><Relationship Id="rIdgm4m-1yefdtiuq-us7obf" Type="http://schemas.openxmlformats.org/officeDocument/2006/relationships/hyperlink" Target="https://krasnogorsk.cian.ru/rent/commercial/332867952/" TargetMode="External"/><Relationship Id="rIdkjg9xjehvlc4d9hj4maoq" Type="http://schemas.openxmlformats.org/officeDocument/2006/relationships/hyperlink" Target="https://krasnogorsk.cian.ru/rent/commercial/333943686/" TargetMode="External"/><Relationship Id="rIdzvdghjxbvhizzat2s0a-t" Type="http://schemas.openxmlformats.org/officeDocument/2006/relationships/hyperlink" Target="https://krasnogorsk.cian.ru/rent/commercial/333670293/" TargetMode="External"/><Relationship Id="rIdutpln4mcifbo6swi1tcjo" Type="http://schemas.openxmlformats.org/officeDocument/2006/relationships/hyperlink" Target="https://krasnogorsk.cian.ru/rent/commercial/333953929/" TargetMode="External"/><Relationship Id="rIdurc18gh-_rf1m-dvkclo8" Type="http://schemas.openxmlformats.org/officeDocument/2006/relationships/hyperlink" Target="https://krasnogorsk.cian.ru/rent/commercial/333953928/" TargetMode="External"/><Relationship Id="rIdwtl0umllfgcwkpnd_gomm" Type="http://schemas.openxmlformats.org/officeDocument/2006/relationships/hyperlink" Target="https://krasnogorsk.cian.ru/rent/commercial/333953930/" TargetMode="External"/><Relationship Id="rId7p47witvbwbwjdswboybg" Type="http://schemas.openxmlformats.org/officeDocument/2006/relationships/hyperlink" Target="https://krasnogorsk.cian.ru/rent/commercial/328135352/" TargetMode="External"/><Relationship Id="rId8tnrygg1c2aumhytcrckn" Type="http://schemas.openxmlformats.org/officeDocument/2006/relationships/hyperlink" Target="https://krasnogorsk.cian.ru/rent/commercial/319810794/" TargetMode="External"/><Relationship Id="rIdp4irf6xddqwyx5p_qsong" Type="http://schemas.openxmlformats.org/officeDocument/2006/relationships/hyperlink" Target="https://krasnogorsk.cian.ru/rent/commercial/327319387/" TargetMode="External"/><Relationship Id="rIdcerj3xom_undfykd_k7aa" Type="http://schemas.openxmlformats.org/officeDocument/2006/relationships/hyperlink" Target="https://krasnogorsk.cian.ru/rent/commercial/324728283/" TargetMode="External"/><Relationship Id="rIdanrbz3i-_4wq1uficwydo" Type="http://schemas.openxmlformats.org/officeDocument/2006/relationships/hyperlink" Target="https://krasnogorsk.cian.ru/rent/commercial/315802301/" TargetMode="External"/><Relationship Id="rId3nx4j5gcyzw8e3dd-xx4e" Type="http://schemas.openxmlformats.org/officeDocument/2006/relationships/hyperlink" Target="https://krasnogorsk.cian.ru/rent/commercial/327319385/" TargetMode="External"/><Relationship Id="rIdhzfkiyqmcv0g-4nnkrdym" Type="http://schemas.openxmlformats.org/officeDocument/2006/relationships/hyperlink" Target="https://krasnogorsk.cian.ru/rent/commercial/333084996/" TargetMode="External"/><Relationship Id="rIdkbes-nzvbvknsosdmvw7u" Type="http://schemas.openxmlformats.org/officeDocument/2006/relationships/hyperlink" Target="https://krasnogorsk.cian.ru/rent/commercial/327319412/" TargetMode="External"/><Relationship Id="rIde_gla8qs9l5o18bavc2oj" Type="http://schemas.openxmlformats.org/officeDocument/2006/relationships/hyperlink" Target="https://krasnogorsk.cian.ru/rent/commercial/328207266/" TargetMode="External"/><Relationship Id="rIdm7fjz6eaiuzw1ae2desah" Type="http://schemas.openxmlformats.org/officeDocument/2006/relationships/hyperlink" Target="https://krasnogorsk.cian.ru/rent/commercial/332411093/" TargetMode="External"/><Relationship Id="rIdkbytyohsbt_7ijjcez44g" Type="http://schemas.openxmlformats.org/officeDocument/2006/relationships/hyperlink" Target="https://krasnogorsk.cian.ru/rent/commercial/333276228/" TargetMode="External"/><Relationship Id="rIdwmgm35rf9b-r2giqvfsnt" Type="http://schemas.openxmlformats.org/officeDocument/2006/relationships/hyperlink" Target="https://krasnogorsk.cian.ru/rent/commercial/333546762/" TargetMode="External"/><Relationship Id="rIdrplh2w5febpknexm-ibua" Type="http://schemas.openxmlformats.org/officeDocument/2006/relationships/hyperlink" Target="https://krasnogorsk.cian.ru/rent/commercial/333350445/" TargetMode="External"/><Relationship Id="rId0mxuovqvjqav7v8g5gsdn" Type="http://schemas.openxmlformats.org/officeDocument/2006/relationships/hyperlink" Target="https://krasnogorsk.cian.ru/rent/commercial/332411100/" TargetMode="External"/><Relationship Id="rIdobegho6gghpmr2u1_spc8" Type="http://schemas.openxmlformats.org/officeDocument/2006/relationships/hyperlink" Target="https://krasnogorsk.cian.ru/rent/commercial/331786589/" TargetMode="External"/><Relationship Id="rId6hoif3_bjlfzisto7pnos" Type="http://schemas.openxmlformats.org/officeDocument/2006/relationships/hyperlink" Target="https://krasnogorsk.cian.ru/rent/commercial/284412431/" TargetMode="External"/><Relationship Id="rIddf2w3wntkpbl3hvadhnnw" Type="http://schemas.openxmlformats.org/officeDocument/2006/relationships/hyperlink" Target="https://krasnogorsk.cian.ru/rent/commercial/325682607/" TargetMode="External"/><Relationship Id="rIdimyyv5_ke6kysyksaorfj" Type="http://schemas.openxmlformats.org/officeDocument/2006/relationships/hyperlink" Target="https://krasnogorsk.cian.ru/rent/commercial/327319350/" TargetMode="External"/><Relationship Id="rIdapu55vzsmjtgqord7bir3" Type="http://schemas.openxmlformats.org/officeDocument/2006/relationships/hyperlink" Target="https://krasnogorsk.cian.ru/rent/commercial/332934081/" TargetMode="External"/><Relationship Id="rIdhfb52x7lpx_wjxgpc9jq9" Type="http://schemas.openxmlformats.org/officeDocument/2006/relationships/hyperlink" Target="https://krasnogorsk.cian.ru/rent/commercial/325069017/" TargetMode="External"/><Relationship Id="rIddu8qdddrp6vpmg_okm_g3" Type="http://schemas.openxmlformats.org/officeDocument/2006/relationships/hyperlink" Target="https://krasnogorsk.cian.ru/rent/commercial/332934083/" TargetMode="External"/><Relationship Id="rIdqcpqzg-egigz8__8uv1pk" Type="http://schemas.openxmlformats.org/officeDocument/2006/relationships/hyperlink" Target="https://krasnogorsk.cian.ru/rent/commercial/283508170/" TargetMode="External"/><Relationship Id="rId6u1bg99lrj5txqzv6ixot" Type="http://schemas.openxmlformats.org/officeDocument/2006/relationships/hyperlink" Target="https://krasnogorsk.cian.ru/rent/commercial/333809670/" TargetMode="External"/><Relationship Id="rId9wory9dbu3f1_-bpjt8zb" Type="http://schemas.openxmlformats.org/officeDocument/2006/relationships/hyperlink" Target="https://krasnogorsk.cian.ru/rent/commercial/333960746/" TargetMode="External"/><Relationship Id="rIdwoabpw2d0lwsnxjt_okbf" Type="http://schemas.openxmlformats.org/officeDocument/2006/relationships/hyperlink" Target="https://krasnogorsk.cian.ru/rent/commercial/333961008/" TargetMode="External"/><Relationship Id="rIdh9xvtoqe2gp8k-pkp43jo" Type="http://schemas.openxmlformats.org/officeDocument/2006/relationships/hyperlink" Target="https://krasnogorsk.cian.ru/rent/commercial/333940025/" TargetMode="External"/><Relationship Id="rIdsv13ucaordo-d_y9r0o8q" Type="http://schemas.openxmlformats.org/officeDocument/2006/relationships/hyperlink" Target="https://krasnogorsk.cian.ru/rent/commercial/315411685/" TargetMode="External"/><Relationship Id="rIdjh-bk5pg4xy2sa2xwbhkl" Type="http://schemas.openxmlformats.org/officeDocument/2006/relationships/hyperlink" Target="https://krasnogorsk.cian.ru/rent/commercial/320553651/" TargetMode="External"/><Relationship Id="rIdpj6jqqatv4_albr0tciop" Type="http://schemas.openxmlformats.org/officeDocument/2006/relationships/hyperlink" Target="https://krasnogorsk.cian.ru/rent/commercial/332447122/" TargetMode="External"/><Relationship Id="rIdhjtmxryiju1xopdowvhvz" Type="http://schemas.openxmlformats.org/officeDocument/2006/relationships/hyperlink" Target="https://krasnogorsk.cian.ru/rent/commercial/333983497/" TargetMode="External"/><Relationship Id="rIdnqzxpnicg-ojaq2syxoc_" Type="http://schemas.openxmlformats.org/officeDocument/2006/relationships/hyperlink" Target="https://krasnogorsk.cian.ru/rent/commercial/331344662/" TargetMode="External"/><Relationship Id="rIdxjhzm9bsnzxhjtvafgfrv" Type="http://schemas.openxmlformats.org/officeDocument/2006/relationships/hyperlink" Target="https://krasnogorsk.cian.ru/rent/commercial/332816556/" TargetMode="External"/><Relationship Id="rIddfrsvws60150clsaubdeu" Type="http://schemas.openxmlformats.org/officeDocument/2006/relationships/hyperlink" Target="https://krasnogorsk.cian.ru/rent/commercial/331865747/" TargetMode="External"/><Relationship Id="rIdkmyb5dcitdn4t5mo8290n" Type="http://schemas.openxmlformats.org/officeDocument/2006/relationships/hyperlink" Target="https://krasnogorsk.cian.ru/rent/commercial/332816562/" TargetMode="External"/><Relationship Id="rIdom7ufyrn1me8jtpkvu20m" Type="http://schemas.openxmlformats.org/officeDocument/2006/relationships/hyperlink" Target="https://krasnogorsk.cian.ru/rent/commercial/332447123/" TargetMode="External"/><Relationship Id="rIdyxnjqznbudkyskqthd_te" Type="http://schemas.openxmlformats.org/officeDocument/2006/relationships/hyperlink" Target="https://krasnogorsk.cian.ru/rent/commercial/331865748/" TargetMode="External"/><Relationship Id="rIdmq2frygfrnyk7hrgdpyaj" Type="http://schemas.openxmlformats.org/officeDocument/2006/relationships/hyperlink" Target="https://krasnogorsk.cian.ru/rent/commercial/333043114/" TargetMode="External"/><Relationship Id="rIdvovgy8gnyqsyyz0emlwzm" Type="http://schemas.openxmlformats.org/officeDocument/2006/relationships/hyperlink" Target="https://krasnogorsk.cian.ru/rent/commercial/332447124/" TargetMode="External"/><Relationship Id="rIdyu_hly_t2lp-tivrdhvp-" Type="http://schemas.openxmlformats.org/officeDocument/2006/relationships/hyperlink" Target="https://krasnogorsk.cian.ru/rent/commercial/313072137/" TargetMode="External"/><Relationship Id="rIdgo7qpyv_pd7stpg2xxoln" Type="http://schemas.openxmlformats.org/officeDocument/2006/relationships/hyperlink" Target="https://krasnogorsk.cian.ru/rent/commercial/325457202/" TargetMode="External"/><Relationship Id="rIdug6iyjagirdddm9l0waed" Type="http://schemas.openxmlformats.org/officeDocument/2006/relationships/hyperlink" Target="https://krasnogorsk.cian.ru/rent/commercial/333311589/" TargetMode="External"/><Relationship Id="rId5kyczxpltncdqft3dobxv" Type="http://schemas.openxmlformats.org/officeDocument/2006/relationships/hyperlink" Target="https://krasnogorsk.cian.ru/rent/commercial/325457203/" TargetMode="External"/><Relationship Id="rIdkz94looddaomknzztanxv" Type="http://schemas.openxmlformats.org/officeDocument/2006/relationships/hyperlink" Target="https://krasnogorsk.cian.ru/rent/commercial/333731876/" TargetMode="External"/><Relationship Id="rIdiohsoeis_te4g-il85tpx" Type="http://schemas.openxmlformats.org/officeDocument/2006/relationships/hyperlink" Target="https://krasnogorsk.cian.ru/rent/commercial/277458208/" TargetMode="External"/><Relationship Id="rId73ep3qplyyxxgmyiytppq" Type="http://schemas.openxmlformats.org/officeDocument/2006/relationships/hyperlink" Target="https://krasnogorsk.cian.ru/rent/commercial/290241753/" TargetMode="External"/><Relationship Id="rIdnr-78au30lyvyeezk9ww1" Type="http://schemas.openxmlformats.org/officeDocument/2006/relationships/hyperlink" Target="https://krasnogorsk.cian.ru/rent/commercial/325457201/" TargetMode="External"/><Relationship Id="rIdanlnvs0t32jwlzkwkmn7y" Type="http://schemas.openxmlformats.org/officeDocument/2006/relationships/hyperlink" Target="https://krasnogorsk.cian.ru/rent/commercial/331957732/" TargetMode="External"/><Relationship Id="rIdq26uaqbrtus8epecdvoeg" Type="http://schemas.openxmlformats.org/officeDocument/2006/relationships/hyperlink" Target="https://krasnogorsk.cian.ru/rent/commercial/329868661/" TargetMode="External"/><Relationship Id="rIdhtgik9u009b9bermnukdp" Type="http://schemas.openxmlformats.org/officeDocument/2006/relationships/hyperlink" Target="https://krasnogorsk.cian.ru/rent/commercial/333822157/" TargetMode="External"/><Relationship Id="rIdutb8e1zl1th94vh6gtjry" Type="http://schemas.openxmlformats.org/officeDocument/2006/relationships/hyperlink" Target="https://krasnogorsk.cian.ru/rent/commercial/327894962/" TargetMode="External"/><Relationship Id="rId1siennx3l8azqqdglout7" Type="http://schemas.openxmlformats.org/officeDocument/2006/relationships/hyperlink" Target="https://krasnogorsk.cian.ru/rent/commercial/331507639/" TargetMode="External"/><Relationship Id="rId8jamsrfbmovqe5h2_ok77" Type="http://schemas.openxmlformats.org/officeDocument/2006/relationships/hyperlink" Target="https://zvenigorod.cian.ru/rent/commercial/333543801/" TargetMode="External"/><Relationship Id="rIdjqbbsywqy1voqs0jg7bd0" Type="http://schemas.openxmlformats.org/officeDocument/2006/relationships/hyperlink" Target="https://zvenigorod.cian.ru/rent/commercial/333543808/" TargetMode="External"/><Relationship Id="rIdpx-ntqbauegphvgjof0wm" Type="http://schemas.openxmlformats.org/officeDocument/2006/relationships/hyperlink" Target="https://zvenigorod.cian.ru/rent/commercial/314353642/" TargetMode="External"/><Relationship Id="rIdiqqchhsgeaidpwz1yupwp" Type="http://schemas.openxmlformats.org/officeDocument/2006/relationships/hyperlink" Target="https://zvenigorod.cian.ru/rent/commercial/333543804/" TargetMode="External"/><Relationship Id="rIdd2u_tssai4dwdb-97gzve" Type="http://schemas.openxmlformats.org/officeDocument/2006/relationships/hyperlink" Target="https://zvenigorod.cian.ru/rent/commercial/332276656/" TargetMode="External"/><Relationship Id="rId6c4y9u6oltpyi81amcd7o" Type="http://schemas.openxmlformats.org/officeDocument/2006/relationships/hyperlink" Target="https://zvenigorod.cian.ru/rent/commercial/332954310/" TargetMode="External"/><Relationship Id="rIdxbnlfp0rwk2ty-etmyzqh" Type="http://schemas.openxmlformats.org/officeDocument/2006/relationships/hyperlink" Target="https://zvenigorod.cian.ru/rent/commercial/332954531/" TargetMode="External"/><Relationship Id="rIdzbl2kkjjto68tnuq3jqwz" Type="http://schemas.openxmlformats.org/officeDocument/2006/relationships/hyperlink" Target="https://zvenigorod.cian.ru/rent/commercial/332954861/" TargetMode="External"/><Relationship Id="rIdjn56fruvkihh5nx_zmbjc" Type="http://schemas.openxmlformats.org/officeDocument/2006/relationships/hyperlink" Target="https://zvenigorod.cian.ru/rent/commercial/333568687/" TargetMode="External"/><Relationship Id="rIdbrtvfyvf0iejbtmo5lgbn" Type="http://schemas.openxmlformats.org/officeDocument/2006/relationships/hyperlink" Target="https://zvenigorod.cian.ru/rent/commercial/330575706/" TargetMode="External"/><Relationship Id="rIdzayd5x5lkpafi8ww5-lkk" Type="http://schemas.openxmlformats.org/officeDocument/2006/relationships/hyperlink" Target="https://zvenigorod.cian.ru/rent/commercial/331164405/" TargetMode="External"/><Relationship Id="rIdsv3uzogefjvrknsg19yyu" Type="http://schemas.openxmlformats.org/officeDocument/2006/relationships/hyperlink" Target="https://krasnogorsk.cian.ru/rent/commercial/333708487/" TargetMode="External"/><Relationship Id="rId2a1jrglxsjttiywnw-zk0" Type="http://schemas.openxmlformats.org/officeDocument/2006/relationships/hyperlink" Target="https://krasnogorsk.cian.ru/rent/commercial/333083003/" TargetMode="External"/><Relationship Id="rIdr8cffx_umh9ylgf3rnhj-" Type="http://schemas.openxmlformats.org/officeDocument/2006/relationships/hyperlink" Target="https://krasnogorsk.cian.ru/rent/commercial/333685077/" TargetMode="External"/><Relationship Id="rIdmvoc0rq8z64zmqq46gfbw" Type="http://schemas.openxmlformats.org/officeDocument/2006/relationships/hyperlink" Target="https://krasnogorsk.cian.ru/rent/commercial/333560586/" TargetMode="External"/><Relationship Id="rIdav6dwmo-hi_mbxgcra8js" Type="http://schemas.openxmlformats.org/officeDocument/2006/relationships/hyperlink" Target="https://krasnogorsk.cian.ru/rent/commercial/333341406/" TargetMode="External"/><Relationship Id="rIdsgxffdfvp0c64xpsmnhlc" Type="http://schemas.openxmlformats.org/officeDocument/2006/relationships/hyperlink" Target="https://zvenigorod.cian.ru/rent/commercial/322849091/" TargetMode="External"/><Relationship Id="rIdwujq9ldqi0leutfawy0lg" Type="http://schemas.openxmlformats.org/officeDocument/2006/relationships/hyperlink" Target="https://zvenigorod.cian.ru/rent/commercial/321164596/" TargetMode="External"/><Relationship Id="rIdj1qptryx8k_1aaw6mnl_z" Type="http://schemas.openxmlformats.org/officeDocument/2006/relationships/hyperlink" Target="https://zvenigorod.cian.ru/rent/commercial/333014437/" TargetMode="External"/><Relationship Id="rIdwkm_l4u0ttbksyl5hvbpx" Type="http://schemas.openxmlformats.org/officeDocument/2006/relationships/hyperlink" Target="https://krasnogorsk.cian.ru/rent/commercial/333240022/" TargetMode="External"/><Relationship Id="rId1a2e3whgtiuibfypm6lkc" Type="http://schemas.openxmlformats.org/officeDocument/2006/relationships/hyperlink" Target="https://krasnogorsk.cian.ru/rent/commercial/329962592/" TargetMode="External"/><Relationship Id="rId15" Type="http://schemas.openxmlformats.org/officeDocument/2006/relationships/image" Target="media/25b94efc932158f7047a81e233d3c956b6cf2505.jpg"/><Relationship Id="rId16" Type="http://schemas.openxmlformats.org/officeDocument/2006/relationships/image" Target="media/efbad375f9c174320035dcac7fd8c5bd27000339.jpg"/><Relationship Id="rId17" Type="http://schemas.openxmlformats.org/officeDocument/2006/relationships/image" Target="media/0837aa9f4b5b519dc0fee48f6f2c3683d9ff65ca.jpg"/><Relationship Id="rId18" Type="http://schemas.openxmlformats.org/officeDocument/2006/relationships/image" Target="media/245df0ca5f36b7bd1a29de34241af8252554f69b.jpg"/><Relationship Id="rId19" Type="http://schemas.openxmlformats.org/officeDocument/2006/relationships/image" Target="media/f873ea74cc309c7ad8ff7b3942b68550b1957933.jpg"/><Relationship Id="rId20" Type="http://schemas.openxmlformats.org/officeDocument/2006/relationships/image" Target="media/9ffc53e0669a7d395937d555a199937439e39377.jpg"/><Relationship Id="rId21" Type="http://schemas.openxmlformats.org/officeDocument/2006/relationships/image" Target="media/8e3c778d7204590d89dff0ab02f4aa3478f3ddd5.jpg"/><Relationship Id="rId22" Type="http://schemas.openxmlformats.org/officeDocument/2006/relationships/image" Target="media/355d3b0359b78f479af0e84f255f064cad2ed8a4.jpg"/><Relationship Id="rId23" Type="http://schemas.openxmlformats.org/officeDocument/2006/relationships/image" Target="media/8a6e57fed472de0f5216b29a8a0c0e247a4a8e5a.jpg"/><Relationship Id="rId24" Type="http://schemas.openxmlformats.org/officeDocument/2006/relationships/image" Target="media/2ffa93ffb2c03a826d5fb6df29052872b652c103.jpg"/><Relationship Id="rId25" Type="http://schemas.openxmlformats.org/officeDocument/2006/relationships/image" Target="media/a6b302f5ce2c5990b56d6dd84e6de591d0f66f09.jpg"/><Relationship Id="rId26" Type="http://schemas.openxmlformats.org/officeDocument/2006/relationships/image" Target="media/f81331718b8b3ce9d7dda02f57cb0529a1e19f95.jpg"/><Relationship Id="rId27" Type="http://schemas.openxmlformats.org/officeDocument/2006/relationships/image" Target="media/5d7ba845e56b195b73ebdbb0edeaa33741a136bb.png"/><Relationship Id="rId28" Type="http://schemas.openxmlformats.org/officeDocument/2006/relationships/image" Target="media/8d383bb36759a1922f986dac3b3494f26c447b8f.png"/><Relationship Id="rId29" Type="http://schemas.openxmlformats.org/officeDocument/2006/relationships/image" Target="media/521ffd4256ec312ee571235a5ed6de9ab12cff8a.png"/><Relationship Id="rId30" Type="http://schemas.openxmlformats.org/officeDocument/2006/relationships/image" Target="media/2076b6fa6e459425a5f225678b0cd484be65a11f.jpg"/><Relationship Id="rId31" Type="http://schemas.openxmlformats.org/officeDocument/2006/relationships/image" Target="media/f3465b31f086467c13f1812b3d84e074d5112547.png"/><Relationship Id="rId32" Type="http://schemas.openxmlformats.org/officeDocument/2006/relationships/image" Target="media/a9686414f1192877364e167cf6548e41c7b9ea7a.png"/><Relationship Id="rId33" Type="http://schemas.openxmlformats.org/officeDocument/2006/relationships/image" Target="media/16bcc65bf4b82d0df408dff6533d8566f4367612.png"/><Relationship Id="rId34" Type="http://schemas.openxmlformats.org/officeDocument/2006/relationships/image" Target="media/a65af8f1d25b1fe1605f6436acef51bec03f1e4d.jpg"/><Relationship Id="rId35" Type="http://schemas.openxmlformats.org/officeDocument/2006/relationships/image" Target="media/91c6d2ce6079c26cc3e414e7765502b5e4afd724.jpg"/><Relationship Id="rId36" Type="http://schemas.openxmlformats.org/officeDocument/2006/relationships/image" Target="media/34b79580aba359b31c56e42d3fe4ecec09cc881d.jpg"/><Relationship Id="rId37" Type="http://schemas.openxmlformats.org/officeDocument/2006/relationships/image" Target="media/6e78aff61d00fa4f79c3500961b86e1c2a05033b.jpg"/><Relationship Id="rId38" Type="http://schemas.openxmlformats.org/officeDocument/2006/relationships/image" Target="media/2125f383a1e4a10ce2da4ff0fad9e55e52237734.png"/><Relationship Id="rId19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word/_rels/header4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ТЦ «Амбар 1» — исследование вакантных помещений</dc:title>
  <dc:creator>Аналитика коммерческой недвижимости</dc:creator>
  <dc:description>Диагностика вакансии, бенчмарк ставок, локационный анализ, тир-лист арендаторов</dc:description>
  <cp:lastModifiedBy>Un-named</cp:lastModifiedBy>
  <cp:revision>1</cp:revision>
  <dcterms:created xsi:type="dcterms:W3CDTF">2026-09-21T14:41:41.921Z</dcterms:created>
  <dcterms:modified xsi:type="dcterms:W3CDTF">2026-09-21T14:41:41.922Z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