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9" w:lineRule="auto"/>
        <w:jc w:val="left"/>
      </w:pPr>
    </w:p>
    <w:p>
      <w:pPr>
        <w:spacing w:before="0" w:after="0" w:line="269" w:lineRule="auto"/>
        <w:jc w:val="left"/>
      </w:pPr>
    </w:p>
    <w:p>
      <w:pPr>
        <w:spacing w:before="0" w:after="40" w:line="269" w:lineRule="auto"/>
        <w:jc w:val="left"/>
      </w:pPr>
      <w:r>
        <w:rPr>
          <w:rFonts w:ascii="Calibri" w:hAnsi="Calibri" w:cs="Calibri"/>
          <w:b/>
          <w:i w:val="0"/>
          <w:color w:val="6B7785"/>
          <w:sz w:val="22"/>
          <w:spacing w:val="60"/>
        </w:rPr>
        <w:t>ЕЖЕНЕДЕЛЬНАЯ АНАЛИТИКА</w:t>
      </w:r>
    </w:p>
    <w:p>
      <w:pPr>
        <w:spacing w:before="0" w:after="40" w:line="269" w:lineRule="auto"/>
        <w:jc w:val="left"/>
      </w:pPr>
      <w:r>
        <w:rPr>
          <w:rFonts w:ascii="Calibri" w:hAnsi="Calibri" w:cs="Calibri"/>
          <w:b/>
          <w:i w:val="0"/>
          <w:color w:val="1F3A5F"/>
          <w:sz w:val="60"/>
        </w:rPr>
        <w:t>Рынок недвижимости</w:t>
      </w:r>
    </w:p>
    <w:p>
      <w:pPr>
        <w:spacing w:before="0" w:after="200" w:line="269" w:lineRule="auto"/>
        <w:jc w:val="left"/>
      </w:pPr>
      <w:r>
        <w:rPr>
          <w:rFonts w:ascii="Calibri" w:hAnsi="Calibri" w:cs="Calibri"/>
          <w:b/>
          <w:i w:val="0"/>
          <w:color w:val="1F3A5F"/>
          <w:sz w:val="60"/>
        </w:rPr>
        <w:t>Нидерландов</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3324"/>
        <w:gridCol w:w="3324"/>
        <w:gridCol w:w="3324"/>
      </w:tblGrid>
      <w:tr>
        <w:tc>
          <w:tcPr>
            <w:tcW w:type="dxa" w:w="3175"/>
            <w:shd w:val="clear" w:color="auto" w:fill="16846F"/>
          </w:tcPr>
          <w:p>
            <w:pPr>
              <w:spacing w:after="0"/>
            </w:pPr>
            <w:r>
              <w:rPr>
                <w:sz w:val="6"/>
              </w:rPr>
              <w:t xml:space="preserve"> </w:t>
            </w:r>
          </w:p>
        </w:tc>
        <w:tc>
          <w:tcPr>
            <w:tcW w:type="dxa" w:w="3175"/>
            <w:shd w:val="clear" w:color="auto" w:fill="C0791C"/>
          </w:tcPr>
          <w:p>
            <w:pPr>
              <w:spacing w:after="0"/>
            </w:pPr>
            <w:r>
              <w:rPr>
                <w:sz w:val="6"/>
              </w:rPr>
              <w:t xml:space="preserve"> </w:t>
            </w:r>
          </w:p>
        </w:tc>
        <w:tc>
          <w:tcPr>
            <w:tcW w:type="dxa" w:w="3175"/>
            <w:shd w:val="clear" w:color="auto" w:fill="2C5F8A"/>
          </w:tcPr>
          <w:p>
            <w:pPr>
              <w:spacing w:after="0"/>
            </w:pPr>
            <w:r>
              <w:rPr>
                <w:sz w:val="6"/>
              </w:rPr>
              <w:t xml:space="preserve"> </w:t>
            </w:r>
          </w:p>
        </w:tc>
      </w:tr>
    </w:tbl>
    <w:p>
      <w:pPr>
        <w:spacing w:before="0" w:after="160" w:line="269" w:lineRule="auto"/>
        <w:jc w:val="left"/>
      </w:pPr>
    </w:p>
    <w:p>
      <w:pPr>
        <w:spacing w:before="0" w:after="40" w:line="269" w:lineRule="auto"/>
        <w:jc w:val="left"/>
      </w:pPr>
      <w:r>
        <w:rPr>
          <w:rFonts w:ascii="Calibri" w:hAnsi="Calibri" w:cs="Calibri"/>
          <w:b/>
          <w:i w:val="0"/>
          <w:color w:val="222B36"/>
          <w:sz w:val="26"/>
        </w:rPr>
        <w:t xml:space="preserve">Период: </w:t>
      </w:r>
      <w:r>
        <w:rPr>
          <w:rFonts w:ascii="Calibri" w:hAnsi="Calibri" w:cs="Calibri"/>
          <w:b w:val="0"/>
          <w:i w:val="0"/>
          <w:color w:val="222B36"/>
          <w:sz w:val="26"/>
        </w:rPr>
        <w:t>22–28 июня 2026 г.</w:t>
      </w:r>
    </w:p>
    <w:p>
      <w:pPr>
        <w:spacing w:before="0" w:after="40" w:line="269" w:lineRule="auto"/>
        <w:jc w:val="left"/>
      </w:pPr>
      <w:r>
        <w:rPr>
          <w:rFonts w:ascii="Calibri" w:hAnsi="Calibri" w:cs="Calibri"/>
          <w:b/>
          <w:i w:val="0"/>
          <w:color w:val="6B7785"/>
          <w:sz w:val="22"/>
        </w:rPr>
        <w:t xml:space="preserve">Сегменты: </w:t>
      </w:r>
      <w:r>
        <w:rPr>
          <w:rFonts w:ascii="Calibri" w:hAnsi="Calibri" w:cs="Calibri"/>
          <w:b w:val="0"/>
          <w:i w:val="0"/>
          <w:color w:val="6B7785"/>
          <w:sz w:val="22"/>
        </w:rPr>
        <w:t>жилая недвижимость · коммерция (стрит-ритейл) · индустриальная (склады, промзоны)</w:t>
      </w:r>
    </w:p>
    <w:p>
      <w:pPr>
        <w:spacing w:before="40" w:after="280" w:line="269" w:lineRule="auto"/>
        <w:jc w:val="left"/>
      </w:pPr>
      <w:r>
        <w:rPr>
          <w:rFonts w:ascii="Calibri" w:hAnsi="Calibri" w:cs="Calibri"/>
          <w:b w:val="0"/>
          <w:i/>
          <w:color w:val="6B7785"/>
          <w:sz w:val="19"/>
        </w:rPr>
        <w:t>Отчёт сформирован: 30 июня 2026 г.</w:t>
      </w:r>
    </w:p>
    <w:p>
      <w:pPr>
        <w:spacing w:before="200" w:after="60" w:line="269" w:lineRule="auto"/>
        <w:jc w:val="left"/>
        <w:pBdr>
          <w:bottom w:val="single" w:sz="6" w:space="2" w:color="D7DEE6"/>
        </w:pBdr>
      </w:pPr>
      <w:r>
        <w:rPr>
          <w:rFonts w:ascii="Calibri" w:hAnsi="Calibri" w:cs="Calibri"/>
          <w:b/>
          <w:i w:val="0"/>
          <w:color w:val="1F3A5F"/>
          <w:sz w:val="23"/>
        </w:rPr>
        <w:t>Коротко о неделе</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c>
          <w:tcPr>
            <w:tcW w:type="dxa" w:w="9524"/>
            <w:shd w:val="clear" w:color="auto" w:fill="EEF2F6"/>
            <w:tcMar>
              <w:top w:w="140" w:type="dxa"/>
              <w:bottom w:w="140" w:type="dxa"/>
              <w:start w:w="200" w:type="dxa"/>
              <w:end w:w="200" w:type="dxa"/>
              <w:left w:w="200" w:type="dxa"/>
              <w:right w:w="200" w:type="dxa"/>
            </w:tcMar>
          </w:tcPr>
          <w:p>
            <w:pPr>
              <w:spacing w:after="0" w:line="276" w:lineRule="auto"/>
            </w:pPr>
            <w:r>
              <w:rPr>
                <w:rFonts w:ascii="Calibri" w:hAnsi="Calibri" w:cs="Calibri"/>
                <w:b w:val="0"/>
                <w:i w:val="0"/>
                <w:color w:val="222B36"/>
                <w:sz w:val="21"/>
              </w:rPr>
              <w:t>Жильё продолжает дорожать: в мае цены выросли на 4,4% за год и на 0,6% за месяц, но число сделок чуть снизилось — рынок остаётся дорогим. Главное событие недели — Сенат одобрил закон, который даёт государству больше контроля над тем, сколько и какого жилья строить (вступает в силу 1 июля). В стрит-ритейле фон спокойный: банк ABN AMRO слегка понизил прогноз по рознице из-за внешних рисков, но качественные торговые центры активно набирают новых арендаторов. В индустриале (склады, промзоны) главная тема — нехватка электрических мощностей: очередь на подключение к сети выросла до 15 000 компаний, с 1 июля ужесточаются правила при перегрузке сети (netcongestie), а правительство выделило 20 млрд евро, чтобы снять «азотный» запрет на стройку. При этом крупные склады продолжают строиться.</w:t>
            </w:r>
          </w:p>
        </w:tc>
      </w:tr>
    </w:tbl>
    <w:p>
      <w:pPr>
        <w:spacing w:before="0" w:after="12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c>
          <w:tcPr>
            <w:tcW w:type="dxa" w:w="9524"/>
            <w:shd w:val="clear" w:color="auto" w:fill="16846F"/>
            <w:tcMar>
              <w:top w:w="120" w:type="dxa"/>
              <w:bottom w:w="120" w:type="dxa"/>
              <w:start w:w="200" w:type="dxa"/>
              <w:end w:w="200" w:type="dxa"/>
              <w:left w:w="200" w:type="dxa"/>
              <w:right w:w="200" w:type="dxa"/>
            </w:tcMar>
          </w:tcPr>
          <w:p>
            <w:pPr>
              <w:spacing w:after="0"/>
            </w:pPr>
            <w:r/>
            <w:r>
              <w:rPr>
                <w:rFonts w:ascii="Calibri" w:hAnsi="Calibri" w:cs="Calibri"/>
                <w:b/>
                <w:i w:val="0"/>
                <w:color w:val="FFFFFF"/>
                <w:sz w:val="28"/>
              </w:rPr>
              <w:t>🏠  Жилая недвижимость</w:t>
            </w:r>
          </w:p>
        </w:tc>
      </w:tr>
    </w:tbl>
    <w:p>
      <w:pPr>
        <w:spacing w:before="200" w:after="60" w:line="269" w:lineRule="auto"/>
        <w:jc w:val="left"/>
        <w:pBdr>
          <w:bottom w:val="single" w:sz="6" w:space="2" w:color="D7DEE6"/>
        </w:pBdr>
      </w:pPr>
      <w:r>
        <w:rPr>
          <w:rFonts w:ascii="Calibri" w:hAnsi="Calibri" w:cs="Calibri"/>
          <w:b/>
          <w:i w:val="0"/>
          <w:color w:val="105A4C"/>
          <w:sz w:val="23"/>
        </w:rPr>
        <w:t>Изменения в законах и регулировании</w:t>
      </w:r>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Сенат — верхняя палата парламента (Eerste Kamer) — 23 июня одобрил закон об усилении роли государства в жилищном строительстве (Wet versterking regie volkshuisvesting). Он даёт государству, провинциям и муниципалитетам право решать, сколько, где и для кого строить жильё: две трети новых домов должны быть «доступными» (по цене для средних доходов), а 30% — социальная аренда (дешёвое арендное жильё для людей с низким доходом). Закон вступает в силу 1 июля 2026. Простыми словами: власти берут стройку под более жёсткий контроль, чтобы строили не только дорогое, а и доступное жильё.</w:t>
      </w:r>
    </w:p>
    <w:p>
      <w:pPr>
        <w:spacing w:before="0" w:after="80" w:line="240" w:lineRule="auto"/>
        <w:ind w:left="283"/>
        <w:jc w:val="left"/>
      </w:pPr>
      <w:r>
        <w:rPr>
          <w:rFonts w:ascii="Calibri" w:hAnsi="Calibri" w:cs="Calibri"/>
          <w:b w:val="0"/>
          <w:i/>
          <w:color w:val="6B7785"/>
          <w:sz w:val="17"/>
        </w:rPr>
        <w:t xml:space="preserve">   📅 2026-06-24   •   Источник: Eerste Kamer (Сенат)</w:t>
      </w:r>
      <w:r>
        <w:rPr>
          <w:rFonts w:ascii="Calibri" w:hAnsi="Calibri" w:cs="Calibri"/>
          <w:b w:val="0"/>
          <w:i w:val="0"/>
          <w:color w:val="6B7785"/>
          <w:sz w:val="17"/>
        </w:rPr>
        <w:t xml:space="preserve">   </w:t>
      </w:r>
      <w:hyperlink r:id="rId11">
        <w:r>
          <w:rPr>
            <w:color w:val="1155CC"/>
            <w:sz w:val="17.0"/>
            <w:rFonts w:ascii="Calibri" w:hAnsi="Calibri"/>
            <w:u w:val="single"/>
          </w:rPr>
          <w:t xml:space="preserve">ссылка ↗</w:t>
        </w:r>
      </w:hyperlink>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По тому же закону ускоряются согласования стройки. Жалобы на проекты от 12 квартир сразу рассматривает высшая инстанция — Государственный совет (Raad van State) — в течение 6 месяцев, минуя нижестоящие суды. Кроме того, для жилья отменяется обязательная проверка «нужно ли вообще здесь застраивать участок» (Ladder voor duurzame verstedelijking — дословно «лестница устойчивой урбанизации»). Эти пункты заработают с 1 января 2027. Зачем: чтобы судебные споры и согласования не растягивали стройку на годы.</w:t>
      </w:r>
    </w:p>
    <w:p>
      <w:pPr>
        <w:spacing w:before="0" w:after="80" w:line="240" w:lineRule="auto"/>
        <w:ind w:left="283"/>
        <w:jc w:val="left"/>
      </w:pPr>
      <w:r>
        <w:rPr>
          <w:rFonts w:ascii="Calibri" w:hAnsi="Calibri" w:cs="Calibri"/>
          <w:b w:val="0"/>
          <w:i/>
          <w:color w:val="6B7785"/>
          <w:sz w:val="17"/>
        </w:rPr>
        <w:t xml:space="preserve">   📅 2026-06-25   •   Источник: Arom (отраслевой портал)</w:t>
      </w:r>
      <w:r>
        <w:rPr>
          <w:rFonts w:ascii="Calibri" w:hAnsi="Calibri" w:cs="Calibri"/>
          <w:b w:val="0"/>
          <w:i w:val="0"/>
          <w:color w:val="6B7785"/>
          <w:sz w:val="17"/>
        </w:rPr>
        <w:t xml:space="preserve">   </w:t>
      </w:r>
      <w:hyperlink r:id="rId12">
        <w:r>
          <w:rPr>
            <w:color w:val="1155CC"/>
            <w:sz w:val="17.0"/>
            <w:rFonts w:ascii="Calibri" w:hAnsi="Calibri"/>
            <w:u w:val="single"/>
          </w:rPr>
          <w:t xml:space="preserve">ссылка ↗</w:t>
        </w:r>
      </w:hyperlink>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Верховный суд Нидерландов (Hoge Raad) постановил: кто вовремя не подал возражение против налога на сбережения и инвестиции (box 3 — раздел подоходного налога, под который попадает в том числе недвижимость не для собственного проживания) за 2017–2020 годы, тот не получит возврат переплаты (rechtsherstel). Коллективная процедура оспаривания (massaalbezwaarplus) закрыта. Вывод для владельцев недвижимости: важно соблюдать сроки подачи возражений по налогам — иначе деньги вернуть не получится.</w:t>
      </w:r>
    </w:p>
    <w:p>
      <w:pPr>
        <w:spacing w:before="0" w:after="80" w:line="240" w:lineRule="auto"/>
        <w:ind w:left="283"/>
        <w:jc w:val="left"/>
      </w:pPr>
      <w:r>
        <w:rPr>
          <w:rFonts w:ascii="Calibri" w:hAnsi="Calibri" w:cs="Calibri"/>
          <w:b w:val="0"/>
          <w:i/>
          <w:color w:val="6B7785"/>
          <w:sz w:val="17"/>
        </w:rPr>
        <w:t xml:space="preserve">   📅 2026-06-25   •   Источник: Accountancy Vanmorgen (издание для бухгалтеров)</w:t>
      </w:r>
      <w:r>
        <w:rPr>
          <w:rFonts w:ascii="Calibri" w:hAnsi="Calibri" w:cs="Calibri"/>
          <w:b w:val="0"/>
          <w:i w:val="0"/>
          <w:color w:val="6B7785"/>
          <w:sz w:val="17"/>
        </w:rPr>
        <w:t xml:space="preserve">   </w:t>
      </w:r>
      <w:hyperlink r:id="rId13">
        <w:r>
          <w:rPr>
            <w:color w:val="1155CC"/>
            <w:sz w:val="17.0"/>
            <w:rFonts w:ascii="Calibri" w:hAnsi="Calibri"/>
            <w:u w:val="single"/>
          </w:rPr>
          <w:t xml:space="preserve">ссылка ↗</w:t>
        </w:r>
      </w:hyperlink>
    </w:p>
    <w:p>
      <w:pPr>
        <w:spacing w:before="200" w:after="60" w:line="269" w:lineRule="auto"/>
        <w:jc w:val="left"/>
        <w:pBdr>
          <w:bottom w:val="single" w:sz="6" w:space="2" w:color="D7DEE6"/>
        </w:pBdr>
      </w:pPr>
      <w:r>
        <w:rPr>
          <w:rFonts w:ascii="Calibri" w:hAnsi="Calibri" w:cs="Calibri"/>
          <w:b/>
          <w:i w:val="0"/>
          <w:color w:val="105A4C"/>
          <w:sz w:val="23"/>
        </w:rPr>
        <w:t>Новости</w:t>
      </w:r>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Нижняя палата парламента (Tweede Kamer) приняла предложение партии D66 — попросить правительство после лета рассмотреть новые крупные площадки под жильё. Среди них — район Венендал-Де-Кломп (Veenendaal-De Klomp) и озёрная зона Эймер (IJmeer) под Амстердамом. Также одобрено обновление господдержки жилищных корпораций (некоммерческих организаций, которые строят и сдают социальное жильё). Смысл: государство ищет, где разместить новые крупные жилые районы.</w:t>
      </w:r>
    </w:p>
    <w:p>
      <w:pPr>
        <w:spacing w:before="0" w:after="80" w:line="240" w:lineRule="auto"/>
        <w:ind w:left="283"/>
        <w:jc w:val="left"/>
      </w:pPr>
      <w:r>
        <w:rPr>
          <w:rFonts w:ascii="Calibri" w:hAnsi="Calibri" w:cs="Calibri"/>
          <w:b w:val="0"/>
          <w:i/>
          <w:color w:val="6B7785"/>
          <w:sz w:val="17"/>
        </w:rPr>
        <w:t xml:space="preserve">   📅 2026-06-22   •   Источник: VTW (объединение наблюдателей жилищных корпораций)</w:t>
      </w:r>
      <w:r>
        <w:rPr>
          <w:rFonts w:ascii="Calibri" w:hAnsi="Calibri" w:cs="Calibri"/>
          <w:b w:val="0"/>
          <w:i w:val="0"/>
          <w:color w:val="6B7785"/>
          <w:sz w:val="17"/>
        </w:rPr>
        <w:t xml:space="preserve">   </w:t>
      </w:r>
      <w:hyperlink r:id="rId14">
        <w:r>
          <w:rPr>
            <w:color w:val="1155CC"/>
            <w:sz w:val="17.0"/>
            <w:rFonts w:ascii="Calibri" w:hAnsi="Calibri"/>
            <w:u w:val="single"/>
          </w:rPr>
          <w:t xml:space="preserve">ссылка ↗</w:t>
        </w:r>
      </w:hyperlink>
    </w:p>
    <w:p>
      <w:pPr>
        <w:spacing w:before="200" w:after="60" w:line="269" w:lineRule="auto"/>
        <w:jc w:val="left"/>
        <w:pBdr>
          <w:bottom w:val="single" w:sz="6" w:space="2" w:color="D7DEE6"/>
        </w:pBdr>
      </w:pPr>
      <w:r>
        <w:rPr>
          <w:rFonts w:ascii="Calibri" w:hAnsi="Calibri" w:cs="Calibri"/>
          <w:b/>
          <w:i w:val="0"/>
          <w:color w:val="105A4C"/>
          <w:sz w:val="23"/>
        </w:rPr>
        <w:t>Статистика</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5669"/>
        <w:gridCol w:w="3855"/>
      </w:tblGrid>
      <w:tr>
        <w:tc>
          <w:tcPr>
            <w:tcW w:type="dxa" w:w="4762"/>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Показатель</w:t>
            </w:r>
          </w:p>
        </w:tc>
        <w:tc>
          <w:tcPr>
            <w:tcW w:type="dxa" w:w="4762"/>
            <w:shd w:val="clear" w:color="auto" w:fill="1F3A5F"/>
            <w:tcMar>
              <w:top w:w="80" w:type="dxa"/>
              <w:bottom w:w="80" w:type="dxa"/>
              <w:start w:w="140" w:type="dxa"/>
              <w:end w:w="140" w:type="dxa"/>
              <w:left w:w="140" w:type="dxa"/>
              <w:right w:w="140" w:type="dxa"/>
            </w:tcMar>
          </w:tcPr>
          <w:p>
            <w:r>
              <w:rPr>
                <w:rFonts w:ascii="Calibri" w:hAnsi="Calibri" w:cs="Calibri"/>
                <w:b/>
                <w:i w:val="0"/>
                <w:color w:val="FFFFFF"/>
                <w:sz w:val="19"/>
              </w:rPr>
              <w:t>Значение / динамика</w:t>
            </w:r>
          </w:p>
        </w:tc>
      </w:tr>
      <w:tr>
        <w:tc>
          <w:tcPr>
            <w:tcW w:type="dxa" w:w="5669"/>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Цены на вторичное жильё в мае были на 4,4% выше, чем год назад. В апреле было +4,3% — значит, рост даже немного ускорился. От прошлого ценового пика (июль 2022) жильё сейчас дороже примерно на 16,6%.</w:t>
            </w:r>
          </w:p>
        </w:tc>
        <w:tc>
          <w:tcPr>
            <w:tcW w:type="dxa" w:w="3855"/>
            <w:shd w:val="clear" w:color="auto" w:fill="F4F6F8"/>
            <w:tcMar>
              <w:top w:w="80" w:type="dxa"/>
              <w:bottom w:w="80" w:type="dxa"/>
              <w:start w:w="140" w:type="dxa"/>
              <w:end w:w="140" w:type="dxa"/>
              <w:left w:w="140" w:type="dxa"/>
              <w:right w:w="140" w:type="dxa"/>
            </w:tcMar>
          </w:tcPr>
          <w:p>
            <w:pPr>
              <w:spacing w:after="0"/>
            </w:pPr>
            <w:r>
              <w:rPr>
                <w:rFonts w:ascii="Calibri" w:hAnsi="Calibri" w:cs="Calibri"/>
                <w:b/>
                <w:i w:val="0"/>
                <w:color w:val="222B36"/>
                <w:sz w:val="19"/>
              </w:rPr>
              <w:t>+4,4% за год</w:t>
            </w:r>
          </w:p>
          <w:p>
            <w:pPr>
              <w:spacing w:before="20" w:after="0"/>
            </w:pPr>
            <w:r>
              <w:rPr>
                <w:rFonts w:ascii="Calibri" w:hAnsi="Calibri" w:cs="Calibri"/>
                <w:b w:val="0"/>
                <w:i/>
                <w:color w:val="6B7785"/>
                <w:sz w:val="15"/>
              </w:rPr>
              <w:t>CBS (Статбюро Нидерландов)</w:t>
            </w:r>
            <w:hyperlink r:id="rId15">
              <w:r>
                <w:rPr>
                  <w:color w:val="1155CC"/>
                  <w:sz w:val="15.0"/>
                  <w:rFonts w:ascii="Calibri" w:hAnsi="Calibri"/>
                  <w:u w:val="single"/>
                </w:rPr>
                <w:t xml:space="preserve">  ↗</w:t>
              </w:r>
            </w:hyperlink>
          </w:p>
        </w:tc>
      </w:tr>
      <w:tr>
        <w:tc>
          <w:tcPr>
            <w:tcW w:type="dxa" w:w="5669"/>
            <w:shd w:val="clear" w:color="auto" w:fill="FFFFFF"/>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За один месяц (с апреля по май) вторичное жильё подорожало на 0,6% — умеренный темп. Индекс цен CBS достиг 154,9 пункта (за базу взят 2020 год = 100 пунктов).</w:t>
            </w:r>
          </w:p>
        </w:tc>
        <w:tc>
          <w:tcPr>
            <w:tcW w:type="dxa" w:w="3855"/>
            <w:shd w:val="clear" w:color="auto" w:fill="FFFFFF"/>
            <w:tcMar>
              <w:top w:w="80" w:type="dxa"/>
              <w:bottom w:w="80" w:type="dxa"/>
              <w:start w:w="140" w:type="dxa"/>
              <w:end w:w="140" w:type="dxa"/>
              <w:left w:w="140" w:type="dxa"/>
              <w:right w:w="140" w:type="dxa"/>
            </w:tcMar>
          </w:tcPr>
          <w:p>
            <w:pPr>
              <w:spacing w:after="0"/>
            </w:pPr>
            <w:r>
              <w:rPr>
                <w:rFonts w:ascii="Calibri" w:hAnsi="Calibri" w:cs="Calibri"/>
                <w:b/>
                <w:i w:val="0"/>
                <w:color w:val="222B36"/>
                <w:sz w:val="19"/>
              </w:rPr>
              <w:t>+0,6% за месяц</w:t>
            </w:r>
          </w:p>
          <w:p>
            <w:pPr>
              <w:spacing w:before="20" w:after="0"/>
            </w:pPr>
            <w:r>
              <w:rPr>
                <w:rFonts w:ascii="Calibri" w:hAnsi="Calibri" w:cs="Calibri"/>
                <w:b w:val="0"/>
                <w:i/>
                <w:color w:val="6B7785"/>
                <w:sz w:val="15"/>
              </w:rPr>
              <w:t>CBS (Статбюро Нидерландов)</w:t>
            </w:r>
            <w:hyperlink r:id="rId16">
              <w:r>
                <w:rPr>
                  <w:color w:val="1155CC"/>
                  <w:sz w:val="15.0"/>
                  <w:rFonts w:ascii="Calibri" w:hAnsi="Calibri"/>
                  <w:u w:val="single"/>
                </w:rPr>
                <w:t xml:space="preserve">  ↗</w:t>
              </w:r>
            </w:hyperlink>
          </w:p>
        </w:tc>
      </w:tr>
      <w:tr>
        <w:tc>
          <w:tcPr>
            <w:tcW w:type="dxa" w:w="5669"/>
            <w:shd w:val="clear" w:color="auto" w:fill="F4F6F8"/>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Средняя цена проданного дома в мае — около 487 383 евро. Это ориентир «среднего чека» сделки по всей стране.</w:t>
            </w:r>
          </w:p>
        </w:tc>
        <w:tc>
          <w:tcPr>
            <w:tcW w:type="dxa" w:w="3855"/>
            <w:shd w:val="clear" w:color="auto" w:fill="F4F6F8"/>
            <w:tcMar>
              <w:top w:w="80" w:type="dxa"/>
              <w:bottom w:w="80" w:type="dxa"/>
              <w:start w:w="140" w:type="dxa"/>
              <w:end w:w="140" w:type="dxa"/>
              <w:left w:w="140" w:type="dxa"/>
              <w:right w:w="140" w:type="dxa"/>
            </w:tcMar>
          </w:tcPr>
          <w:p>
            <w:pPr>
              <w:spacing w:after="0"/>
            </w:pPr>
            <w:r>
              <w:rPr>
                <w:rFonts w:ascii="Calibri" w:hAnsi="Calibri" w:cs="Calibri"/>
                <w:b/>
                <w:i w:val="0"/>
                <w:color w:val="222B36"/>
                <w:sz w:val="19"/>
              </w:rPr>
              <w:t>≈ €487 383</w:t>
            </w:r>
          </w:p>
          <w:p>
            <w:pPr>
              <w:spacing w:before="20" w:after="0"/>
            </w:pPr>
            <w:r>
              <w:rPr>
                <w:rFonts w:ascii="Calibri" w:hAnsi="Calibri" w:cs="Calibri"/>
                <w:b w:val="0"/>
                <w:i/>
                <w:color w:val="6B7785"/>
                <w:sz w:val="15"/>
              </w:rPr>
              <w:t>CBS (Статбюро Нидерландов)</w:t>
            </w:r>
            <w:hyperlink r:id="rId15">
              <w:r>
                <w:rPr>
                  <w:color w:val="1155CC"/>
                  <w:sz w:val="15.0"/>
                  <w:rFonts w:ascii="Calibri" w:hAnsi="Calibri"/>
                  <w:u w:val="single"/>
                </w:rPr>
                <w:t xml:space="preserve">  ↗</w:t>
              </w:r>
            </w:hyperlink>
          </w:p>
        </w:tc>
      </w:tr>
      <w:tr>
        <w:tc>
          <w:tcPr>
            <w:tcW w:type="dxa" w:w="5669"/>
            <w:shd w:val="clear" w:color="auto" w:fill="FFFFFF"/>
            <w:tcMar>
              <w:top w:w="80" w:type="dxa"/>
              <w:bottom w:w="80" w:type="dxa"/>
              <w:start w:w="140" w:type="dxa"/>
              <w:end w:w="140" w:type="dxa"/>
              <w:left w:w="140" w:type="dxa"/>
              <w:right w:w="140" w:type="dxa"/>
            </w:tcMar>
          </w:tcPr>
          <w:p>
            <w:pPr>
              <w:spacing w:after="0"/>
            </w:pPr>
            <w:r>
              <w:rPr>
                <w:rFonts w:ascii="Calibri" w:hAnsi="Calibri" w:cs="Calibri"/>
                <w:b w:val="0"/>
                <w:i w:val="0"/>
                <w:color w:val="222B36"/>
                <w:sz w:val="19"/>
              </w:rPr>
              <w:t>Кадастр (Kadaster — государственный реестр сделок с недвижимостью) зарегистрировал в мае 19 120 сделок с жильём — на 2,5% меньше, чем год назад. Но за первые пять месяцев 2026 года продано 94 523 дома, это на 5% больше, чем за тот же период 2025-го. То есть в моменте активность чуть просела, но с начала года она выше прошлогодней.</w:t>
            </w:r>
          </w:p>
        </w:tc>
        <w:tc>
          <w:tcPr>
            <w:tcW w:type="dxa" w:w="3855"/>
            <w:shd w:val="clear" w:color="auto" w:fill="FFFFFF"/>
            <w:tcMar>
              <w:top w:w="80" w:type="dxa"/>
              <w:bottom w:w="80" w:type="dxa"/>
              <w:start w:w="140" w:type="dxa"/>
              <w:end w:w="140" w:type="dxa"/>
              <w:left w:w="140" w:type="dxa"/>
              <w:right w:w="140" w:type="dxa"/>
            </w:tcMar>
          </w:tcPr>
          <w:p>
            <w:pPr>
              <w:spacing w:after="0"/>
            </w:pPr>
            <w:r>
              <w:rPr>
                <w:rFonts w:ascii="Calibri" w:hAnsi="Calibri" w:cs="Calibri"/>
                <w:b/>
                <w:i w:val="0"/>
                <w:color w:val="222B36"/>
                <w:sz w:val="19"/>
              </w:rPr>
              <w:t>19 120 сделок, −2,5% за год</w:t>
            </w:r>
          </w:p>
          <w:p>
            <w:pPr>
              <w:spacing w:before="20" w:after="0"/>
            </w:pPr>
            <w:r>
              <w:rPr>
                <w:rFonts w:ascii="Calibri" w:hAnsi="Calibri" w:cs="Calibri"/>
                <w:b w:val="0"/>
                <w:i/>
                <w:color w:val="6B7785"/>
                <w:sz w:val="15"/>
              </w:rPr>
              <w:t>Kadaster (кадастр)</w:t>
            </w:r>
            <w:hyperlink r:id="rId17">
              <w:r>
                <w:rPr>
                  <w:color w:val="1155CC"/>
                  <w:sz w:val="15.0"/>
                  <w:rFonts w:ascii="Calibri" w:hAnsi="Calibri"/>
                  <w:u w:val="single"/>
                </w:rPr>
                <w:t xml:space="preserve">  ↗</w:t>
              </w:r>
            </w:hyperlink>
          </w:p>
        </w:tc>
      </w:tr>
    </w:tbl>
    <w:p>
      <w:pPr>
        <w:spacing w:before="0" w:after="4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c>
          <w:tcPr>
            <w:tcW w:type="dxa" w:w="9524"/>
            <w:shd w:val="clear" w:color="auto" w:fill="EAF3EE"/>
            <w:tcMar>
              <w:top w:w="140" w:type="dxa"/>
              <w:bottom w:w="140" w:type="dxa"/>
              <w:start w:w="220" w:type="dxa"/>
              <w:end w:w="220" w:type="dxa"/>
              <w:left w:w="220" w:type="dxa"/>
              <w:right w:w="220" w:type="dxa"/>
            </w:tcMar>
            <w:tcBorders>
              <w:left w:val="single" w:sz="36" w:space="0" w:color="16846F"/>
            </w:tcBorders>
          </w:tcPr>
          <w:p>
            <w:pPr>
              <w:spacing w:after="40"/>
            </w:pPr>
            <w:r>
              <w:rPr>
                <w:rFonts w:ascii="Calibri" w:hAnsi="Calibri" w:cs="Calibri"/>
                <w:b/>
                <w:i w:val="0"/>
                <w:color w:val="105A4C"/>
                <w:sz w:val="18"/>
              </w:rPr>
              <w:t>ВЫВОД</w:t>
            </w:r>
          </w:p>
          <w:p>
            <w:pPr>
              <w:spacing w:after="0" w:line="269" w:lineRule="auto"/>
            </w:pPr>
            <w:r>
              <w:rPr>
                <w:rFonts w:ascii="Calibri" w:hAnsi="Calibri" w:cs="Calibri"/>
                <w:b w:val="0"/>
                <w:i w:val="0"/>
                <w:color w:val="222B36"/>
                <w:sz w:val="21"/>
              </w:rPr>
              <w:t>Цены растут, но темпом умеренным, а число сделок чуть снизилось — рынок остаётся дорогим и тесным для покупателей. Новый закон даёт властям больше рычагов наращивать доступное жильё и ускорять стройку, но эффект придёт постепенно, не за месяц. Решение Верховного суда по налогу box 3 — напоминание владельцам недвижимости: следите за сроками налоговых возражений, опоздание лишает права на возврат денег.</w:t>
            </w:r>
          </w:p>
        </w:tc>
      </w:tr>
    </w:tbl>
    <w:p>
      <w:pPr>
        <w:spacing w:before="0" w:after="12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c>
          <w:tcPr>
            <w:tcW w:type="dxa" w:w="9524"/>
            <w:shd w:val="clear" w:color="auto" w:fill="C0791C"/>
            <w:tcMar>
              <w:top w:w="120" w:type="dxa"/>
              <w:bottom w:w="120" w:type="dxa"/>
              <w:start w:w="200" w:type="dxa"/>
              <w:end w:w="200" w:type="dxa"/>
              <w:left w:w="200" w:type="dxa"/>
              <w:right w:w="200" w:type="dxa"/>
            </w:tcMar>
          </w:tcPr>
          <w:p>
            <w:pPr>
              <w:spacing w:after="0"/>
            </w:pPr>
            <w:r/>
            <w:r>
              <w:rPr>
                <w:rFonts w:ascii="Calibri" w:hAnsi="Calibri" w:cs="Calibri"/>
                <w:b/>
                <w:i w:val="0"/>
                <w:color w:val="FFFFFF"/>
                <w:sz w:val="28"/>
              </w:rPr>
              <w:t>🏪  Коммерция (стрит-ритейл)</w:t>
            </w:r>
          </w:p>
        </w:tc>
      </w:tr>
    </w:tbl>
    <w:p>
      <w:pPr>
        <w:spacing w:before="200" w:after="60" w:line="269" w:lineRule="auto"/>
        <w:jc w:val="left"/>
        <w:pBdr>
          <w:bottom w:val="single" w:sz="6" w:space="2" w:color="D7DEE6"/>
        </w:pBdr>
      </w:pPr>
      <w:r>
        <w:rPr>
          <w:rFonts w:ascii="Calibri" w:hAnsi="Calibri" w:cs="Calibri"/>
          <w:b/>
          <w:i w:val="0"/>
          <w:color w:val="8A5510"/>
          <w:sz w:val="23"/>
        </w:rPr>
        <w:t>Новости</w:t>
      </w:r>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Wereldhave (старейший биржевой инвестор в торговую недвижимость Нидерландов: владеет более чем 30 торговыми центрами в Нидерландах, Бельгии и Франции, входит в главный биржевой индекс страны AEX) сдал площади сразу шести новым арендаторам в торговом центре Cityplaza в городе Нивегейн. Среди них: Siebel (ювелирные украшения), Ernsting's family (недорогая одежда), Let's Go Shoes (обувь), EsthetiQ и Hair &amp; Beauty Lavin (услуги красоты), кафе Sakura. То есть центр усиливает блоки моды, обуви, еды и красоты — это часть стратегии Wereldhave превращать ТЦ в места «всё в одном»: магазины + кафе + услуги + досуг.</w:t>
      </w:r>
    </w:p>
    <w:p>
      <w:pPr>
        <w:spacing w:before="0" w:after="80" w:line="240" w:lineRule="auto"/>
        <w:ind w:left="283"/>
        <w:jc w:val="left"/>
      </w:pPr>
      <w:r>
        <w:rPr>
          <w:rFonts w:ascii="Calibri" w:hAnsi="Calibri" w:cs="Calibri"/>
          <w:b w:val="0"/>
          <w:i/>
          <w:color w:val="6B7785"/>
          <w:sz w:val="17"/>
        </w:rPr>
        <w:t xml:space="preserve">   📅 2026-06-23   •   Источник: Vastgoedjournaal (профильное издание о недвижимости)</w:t>
      </w:r>
      <w:r>
        <w:rPr>
          <w:rFonts w:ascii="Calibri" w:hAnsi="Calibri" w:cs="Calibri"/>
          <w:b w:val="0"/>
          <w:i w:val="0"/>
          <w:color w:val="6B7785"/>
          <w:sz w:val="17"/>
        </w:rPr>
        <w:t xml:space="preserve">   </w:t>
      </w:r>
      <w:hyperlink r:id="rId18">
        <w:r>
          <w:rPr>
            <w:color w:val="1155CC"/>
            <w:sz w:val="17.0"/>
            <w:rFonts w:ascii="Calibri" w:hAnsi="Calibri"/>
            <w:u w:val="single"/>
          </w:rPr>
          <w:t xml:space="preserve">ссылка ↗</w:t>
        </w:r>
      </w:hyperlink>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Та же компания Wereldhave сдала крупную торговую площадь магазину модной одежды Van Uffelen Mode (региональный ритейлер одежды) в торговом центре Middenwaard в городе Херхюговард. Для центра это новый заметный арендатор, который помогает привлекать покупателей.</w:t>
      </w:r>
    </w:p>
    <w:p>
      <w:pPr>
        <w:spacing w:before="0" w:after="80" w:line="240" w:lineRule="auto"/>
        <w:ind w:left="283"/>
        <w:jc w:val="left"/>
      </w:pPr>
      <w:r>
        <w:rPr>
          <w:rFonts w:ascii="Calibri" w:hAnsi="Calibri" w:cs="Calibri"/>
          <w:b w:val="0"/>
          <w:i/>
          <w:color w:val="6B7785"/>
          <w:sz w:val="17"/>
        </w:rPr>
        <w:t xml:space="preserve">   📅 2026-06-25   •   Источник: Vastgoedjournaal</w:t>
      </w:r>
      <w:r>
        <w:rPr>
          <w:rFonts w:ascii="Calibri" w:hAnsi="Calibri" w:cs="Calibri"/>
          <w:b w:val="0"/>
          <w:i w:val="0"/>
          <w:color w:val="6B7785"/>
          <w:sz w:val="17"/>
        </w:rPr>
        <w:t xml:space="preserve">   </w:t>
      </w:r>
      <w:hyperlink r:id="rId19">
        <w:r>
          <w:rPr>
            <w:color w:val="1155CC"/>
            <w:sz w:val="17.0"/>
            <w:rFonts w:ascii="Calibri" w:hAnsi="Calibri"/>
            <w:u w:val="single"/>
          </w:rPr>
          <w:t xml:space="preserve">ссылка ↗</w:t>
        </w:r>
      </w:hyperlink>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Сеть Scapino (нидерландский дисконт-ритейлер обуви, одежды и спорттоваров — «хорошее качество по низкой цене»; более 170 магазинов по стране, принадлежит семье Зингс) открыла два новых магазина — в Дедемсварте и Керкраде. В Керкраде дебютировал новый, более крупный спортивный формат Sport XL. Сигнал рынку: даже в эпоху онлайн-торговли дисконтеры продолжают расширять офлайн-сеть.</w:t>
      </w:r>
    </w:p>
    <w:p>
      <w:pPr>
        <w:spacing w:before="0" w:after="80" w:line="240" w:lineRule="auto"/>
        <w:ind w:left="283"/>
        <w:jc w:val="left"/>
      </w:pPr>
      <w:r>
        <w:rPr>
          <w:rFonts w:ascii="Calibri" w:hAnsi="Calibri" w:cs="Calibri"/>
          <w:b w:val="0"/>
          <w:i/>
          <w:color w:val="6B7785"/>
          <w:sz w:val="17"/>
        </w:rPr>
        <w:t xml:space="preserve">   📅 2026-06-26   •   Источник: Vastgoedjournaal</w:t>
      </w:r>
      <w:r>
        <w:rPr>
          <w:rFonts w:ascii="Calibri" w:hAnsi="Calibri" w:cs="Calibri"/>
          <w:b w:val="0"/>
          <w:i w:val="0"/>
          <w:color w:val="6B7785"/>
          <w:sz w:val="17"/>
        </w:rPr>
        <w:t xml:space="preserve">   </w:t>
      </w:r>
      <w:hyperlink r:id="rId20">
        <w:r>
          <w:rPr>
            <w:color w:val="1155CC"/>
            <w:sz w:val="17.0"/>
            <w:rFonts w:ascii="Calibri" w:hAnsi="Calibri"/>
            <w:u w:val="single"/>
          </w:rPr>
          <w:t xml:space="preserve">ссылка ↗</w:t>
        </w:r>
      </w:hyperlink>
    </w:p>
    <w:p>
      <w:pPr>
        <w:spacing w:before="200" w:after="60" w:line="269" w:lineRule="auto"/>
        <w:jc w:val="left"/>
        <w:pBdr>
          <w:bottom w:val="single" w:sz="6" w:space="2" w:color="D7DEE6"/>
        </w:pBdr>
      </w:pPr>
      <w:r>
        <w:rPr>
          <w:rFonts w:ascii="Calibri" w:hAnsi="Calibri" w:cs="Calibri"/>
          <w:b/>
          <w:i w:val="0"/>
          <w:color w:val="8A5510"/>
          <w:sz w:val="23"/>
        </w:rPr>
        <w:t>Тренды</w:t>
      </w:r>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Банк ABN AMRO (один из трёх крупнейших банков Нидерландов) слегка понизил прогноз по рознице. Пока потребители тратят стабильно, но затяжные экономические последствия конфликта на Ближнем Востоке могут ударить по спросу. Почему это важно для торговой недвижимости: если у магазинов падают продажи, им труднее платить аренду — а значит, выше риск для собственников помещений.</w:t>
      </w:r>
    </w:p>
    <w:p>
      <w:pPr>
        <w:spacing w:before="0" w:after="80" w:line="240" w:lineRule="auto"/>
        <w:ind w:left="283"/>
        <w:jc w:val="left"/>
      </w:pPr>
      <w:r>
        <w:rPr>
          <w:rFonts w:ascii="Calibri" w:hAnsi="Calibri" w:cs="Calibri"/>
          <w:b w:val="0"/>
          <w:i/>
          <w:color w:val="6B7785"/>
          <w:sz w:val="17"/>
        </w:rPr>
        <w:t xml:space="preserve">   📅 2026-06-23   •   Источник: Vastgoedjournaal со ссылкой на ABN AMRO</w:t>
      </w:r>
      <w:r>
        <w:rPr>
          <w:rFonts w:ascii="Calibri" w:hAnsi="Calibri" w:cs="Calibri"/>
          <w:b w:val="0"/>
          <w:i w:val="0"/>
          <w:color w:val="6B7785"/>
          <w:sz w:val="17"/>
        </w:rPr>
        <w:t xml:space="preserve">   </w:t>
      </w:r>
      <w:hyperlink r:id="rId21">
        <w:r>
          <w:rPr>
            <w:color w:val="1155CC"/>
            <w:sz w:val="17.0"/>
            <w:rFonts w:ascii="Calibri" w:hAnsi="Calibri"/>
            <w:u w:val="single"/>
          </w:rPr>
          <w:t xml:space="preserve">ссылка ↗</w:t>
        </w:r>
      </w:hyperlink>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c>
          <w:tcPr>
            <w:tcW w:type="dxa" w:w="9524"/>
            <w:shd w:val="clear" w:color="auto" w:fill="EAF3EE"/>
            <w:tcMar>
              <w:top w:w="140" w:type="dxa"/>
              <w:bottom w:w="140" w:type="dxa"/>
              <w:start w:w="220" w:type="dxa"/>
              <w:end w:w="220" w:type="dxa"/>
              <w:left w:w="220" w:type="dxa"/>
              <w:right w:w="220" w:type="dxa"/>
            </w:tcMar>
            <w:tcBorders>
              <w:left w:val="single" w:sz="36" w:space="0" w:color="16846F"/>
            </w:tcBorders>
          </w:tcPr>
          <w:p>
            <w:pPr>
              <w:spacing w:after="40"/>
            </w:pPr>
            <w:r>
              <w:rPr>
                <w:rFonts w:ascii="Calibri" w:hAnsi="Calibri" w:cs="Calibri"/>
                <w:b/>
                <w:i w:val="0"/>
                <w:color w:val="105A4C"/>
                <w:sz w:val="18"/>
              </w:rPr>
              <w:t>ВЫВОД</w:t>
            </w:r>
          </w:p>
          <w:p>
            <w:pPr>
              <w:spacing w:after="0" w:line="269" w:lineRule="auto"/>
            </w:pPr>
            <w:r>
              <w:rPr>
                <w:rFonts w:ascii="Calibri" w:hAnsi="Calibri" w:cs="Calibri"/>
                <w:b w:val="0"/>
                <w:i w:val="0"/>
                <w:color w:val="222B36"/>
                <w:sz w:val="21"/>
              </w:rPr>
              <w:t>Спрос на торговые площади в качественных центрах остаётся живым — арендаторы активно занимают места и запускают новые форматы. Но общий фон осторожный: внешние риски могут притормозить потребление, поэтому прогноз по рознице слегка понижен. Практический вывод для собственников стрит-ритейла: делать ставку на сильные локации и устойчивых, проверенных арендаторов, а не гнаться за любой подписью договора.</w:t>
            </w:r>
          </w:p>
        </w:tc>
      </w:tr>
    </w:tbl>
    <w:p>
      <w:pPr>
        <w:spacing w:before="0" w:after="12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c>
          <w:tcPr>
            <w:tcW w:type="dxa" w:w="9524"/>
            <w:shd w:val="clear" w:color="auto" w:fill="2C5F8A"/>
            <w:tcMar>
              <w:top w:w="120" w:type="dxa"/>
              <w:bottom w:w="120" w:type="dxa"/>
              <w:start w:w="200" w:type="dxa"/>
              <w:end w:w="200" w:type="dxa"/>
              <w:left w:w="200" w:type="dxa"/>
              <w:right w:w="200" w:type="dxa"/>
            </w:tcMar>
          </w:tcPr>
          <w:p>
            <w:pPr>
              <w:spacing w:after="0"/>
            </w:pPr>
            <w:r/>
            <w:r>
              <w:rPr>
                <w:rFonts w:ascii="Calibri" w:hAnsi="Calibri" w:cs="Calibri"/>
                <w:b/>
                <w:i w:val="0"/>
                <w:color w:val="FFFFFF"/>
                <w:sz w:val="28"/>
              </w:rPr>
              <w:t>🏭  Индустриал (склады, промзоны)</w:t>
            </w:r>
          </w:p>
        </w:tc>
      </w:tr>
    </w:tbl>
    <w:p>
      <w:pPr>
        <w:spacing w:before="200" w:after="60" w:line="269" w:lineRule="auto"/>
        <w:jc w:val="left"/>
        <w:pBdr>
          <w:bottom w:val="single" w:sz="6" w:space="2" w:color="D7DEE6"/>
        </w:pBdr>
      </w:pPr>
      <w:r>
        <w:rPr>
          <w:rFonts w:ascii="Calibri" w:hAnsi="Calibri" w:cs="Calibri"/>
          <w:b/>
          <w:i w:val="0"/>
          <w:color w:val="1E4466"/>
          <w:sz w:val="23"/>
        </w:rPr>
        <w:t>Изменения в законах и регулировании</w:t>
      </w:r>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С 1 июля 2026 меняются правила в зонах перегрузки электросети (netcongestie — это когда мощности сети физически не хватает на всех потребителей). Мелкие потребители (с подключением до 3×80 ампер) теряют ранее зарезервированную мощность и встают в общую очередь — а в ней уже около 15 000 крупных компаний. Приоритет на подключение получают только: решения, которые разгружают сеть (аккумуляторы, гибкое потребление), экстренные службы и базовые нужды (жильё, образование, транспорт, отопление). Это бьёт по компаниям, которые хотят расширяться или переходить на электричество в промзонах (bedrijventerreinen). Простыми словами: без свободной мощности в сети новый склад или цех просто негде «запитать».</w:t>
      </w:r>
    </w:p>
    <w:p>
      <w:pPr>
        <w:spacing w:before="0" w:after="80" w:line="240" w:lineRule="auto"/>
        <w:ind w:left="283"/>
        <w:jc w:val="left"/>
      </w:pPr>
      <w:r>
        <w:rPr>
          <w:rFonts w:ascii="Calibri" w:hAnsi="Calibri" w:cs="Calibri"/>
          <w:b w:val="0"/>
          <w:i/>
          <w:color w:val="6B7785"/>
          <w:sz w:val="17"/>
        </w:rPr>
        <w:t xml:space="preserve">   📅 2026-06-24   •   Источник: VNO-NCW West (объединение работодателей)</w:t>
      </w:r>
      <w:r>
        <w:rPr>
          <w:rFonts w:ascii="Calibri" w:hAnsi="Calibri" w:cs="Calibri"/>
          <w:b w:val="0"/>
          <w:i w:val="0"/>
          <w:color w:val="6B7785"/>
          <w:sz w:val="17"/>
        </w:rPr>
        <w:t xml:space="preserve">   </w:t>
      </w:r>
      <w:hyperlink r:id="rId22">
        <w:r>
          <w:rPr>
            <w:color w:val="1155CC"/>
            <w:sz w:val="17.0"/>
            <w:rFonts w:ascii="Calibri" w:hAnsi="Calibri"/>
            <w:u w:val="single"/>
          </w:rPr>
          <w:t xml:space="preserve">ссылка ↗</w:t>
        </w:r>
      </w:hyperlink>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Правительство (Rijksoverheid) представило пакет мер по азоту (stikstof) на 20 млрд евро. Суть проблемы: из-за строгих норм по выбросам соединений азота в Нидерландах годами не выдают разрешения на стройку — это прозвали «азотным замком» (stikstofslot). Новые меры: вводят расчётный нижний порог выбросов (проекты ниже него вообще не требуют разрешения) и буферные зоны 500–1000 м вокруг примерно 100 уязвимых природных территорий. Цель — снова разблокировать стройку жилья, дорог и энергосетей.</w:t>
      </w:r>
    </w:p>
    <w:p>
      <w:pPr>
        <w:spacing w:before="0" w:after="80" w:line="240" w:lineRule="auto"/>
        <w:ind w:left="283"/>
        <w:jc w:val="left"/>
      </w:pPr>
      <w:r>
        <w:rPr>
          <w:rFonts w:ascii="Calibri" w:hAnsi="Calibri" w:cs="Calibri"/>
          <w:b w:val="0"/>
          <w:i/>
          <w:color w:val="6B7785"/>
          <w:sz w:val="17"/>
        </w:rPr>
        <w:t xml:space="preserve">   📅 2026-06-26   •   Источник: Rijksoverheid (правительство)</w:t>
      </w:r>
      <w:r>
        <w:rPr>
          <w:rFonts w:ascii="Calibri" w:hAnsi="Calibri" w:cs="Calibri"/>
          <w:b w:val="0"/>
          <w:i w:val="0"/>
          <w:color w:val="6B7785"/>
          <w:sz w:val="17"/>
        </w:rPr>
        <w:t xml:space="preserve">   </w:t>
      </w:r>
      <w:hyperlink r:id="rId23">
        <w:r>
          <w:rPr>
            <w:color w:val="1155CC"/>
            <w:sz w:val="17.0"/>
            <w:rFonts w:ascii="Calibri" w:hAnsi="Calibri"/>
            <w:u w:val="single"/>
          </w:rPr>
          <w:t xml:space="preserve">ссылка ↗</w:t>
        </w:r>
      </w:hyperlink>
    </w:p>
    <w:p>
      <w:pPr>
        <w:spacing w:before="200" w:after="60" w:line="269" w:lineRule="auto"/>
        <w:jc w:val="left"/>
        <w:pBdr>
          <w:bottom w:val="single" w:sz="6" w:space="2" w:color="D7DEE6"/>
        </w:pBdr>
      </w:pPr>
      <w:r>
        <w:rPr>
          <w:rFonts w:ascii="Calibri" w:hAnsi="Calibri" w:cs="Calibri"/>
          <w:b/>
          <w:i w:val="0"/>
          <w:color w:val="1E4466"/>
          <w:sz w:val="23"/>
        </w:rPr>
        <w:t>Новости</w:t>
      </w:r>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ID Logistics (французская международная логистическая компания-подрядчик; так называемый 3PL — это значит, что она ведёт склады и доставку чужих товаров под заказ; выручка около 3,7 млрд евро, более 400 объектов в 18 странах, а в Нидерландах входит в топ-7 логистов) строит новый распределительный центр в городе Тиль площадью более 52 000 кв. м. Подрядчик стройки — нидерландская строительная компания Heembouw. Сейчас идут свайные работы; в здании будут офисы и площадка для логистических инноваций (Innovationbox).</w:t>
      </w:r>
    </w:p>
    <w:p>
      <w:pPr>
        <w:spacing w:before="0" w:after="80" w:line="240" w:lineRule="auto"/>
        <w:ind w:left="283"/>
        <w:jc w:val="left"/>
      </w:pPr>
      <w:r>
        <w:rPr>
          <w:rFonts w:ascii="Calibri" w:hAnsi="Calibri" w:cs="Calibri"/>
          <w:b w:val="0"/>
          <w:i/>
          <w:color w:val="6B7785"/>
          <w:sz w:val="17"/>
        </w:rPr>
        <w:t xml:space="preserve">   📅 2026-06-24   •   Источник: Warehouse Totaal (издание о складской логистике)</w:t>
      </w:r>
      <w:r>
        <w:rPr>
          <w:rFonts w:ascii="Calibri" w:hAnsi="Calibri" w:cs="Calibri"/>
          <w:b w:val="0"/>
          <w:i w:val="0"/>
          <w:color w:val="6B7785"/>
          <w:sz w:val="17"/>
        </w:rPr>
        <w:t xml:space="preserve">   </w:t>
      </w:r>
      <w:hyperlink r:id="rId24">
        <w:r>
          <w:rPr>
            <w:color w:val="1155CC"/>
            <w:sz w:val="17.0"/>
            <w:rFonts w:ascii="Calibri" w:hAnsi="Calibri"/>
            <w:u w:val="single"/>
          </w:rPr>
          <w:t xml:space="preserve">ссылка ↗</w:t>
        </w:r>
      </w:hyperlink>
    </w:p>
    <w:p>
      <w:pPr>
        <w:spacing w:before="40" w:after="40" w:line="264" w:lineRule="auto"/>
        <w:ind w:left="283" w:hanging="198"/>
        <w:jc w:val="left"/>
      </w:pPr>
      <w:r>
        <w:rPr>
          <w:rFonts w:ascii="Calibri" w:hAnsi="Calibri" w:cs="Calibri"/>
          <w:b/>
          <w:i w:val="0"/>
          <w:color w:val="6B7785"/>
          <w:sz w:val="21"/>
        </w:rPr>
        <w:t xml:space="preserve">▪  </w:t>
      </w:r>
      <w:r>
        <w:rPr>
          <w:rFonts w:ascii="Calibri" w:hAnsi="Calibri" w:cs="Calibri"/>
          <w:b w:val="0"/>
          <w:i w:val="0"/>
          <w:color w:val="222B36"/>
          <w:sz w:val="21"/>
        </w:rPr>
        <w:t>Van der Helm Logistics (нидерландская семейная логистическая компания из региона Вестланд, основана в 1936 году, около 200 сотрудников) строит распределительный центр площадью около 100 000 кв. м в логистическом парке Мурдейк (Logistiek Park Moerdijk) — с прямым выходом на автодорогу, воду и железную дорогу. Запуск намечен на конец 2026 года; параллельно компания строит ещё один центр у аэропорта Схипхол. Такие крупные объёмы говорят о сохраняющемся спросе на современные склады.</w:t>
      </w:r>
    </w:p>
    <w:p>
      <w:pPr>
        <w:spacing w:before="0" w:after="80" w:line="240" w:lineRule="auto"/>
        <w:ind w:left="283"/>
        <w:jc w:val="left"/>
      </w:pPr>
      <w:r>
        <w:rPr>
          <w:rFonts w:ascii="Calibri" w:hAnsi="Calibri" w:cs="Calibri"/>
          <w:b w:val="0"/>
          <w:i/>
          <w:color w:val="6B7785"/>
          <w:sz w:val="17"/>
        </w:rPr>
        <w:t xml:space="preserve">   📅 2026-06-23   •   Источник: Warehouse Totaal</w:t>
      </w:r>
      <w:r>
        <w:rPr>
          <w:rFonts w:ascii="Calibri" w:hAnsi="Calibri" w:cs="Calibri"/>
          <w:b w:val="0"/>
          <w:i w:val="0"/>
          <w:color w:val="6B7785"/>
          <w:sz w:val="17"/>
        </w:rPr>
        <w:t xml:space="preserve">   </w:t>
      </w:r>
      <w:hyperlink r:id="rId25">
        <w:r>
          <w:rPr>
            <w:color w:val="1155CC"/>
            <w:sz w:val="17.0"/>
            <w:rFonts w:ascii="Calibri" w:hAnsi="Calibri"/>
            <w:u w:val="single"/>
          </w:rPr>
          <w:t xml:space="preserve">ссылка ↗</w:t>
        </w:r>
      </w:hyperlink>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c>
          <w:tcPr>
            <w:tcW w:type="dxa" w:w="9524"/>
            <w:shd w:val="clear" w:color="auto" w:fill="EAF3EE"/>
            <w:tcMar>
              <w:top w:w="140" w:type="dxa"/>
              <w:bottom w:w="140" w:type="dxa"/>
              <w:start w:w="220" w:type="dxa"/>
              <w:end w:w="220" w:type="dxa"/>
              <w:left w:w="220" w:type="dxa"/>
              <w:right w:w="220" w:type="dxa"/>
            </w:tcMar>
            <w:tcBorders>
              <w:left w:val="single" w:sz="36" w:space="0" w:color="16846F"/>
            </w:tcBorders>
          </w:tcPr>
          <w:p>
            <w:pPr>
              <w:spacing w:after="40"/>
            </w:pPr>
            <w:r>
              <w:rPr>
                <w:rFonts w:ascii="Calibri" w:hAnsi="Calibri" w:cs="Calibri"/>
                <w:b/>
                <w:i w:val="0"/>
                <w:color w:val="105A4C"/>
                <w:sz w:val="18"/>
              </w:rPr>
              <w:t>ВЫВОД</w:t>
            </w:r>
          </w:p>
          <w:p>
            <w:pPr>
              <w:spacing w:after="0" w:line="269" w:lineRule="auto"/>
            </w:pPr>
            <w:r>
              <w:rPr>
                <w:rFonts w:ascii="Calibri" w:hAnsi="Calibri" w:cs="Calibri"/>
                <w:b w:val="0"/>
                <w:i w:val="0"/>
                <w:color w:val="222B36"/>
                <w:sz w:val="21"/>
              </w:rPr>
              <w:t>Главный фактор стоимости в индустриале сейчас — доступ к электрической мощности: с 1 июля правила при перегрузке сети (netcongestie) ужесточаются, и объекты с уже готовым подключением будут заметно дороже остальных. Девелопмент крупных складов продолжается (ID Logistics, Van der Helm) — спрос на современные площади есть, но фокус смещается туда, где инфраструктура уже готова. Пакет по азоту на 20 млрд евро может постепенно разблокировать стройку и энергосети — это позитив для сектора на горизонте нескольких лет.</w:t>
            </w:r>
          </w:p>
        </w:tc>
      </w:tr>
    </w:tbl>
    <w:p>
      <w:pPr>
        <w:spacing w:before="0" w:after="120" w:line="269" w:lineRule="auto"/>
        <w:jc w:val="left"/>
      </w:pPr>
    </w:p>
    <w:p>
      <w:pPr>
        <w:spacing w:before="200" w:after="0" w:line="269" w:lineRule="auto"/>
        <w:jc w:val="left"/>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W w:type="dxa" w:w="9525"/>
      </w:tblPr>
      <w:tblGrid>
        <w:gridCol w:w="9972"/>
      </w:tblGrid>
      <w:tr>
        <w:tc>
          <w:tcPr>
            <w:tcW w:type="dxa" w:w="9524"/>
            <w:shd w:val="clear" w:color="auto" w:fill="5D6D7E"/>
            <w:tcMar>
              <w:top w:w="120" w:type="dxa"/>
              <w:bottom w:w="120" w:type="dxa"/>
              <w:start w:w="200" w:type="dxa"/>
              <w:end w:w="200" w:type="dxa"/>
              <w:left w:w="200" w:type="dxa"/>
              <w:right w:w="200" w:type="dxa"/>
            </w:tcMar>
          </w:tcPr>
          <w:p>
            <w:pPr>
              <w:spacing w:after="0"/>
            </w:pPr>
            <w:r/>
            <w:r>
              <w:rPr>
                <w:rFonts w:ascii="Calibri" w:hAnsi="Calibri" w:cs="Calibri"/>
                <w:b/>
                <w:i w:val="0"/>
                <w:color w:val="FFFFFF"/>
                <w:sz w:val="28"/>
              </w:rPr>
              <w:t>🔗  Источники</w:t>
            </w:r>
          </w:p>
        </w:tc>
      </w:tr>
    </w:tbl>
    <w:p>
      <w:pPr>
        <w:spacing w:before="0" w:after="40" w:line="269" w:lineRule="auto"/>
        <w:jc w:val="left"/>
      </w:pPr>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CBS — Статбюро Нидерландов  </w:t>
      </w:r>
      <w:hyperlink r:id="rId26">
        <w:r>
          <w:rPr>
            <w:color w:val="1155CC"/>
            <w:sz w:val="18"/>
            <w:rFonts w:ascii="Calibri" w:hAnsi="Calibri"/>
            <w:u w:val="single"/>
          </w:rPr>
          <w:t xml:space="preserve">https://www.cbs.nl</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Kadaster — кадастр (реестр сделок)  </w:t>
      </w:r>
      <w:hyperlink r:id="rId27">
        <w:r>
          <w:rPr>
            <w:color w:val="1155CC"/>
            <w:sz w:val="18"/>
            <w:rFonts w:ascii="Calibri" w:hAnsi="Calibri"/>
            <w:u w:val="single"/>
          </w:rPr>
          <w:t xml:space="preserve">https://www.kadaster.nl</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Eerste Kamer — Сенат (верхняя палата)  </w:t>
      </w:r>
      <w:hyperlink r:id="rId28">
        <w:r>
          <w:rPr>
            <w:color w:val="1155CC"/>
            <w:sz w:val="18"/>
            <w:rFonts w:ascii="Calibri" w:hAnsi="Calibri"/>
            <w:u w:val="single"/>
          </w:rPr>
          <w:t xml:space="preserve">https://www.eerstekamer.nl</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Rijksoverheid — правительство  </w:t>
      </w:r>
      <w:hyperlink r:id="rId29">
        <w:r>
          <w:rPr>
            <w:color w:val="1155CC"/>
            <w:sz w:val="18"/>
            <w:rFonts w:ascii="Calibri" w:hAnsi="Calibri"/>
            <w:u w:val="single"/>
          </w:rPr>
          <w:t xml:space="preserve">https://www.rijksoverheid.nl</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Vastgoedjournaal — новости недвижимости  </w:t>
      </w:r>
      <w:hyperlink r:id="rId30">
        <w:r>
          <w:rPr>
            <w:color w:val="1155CC"/>
            <w:sz w:val="18"/>
            <w:rFonts w:ascii="Calibri" w:hAnsi="Calibri"/>
            <w:u w:val="single"/>
          </w:rPr>
          <w:t xml:space="preserve">https://vastgoedjournaal.nl</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Warehouse Totaal — складская логистика  </w:t>
      </w:r>
      <w:hyperlink r:id="rId31">
        <w:r>
          <w:rPr>
            <w:color w:val="1155CC"/>
            <w:sz w:val="18"/>
            <w:rFonts w:ascii="Calibri" w:hAnsi="Calibri"/>
            <w:u w:val="single"/>
          </w:rPr>
          <w:t xml:space="preserve">https://www.warehousetotaal.nl</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VNO-NCW West — объединение работодателей  </w:t>
      </w:r>
      <w:hyperlink r:id="rId32">
        <w:r>
          <w:rPr>
            <w:color w:val="1155CC"/>
            <w:sz w:val="18"/>
            <w:rFonts w:ascii="Calibri" w:hAnsi="Calibri"/>
            <w:u w:val="single"/>
          </w:rPr>
          <w:t xml:space="preserve">https://www.vno-ncwwest.nl</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Accountancy Vanmorgen — налоги/учёт  </w:t>
      </w:r>
      <w:hyperlink r:id="rId33">
        <w:r>
          <w:rPr>
            <w:color w:val="1155CC"/>
            <w:sz w:val="18"/>
            <w:rFonts w:ascii="Calibri" w:hAnsi="Calibri"/>
            <w:u w:val="single"/>
          </w:rPr>
          <w:t xml:space="preserve">https://www.accountancyvanmorgen.nl</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Arom — жилищное строительство  </w:t>
      </w:r>
      <w:hyperlink r:id="rId34">
        <w:r>
          <w:rPr>
            <w:color w:val="1155CC"/>
            <w:sz w:val="18"/>
            <w:rFonts w:ascii="Calibri" w:hAnsi="Calibri"/>
            <w:u w:val="single"/>
          </w:rPr>
          <w:t xml:space="preserve">https://www.arom.nl</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VTW — жилищные корпорации  </w:t>
      </w:r>
      <w:hyperlink r:id="rId35">
        <w:r>
          <w:rPr>
            <w:color w:val="1155CC"/>
            <w:sz w:val="18"/>
            <w:rFonts w:ascii="Calibri" w:hAnsi="Calibri"/>
            <w:u w:val="single"/>
          </w:rPr>
          <w:t xml:space="preserve">https://vtw.nl</w:t>
        </w:r>
      </w:hyperlink>
    </w:p>
    <w:p>
      <w:pPr>
        <w:spacing w:before="200" w:after="0" w:line="269" w:lineRule="auto"/>
        <w:jc w:val="left"/>
      </w:pPr>
    </w:p>
    <w:p>
      <w:pPr>
        <w:spacing w:before="120" w:after="0" w:line="269" w:lineRule="auto"/>
        <w:jc w:val="left"/>
        <w:pBdr>
          <w:top w:val="single" w:sz="6" w:space="4" w:color="D7DEE6"/>
        </w:pBdr>
      </w:pPr>
      <w:r>
        <w:rPr>
          <w:rFonts w:ascii="Calibri" w:hAnsi="Calibri" w:cs="Calibri"/>
          <w:b w:val="0"/>
          <w:i/>
          <w:color w:val="6B7785"/>
          <w:sz w:val="16"/>
        </w:rPr>
        <w:t>Дисклеймер: материал носит информационно-аналитический характер, подготовлен на основе открытых источников и не является инвестиционной рекомендацией. Проверяйте данные по первоисточникам перед принятием решений.</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785"/>
        <w:sz w:val="16"/>
      </w:rPr>
      <w:t xml:space="preserve">Стр. </w:t>
      <w:fldChar w:fldCharType="begin"/>
      <w:instrText xml:space="preserve">PAGE</w:instrText>
      <w:fldChar w:fldCharType="end"/>
    </w:r>
    <w:r>
      <w:rPr>
        <w:rFonts w:ascii="Calibri" w:hAnsi="Calibri"/>
        <w:color w:val="6B7785"/>
        <w:sz w:val="16"/>
      </w:rPr>
      <w:t xml:space="preserve"> из </w:t>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b w:val="0"/>
        <w:i w:val="0"/>
        <w:color w:val="6B7785"/>
        <w:sz w:val="16"/>
      </w:rPr>
      <w:t>Недвижимость Нидерландов · 22–28 июня 2026 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color w:val="222B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eerstekamer.nl/nieuws/20260624/senaat_steunt_versterken_regie_op" TargetMode="External"/><Relationship Id="rId12" Type="http://schemas.openxmlformats.org/officeDocument/2006/relationships/hyperlink" Target="https://www.arom.nl/wet-versterking-regie-volkshuisvesting-aangenomen-kortere-procedures-woningbouw/" TargetMode="External"/><Relationship Id="rId13" Type="http://schemas.openxmlformats.org/officeDocument/2006/relationships/hyperlink" Target="https://www.accountancyvanmorgen.nl/2026/06/25/hoge-raad-geen-rechtsherstel-voor-niet-bezwaarmakers-in-box-3/" TargetMode="External"/><Relationship Id="rId14" Type="http://schemas.openxmlformats.org/officeDocument/2006/relationships/hyperlink" Target="https://vtw.nl/nieuws/politiek-nieuwsoverzicht-22-juni-2026" TargetMode="External"/><Relationship Id="rId15" Type="http://schemas.openxmlformats.org/officeDocument/2006/relationships/hyperlink" Target="https://www.cbs.nl/nl-nl/nieuws/2026/26/koopwoningen-in-mei-ruim-4-procent-duurder-dan-jaar-eerder" TargetMode="External"/><Relationship Id="rId16" Type="http://schemas.openxmlformats.org/officeDocument/2006/relationships/hyperlink" Target="https://www.cbs.nl/nl-nl/cijfers/detail/85773NED" TargetMode="External"/><Relationship Id="rId17" Type="http://schemas.openxmlformats.org/officeDocument/2006/relationships/hyperlink" Target="https://www.kadaster.nl/-/koopwoningen-in-mei-ruim-4-duurder-dan-jaar-eerder" TargetMode="External"/><Relationship Id="rId18" Type="http://schemas.openxmlformats.org/officeDocument/2006/relationships/hyperlink" Target="https://vastgoedjournaal.nl/news/73468/nieuwe-huurders-voor-cityplaza-nieuwegein" TargetMode="External"/><Relationship Id="rId19" Type="http://schemas.openxmlformats.org/officeDocument/2006/relationships/hyperlink" Target="https://vastgoedjournaal.nl/news/73484/van-uffelen-mode-naar-middenwaard-heerhugowaard" TargetMode="External"/><Relationship Id="rId20" Type="http://schemas.openxmlformats.org/officeDocument/2006/relationships/hyperlink" Target="https://vastgoedjournaal.nl/news/73511/scapino-opent-nieuwe-winkels-in-dedemsvaart-en-kerkrade" TargetMode="External"/><Relationship Id="rId21" Type="http://schemas.openxmlformats.org/officeDocument/2006/relationships/hyperlink" Target="https://vastgoedjournaal.nl/news/73460/retailvooruitzichten-licht-omlaag-door-nasleep-midden-oostenconflict" TargetMode="External"/><Relationship Id="rId22" Type="http://schemas.openxmlformats.org/officeDocument/2006/relationships/hyperlink" Target="https://www.vno-ncwwest.nl/nieuwe-regels-bij-netcongestie-vanaf-1-juli-2026-wat-betekent-dit-voor-ondernemers/" TargetMode="External"/><Relationship Id="rId23" Type="http://schemas.openxmlformats.org/officeDocument/2006/relationships/hyperlink" Target="https://www.rijksoverheid.nl/actueel/nieuws/2026/06/26/kabinet-haalt-nederland-van-het-stikstofslot-met-stevig-pakket-weer-ruimte-voor-boer-natuur-en-bouw" TargetMode="External"/><Relationship Id="rId24" Type="http://schemas.openxmlformats.org/officeDocument/2006/relationships/hyperlink" Target="https://www.warehousetotaal.nl/warehousing/logistiek-vastgoed/dit-wordt-het-nieuwe-distributiecentrum-van-id-logistics-in-nederland/144130/" TargetMode="External"/><Relationship Id="rId25" Type="http://schemas.openxmlformats.org/officeDocument/2006/relationships/hyperlink" Target="https://www.warehousetotaal.nl/warehousing/logistiek-vastgoed/bouw-100-000-m%C2%B2-groot-distributiecentrum-van-der-helm-logistics-vordert-gestaag-de-eerste-beelden/144110/" TargetMode="External"/><Relationship Id="rId26" Type="http://schemas.openxmlformats.org/officeDocument/2006/relationships/hyperlink" Target="https://www.cbs.nl" TargetMode="External"/><Relationship Id="rId27" Type="http://schemas.openxmlformats.org/officeDocument/2006/relationships/hyperlink" Target="https://www.kadaster.nl" TargetMode="External"/><Relationship Id="rId28" Type="http://schemas.openxmlformats.org/officeDocument/2006/relationships/hyperlink" Target="https://www.eerstekamer.nl" TargetMode="External"/><Relationship Id="rId29" Type="http://schemas.openxmlformats.org/officeDocument/2006/relationships/hyperlink" Target="https://www.rijksoverheid.nl" TargetMode="External"/><Relationship Id="rId30" Type="http://schemas.openxmlformats.org/officeDocument/2006/relationships/hyperlink" Target="https://vastgoedjournaal.nl" TargetMode="External"/><Relationship Id="rId31" Type="http://schemas.openxmlformats.org/officeDocument/2006/relationships/hyperlink" Target="https://www.warehousetotaal.nl" TargetMode="External"/><Relationship Id="rId32" Type="http://schemas.openxmlformats.org/officeDocument/2006/relationships/hyperlink" Target="https://www.vno-ncwwest.nl" TargetMode="External"/><Relationship Id="rId33" Type="http://schemas.openxmlformats.org/officeDocument/2006/relationships/hyperlink" Target="https://www.accountancyvanmorgen.nl" TargetMode="External"/><Relationship Id="rId34" Type="http://schemas.openxmlformats.org/officeDocument/2006/relationships/hyperlink" Target="https://www.arom.nl" TargetMode="External"/><Relationship Id="rId35" Type="http://schemas.openxmlformats.org/officeDocument/2006/relationships/hyperlink" Target="https://vtw.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