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Аренда на Amsterdamsestraatweg 268: что покажут баллы</w:t>
      </w:r>
    </w:p>
    <w:p>
      <w:pPr>
        <w:spacing w:after="40"/>
      </w:pPr>
      <w:r>
        <w:rPr>
          <w:color w:val="A50F5C"/>
          <w:sz w:val="25"/>
          <w:szCs w:val="25"/>
        </w:rPr>
        <w:t xml:space="preserve">Сравнение трёх расчётов Huurprijscheck, проверка цифр и план, как поднять аренду</w:t>
      </w:r>
    </w:p>
    <w:p>
      <w:pPr>
        <w:pBdr>
          <w:bottom w:val="single" w:color="1F3864" w:sz="8" w:space="6"/>
        </w:pBdr>
        <w:spacing w:after="260"/>
      </w:pPr>
      <w:r>
        <w:rPr>
          <w:color w:val="595959"/>
          <w:sz w:val="21"/>
          <w:szCs w:val="21"/>
        </w:rPr>
        <w:t xml:space="preserve">Utrecht, 3551 CS  ·  расчёты сделаны 27.08.2026 на сайте Huurcommissie  ·  действуют цены таблицы 2026 года</w:t>
      </w:r>
    </w:p>
    <w:p>
      <w:pPr>
        <w:pStyle w:val="Heading1"/>
        <w:spacing w:after="160" w:before="340"/>
      </w:pPr>
      <w:r>
        <w:rPr>
          <w:b/>
          <w:bCs/>
          <w:color w:val="1F3864"/>
          <w:sz w:val="30"/>
          <w:szCs w:val="30"/>
        </w:rPr>
        <w:t xml:space="preserve">1. Коротко: главный ответ</w:t>
      </w:r>
    </w:p>
    <w:p>
      <w:pPr>
        <w:spacing w:after="140" w:line="288"/>
      </w:pPr>
      <w:r>
        <w:t xml:space="preserve">Мы сравнили три ваших расчёта, перепроверили каждую цифру (ошибок нет — проверка в разделе 4) и вот что получилось. </w:t>
      </w:r>
      <w:r>
        <w:rPr>
          <w:b/>
          <w:bCs/>
          <w:color w:val="2E7D32"/>
        </w:rPr>
        <w:t xml:space="preserve">Разница между лейблом B и лейблом C — € 82 в месяц, почти € 1 000 в год. </w:t>
      </w:r>
      <w:r>
        <w:rPr>
          <w:b/>
          <w:bCs/>
        </w:rPr>
        <w:t xml:space="preserve">Разница между WOZ-стоимостью € 210 000 и € 230 000 — только € 20,55 в месяц.</w:t>
      </w:r>
    </w:p>
    <w:p>
      <w:pPr>
        <w:spacing w:after="140" w:line="288"/>
      </w:pPr>
      <w:r>
        <w:t xml:space="preserve">То есть энерголейбл влияет на аренду </w:t>
      </w:r>
      <w:r>
        <w:rPr>
          <w:b/>
          <w:bCs/>
        </w:rPr>
        <w:t xml:space="preserve">вчетверо сильнее</w:t>
      </w:r>
      <w:r>
        <w:t xml:space="preserve">, чем весь ваш диапазон неопределённости по WOZ. Отсюда простая стратегия: </w:t>
      </w:r>
      <w:r>
        <w:rPr>
          <w:b/>
          <w:bCs/>
        </w:rPr>
        <w:t xml:space="preserve">WOZ можно спокойно ждать до 2027 года — а вот лейблом стоит заняться уже сейчас</w:t>
      </w:r>
      <w:r>
        <w:t xml:space="preserve">, и обязательно его зарегистрировать. Конкретные шаги с расчётом выгоды — в разделе 7.</w:t>
      </w:r>
    </w:p>
    <w:p>
      <w:pPr>
        <w:pStyle w:val="Heading1"/>
        <w:spacing w:after="160" w:before="340"/>
      </w:pPr>
      <w:r>
        <w:rPr>
          <w:b/>
          <w:bCs/>
          <w:color w:val="1F3864"/>
          <w:sz w:val="30"/>
          <w:szCs w:val="30"/>
        </w:rPr>
        <w:t xml:space="preserve">2. Как вообще работает эта система</w:t>
      </w:r>
    </w:p>
    <w:p>
      <w:pPr>
        <w:spacing w:after="140" w:line="288"/>
      </w:pPr>
      <w:r>
        <w:t xml:space="preserve">В Нидерландах аренда большинства квартир ограничена государственной системой баллов — WWS (</w:t>
      </w:r>
      <w:r>
        <w:rPr>
          <w:i/>
          <w:iCs/>
        </w:rPr>
        <w:t xml:space="preserve">woningwaarderingsstelsel</w:t>
      </w:r>
      <w:r>
        <w:t xml:space="preserve">). Идея простая: квартира «зарабатывает» баллы за каждое своё свойство — площадь комнат, кухню, санузел, террасу, энергоэффективность и официальную оценку стоимости жилья (WOZ-waarde, её ежегодно определяет муниципалитет). Сумма баллов по государственной таблице превращается в потолок месячной аренды.</w:t>
      </w:r>
    </w:p>
    <w:p>
      <w:pPr>
        <w:pBdr>
          <w:left w:val="single" w:color="E5A300" w:sz="18" w:space="4"/>
        </w:pBdr>
        <w:shd w:fill="FFF7E6" w:val="clear"/>
        <w:spacing w:after="160" w:before="60" w:line="288"/>
        <w:ind w:left="200" w:right="200"/>
      </w:pPr>
      <w:r>
        <w:rPr>
          <w:sz w:val="21"/>
          <w:szCs w:val="21"/>
        </w:rPr>
        <w:t xml:space="preserve">Для вашей квартиры в ценах 2026 года каждый балл стоит примерно </w:t>
      </w:r>
      <w:r>
        <w:rPr>
          <w:b/>
          <w:bCs/>
          <w:sz w:val="21"/>
          <w:szCs w:val="21"/>
        </w:rPr>
        <w:t xml:space="preserve">€ 6,86 в месяц</w:t>
      </w:r>
      <w:r>
        <w:rPr>
          <w:sz w:val="21"/>
          <w:szCs w:val="21"/>
        </w:rPr>
        <w:t xml:space="preserve">. Итог округляется до целого числа баллов (0,5 и больше — вверх).</w:t>
      </w:r>
    </w:p>
    <w:p>
      <w:pPr>
        <w:spacing w:after="140" w:line="288"/>
      </w:pPr>
      <w:r>
        <w:t xml:space="preserve">Баллы определяют не только потолок цены, но и «зону регулирования»: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b/>
          <w:bCs/>
        </w:rPr>
        <w:t xml:space="preserve">до 143 баллов — социальная аренда</w:t>
      </w:r>
      <w:r>
        <w:t xml:space="preserve"> (сюда попадают все три ваших сценария): потолок жёсткий, в 2026 году зона заканчивается на ≈ € 924;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b/>
          <w:bCs/>
        </w:rPr>
        <w:t xml:space="preserve">144–186 баллов — middenhuur</w:t>
      </w:r>
      <w:r>
        <w:t xml:space="preserve"> («средний» сегмент): потолок продолжает расти по той же таблице, до € 1 228 в 2026 году;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b/>
          <w:bCs/>
        </w:rPr>
        <w:t xml:space="preserve">от 187 баллов — свободный рынок</w:t>
      </w:r>
      <w:r>
        <w:t xml:space="preserve">: потолка нет. Забегая вперёд: для этой квартиры он недостижим — и это нормально, площадь небольшая.</w:t>
      </w:r>
    </w:p>
    <w:p>
      <w:pPr>
        <w:pStyle w:val="Heading1"/>
        <w:spacing w:after="160" w:before="340"/>
      </w:pPr>
      <w:r>
        <w:rPr>
          <w:b/>
          <w:bCs/>
          <w:color w:val="1F3864"/>
          <w:sz w:val="30"/>
          <w:szCs w:val="30"/>
        </w:rPr>
        <w:t xml:space="preserve">3. Три расчёта рядом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42"/>
        <w:gridCol w:w="1942"/>
        <w:gridCol w:w="1942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/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Расчёт 1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Расчёт 2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Расчёт 3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Энерголейбл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C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WOZ-waarde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€ 230 000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Баллы за лейбл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34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22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22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Баллы за WOZ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33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33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36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Баллы за всё остальное (помещения, кухня, санузел, терраса)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72,75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72,75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72,75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Итого баллов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140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128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131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Максимальная аренда в месяц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€ 912,26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€ 829,94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€ 850,49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То же за год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€ 10 947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€ 9 959</w:t>
            </w:r>
          </w:p>
        </w:tc>
        <w:tc>
          <w:tcPr>
            <w:tcW w:type="dxa" w:w="19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€ 10 206</w:t>
            </w:r>
          </w:p>
        </w:tc>
      </w:tr>
    </w:tbl>
    <w:p>
      <w:pPr>
        <w:spacing w:before="120"/>
      </w:pPr>
      <w:r>
        <w:t xml:space="preserve">Обратите внимание: строка «всё остальное» во всех трёх расчётах одинакова — 72,75 балла. Менялся только верхний блок: WOZ и лейбл. Поэтому вся разница между сценариями — это в чистом виде разница этих двух параметров, ничего больше.</w:t>
      </w:r>
    </w:p>
    <w:p>
      <w:pPr>
        <w:pStyle w:val="Heading1"/>
        <w:spacing w:after="160" w:before="340"/>
      </w:pPr>
      <w:r>
        <w:rPr>
          <w:b/>
          <w:bCs/>
          <w:color w:val="1F3864"/>
          <w:sz w:val="30"/>
          <w:szCs w:val="30"/>
        </w:rPr>
        <w:t xml:space="preserve">4. Перепроверка: всё ли правильно посчитано</w:t>
      </w:r>
    </w:p>
    <w:p>
      <w:pPr>
        <w:spacing w:after="140" w:line="288"/>
      </w:pPr>
      <w:r>
        <w:t xml:space="preserve">Мы пересчитали каждую строку заново, по правилам WWS. </w:t>
      </w:r>
      <w:r>
        <w:rPr>
          <w:b/>
          <w:bCs/>
        </w:rPr>
        <w:t xml:space="preserve">Ошибок нет — все цифры сайта Huurcommissie подтверждаются.</w:t>
      </w:r>
      <w:r>
        <w:t xml:space="preserve"> Вот как складываются те самые 72,75 «постоянных» балла: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1400"/>
        <w:gridCol w:w="1626"/>
      </w:tblGrid>
      <w:tr>
        <w:trPr>
          <w:tblHeader/>
        </w:trPr>
        <w:tc>
          <w:tcPr>
            <w:tcW w:type="dxa" w:w="6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Из чего складывается постоянная часть</w:t>
            </w:r>
          </w:p>
        </w:tc>
        <w:tc>
          <w:tcPr>
            <w:tcW w:type="dxa" w:w="1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Расчёт</w:t>
            </w:r>
          </w:p>
        </w:tc>
        <w:tc>
          <w:tcPr>
            <w:tcW w:type="dxa" w:w="1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Баллы</w:t>
            </w:r>
          </w:p>
        </w:tc>
      </w:tr>
      <w:tr>
        <w:tc>
          <w:tcPr>
            <w:tcW w:type="dxa" w:w="6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Комнаты: гостиная с кухней 20,4 м² + спальня 9,28 м² + ванная 2,66 м² = 32,34 → 32 м², по 1 баллу за м²</w:t>
            </w:r>
          </w:p>
        </w:tc>
        <w:tc>
          <w:tcPr>
            <w:tcW w:type="dxa" w:w="1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32 × 1</w:t>
            </w:r>
          </w:p>
        </w:tc>
        <w:tc>
          <w:tcPr>
            <w:tcW w:type="dxa" w:w="1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32</w:t>
            </w:r>
          </w:p>
        </w:tc>
      </w:tr>
      <w:tr>
        <w:tc>
          <w:tcPr>
            <w:tcW w:type="dxa" w:w="6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1"/>
                <w:szCs w:val="21"/>
              </w:rPr>
              <w:t xml:space="preserve">Чердачная кладовая 13 м², по 0,75 балла за м², </w:t>
            </w:r>
            <w:r>
              <w:rPr>
                <w:b/>
                <w:bCs/>
                <w:sz w:val="21"/>
                <w:szCs w:val="21"/>
              </w:rPr>
              <w:t xml:space="preserve">минус 5 баллов за отсутствие стационарной лестницы</w:t>
            </w:r>
            <w:r>
              <w:rPr>
                <w:color w:val="595959"/>
                <w:sz w:val="21"/>
                <w:szCs w:val="21"/>
              </w:rPr>
              <w:t xml:space="preserve"> (запомните этот вычет — он ещё пригодится в разделе 7)</w:t>
            </w:r>
          </w:p>
        </w:tc>
        <w:tc>
          <w:tcPr>
            <w:tcW w:type="dxa" w:w="1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9,75 − 5</w:t>
            </w:r>
          </w:p>
        </w:tc>
        <w:tc>
          <w:tcPr>
            <w:tcW w:type="dxa" w:w="1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4,75</w:t>
            </w:r>
          </w:p>
        </w:tc>
      </w:tr>
      <w:tr>
        <w:tc>
          <w:tcPr>
            <w:tcW w:type="dxa" w:w="6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Отопление: гостиная-кухня 4 + спальня 2 + ванная 2</w:t>
            </w:r>
          </w:p>
        </w:tc>
        <w:tc>
          <w:tcPr>
            <w:tcW w:type="dxa" w:w="1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4+2+2</w:t>
            </w:r>
          </w:p>
        </w:tc>
        <w:tc>
          <w:tcPr>
            <w:tcW w:type="dxa" w:w="1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8</w:t>
            </w:r>
          </w:p>
        </w:tc>
      </w:tr>
      <w:tr>
        <w:tc>
          <w:tcPr>
            <w:tcW w:type="dxa" w:w="6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Кухня: 7 за столешницу длиннее 2 м + 5,5 за технику (индукция 1,75; духовка 1; СВЧ 1; вытяжка 0,75; шкафы 0,75; смеситель 0,25)</w:t>
            </w:r>
          </w:p>
        </w:tc>
        <w:tc>
          <w:tcPr>
            <w:tcW w:type="dxa" w:w="1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 + 5,5</w:t>
            </w:r>
          </w:p>
        </w:tc>
        <w:tc>
          <w:tcPr>
            <w:tcW w:type="dxa" w:w="1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12,50</w:t>
            </w:r>
          </w:p>
        </w:tc>
      </w:tr>
      <w:tr>
        <w:tc>
          <w:tcPr>
            <w:tcW w:type="dxa" w:w="6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Санузел: душ 4 + туалет 2 + раковина 1 = 7, плюс 3 за оснащение (стенка душа 1,25; полотенцесушитель 0,75; шкафчик 0,75; смеситель 0,25)</w:t>
            </w:r>
          </w:p>
        </w:tc>
        <w:tc>
          <w:tcPr>
            <w:tcW w:type="dxa" w:w="1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 + 3</w:t>
            </w:r>
          </w:p>
        </w:tc>
        <w:tc>
          <w:tcPr>
            <w:tcW w:type="dxa" w:w="1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10</w:t>
            </w:r>
          </w:p>
        </w:tc>
      </w:tr>
      <w:tr>
        <w:tc>
          <w:tcPr>
            <w:tcW w:type="dxa" w:w="6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Терраса на крыше 9,62 → 10 м²: 2 балла базово + 0,35 за м²</w:t>
            </w:r>
          </w:p>
        </w:tc>
        <w:tc>
          <w:tcPr>
            <w:tcW w:type="dxa" w:w="1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 + 3,5</w:t>
            </w:r>
          </w:p>
        </w:tc>
        <w:tc>
          <w:tcPr>
            <w:tcW w:type="dxa" w:w="1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5,50</w:t>
            </w:r>
          </w:p>
        </w:tc>
      </w:tr>
      <w:tr>
        <w:tc>
          <w:tcPr>
            <w:tcW w:type="dxa" w:w="6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Итого постоянная часть</w:t>
            </w:r>
          </w:p>
        </w:tc>
        <w:tc>
          <w:tcPr>
            <w:tcW w:type="dxa" w:w="1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72,75</w:t>
            </w:r>
          </w:p>
        </w:tc>
      </w:tr>
    </w:tbl>
    <w:p>
      <w:pPr>
        <w:spacing w:before="160"/>
      </w:pPr>
      <w:r>
        <w:t xml:space="preserve">Дальше простая арифметика, сходится во всех трёх случаях: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Расчёт 1: 72,75 + 33 (WOZ) + 34 (лейбл B) = 139,75 → округляем → 140 баллов → € 912,26;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Расчёт 2: 72,75 + 33 + 22 (лейбл C) = 127,75 → 128 баллов → € 829,94;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Расчёт 3: 72,75 + 36 (WOZ 230 тыс.) + 22 = 130,75 → 131 балл → € 850,49.</w:t>
      </w:r>
    </w:p>
    <w:p>
      <w:pPr>
        <w:spacing w:after="140" w:line="288"/>
      </w:pPr>
      <w:r>
        <w:t xml:space="preserve">И ещё одна проверка «на честность»: три официальные суммы аренды идеально ложатся на одну прямую (€ 6,86 × баллы − € 48; расхождение — 3 цента). Это значит, что сайт считал все три варианта по одной и той же таблице, без сбоев, и наши сравнения корректны.</w:t>
      </w:r>
    </w:p>
    <w:p>
      <w:pPr>
        <w:pStyle w:val="Heading1"/>
        <w:spacing w:after="160" w:before="340"/>
      </w:pPr>
      <w:r>
        <w:rPr>
          <w:b/>
          <w:bCs/>
          <w:color w:val="1F3864"/>
          <w:sz w:val="30"/>
          <w:szCs w:val="30"/>
        </w:rPr>
        <w:t xml:space="preserve">5. Почему лейбл важнее, чем WOZ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300"/>
        <w:gridCol w:w="1900"/>
        <w:gridCol w:w="1926"/>
      </w:tblGrid>
      <w:tr>
        <w:trPr>
          <w:tblHeader/>
        </w:trPr>
        <w:tc>
          <w:tcPr>
            <w:tcW w:type="dxa" w:w="3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Что меняем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Баллы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€ в месяц</w:t>
            </w:r>
          </w:p>
        </w:tc>
        <w:tc>
          <w:tcPr>
            <w:tcW w:type="dxa" w:w="19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€ в год</w:t>
            </w:r>
          </w:p>
        </w:tc>
      </w:tr>
      <w:tr>
        <w:tc>
          <w:tcPr>
            <w:tcW w:type="dxa" w:w="3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Лейбл C → B</w:t>
            </w:r>
            <w:r>
              <w:rPr>
                <w:color w:val="595959"/>
                <w:sz w:val="19"/>
                <w:szCs w:val="19"/>
              </w:rPr>
              <w:t xml:space="preserve">  (при одинаковой WOZ € 210 000)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+12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+82,32</w:t>
            </w:r>
          </w:p>
        </w:tc>
        <w:tc>
          <w:tcPr>
            <w:tcW w:type="dxa" w:w="19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≈ +988</w:t>
            </w:r>
          </w:p>
        </w:tc>
      </w:tr>
      <w:tr>
        <w:tc>
          <w:tcPr>
            <w:tcW w:type="dxa" w:w="3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WOZ +€ 20 000</w:t>
            </w:r>
            <w:r>
              <w:rPr>
                <w:color w:val="595959"/>
                <w:sz w:val="19"/>
                <w:szCs w:val="19"/>
              </w:rPr>
              <w:t xml:space="preserve">  (при одинаковом лейбле C)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+3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+20,55</w:t>
            </w:r>
          </w:p>
        </w:tc>
        <w:tc>
          <w:tcPr>
            <w:tcW w:type="dxa" w:w="19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+247</w:t>
            </w:r>
          </w:p>
        </w:tc>
      </w:tr>
    </w:tbl>
    <w:p>
      <w:pPr>
        <w:spacing w:before="160"/>
      </w:pPr>
      <w:r>
        <w:t xml:space="preserve">Почему так? Шкала лейблов очень «крутая»: за один шаг C→B дают сразу 12 баллов. А стоимость жилья конвертируется в баллы медленно — примерно </w:t>
      </w:r>
      <w:r>
        <w:rPr>
          <w:b/>
          <w:bCs/>
        </w:rPr>
        <w:t xml:space="preserve">1 балл за каждые € 6 700 WOZ</w:t>
      </w:r>
      <w:r>
        <w:t xml:space="preserve">. Чтобы WOZ «догнала» один шаг лейбла, ей пришлось бы вырасти на € 80 000 — такого сюрприза от муниципальной оценки ждать не стоит.</w:t>
      </w:r>
    </w:p>
    <w:p>
      <w:pPr>
        <w:pBdr>
          <w:left w:val="single" w:color="E5A300" w:sz="18" w:space="4"/>
        </w:pBdr>
        <w:shd w:fill="FFF7E6" w:val="clear"/>
        <w:spacing w:after="160" w:before="60" w:line="288"/>
        <w:ind w:left="200" w:right="200"/>
      </w:pPr>
      <w:r>
        <w:rPr>
          <w:b/>
          <w:bCs/>
          <w:sz w:val="21"/>
          <w:szCs w:val="21"/>
        </w:rPr>
        <w:t xml:space="preserve">Практический вывод: </w:t>
      </w:r>
      <w:r>
        <w:rPr>
          <w:sz w:val="21"/>
          <w:szCs w:val="21"/>
        </w:rPr>
        <w:t xml:space="preserve">неопределённость по WOZ почти не мешает планировать — считайте по консервативным € 210 000 и ошибётесь максимум на € 20 в месяц. А вот неопределённость «B или C» стоит ± € 1 000 в год — именно её нужно снимать в первую очередь: заказать официальное энергообследование.</w:t>
      </w:r>
    </w:p>
    <w:p>
      <w:pPr>
        <w:pStyle w:val="Heading2"/>
        <w:spacing w:after="120" w:before="240"/>
      </w:pPr>
      <w:r>
        <w:rPr>
          <w:b/>
          <w:bCs/>
          <w:color w:val="2E5E9E"/>
          <w:sz w:val="25"/>
          <w:szCs w:val="25"/>
        </w:rPr>
        <w:t xml:space="preserve">Сколько баллов даёт каждый лейбл (дом типа eengezinswoning)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Лейбл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Баллы</w:t>
            </w:r>
          </w:p>
        </w:tc>
        <w:tc>
          <w:tcPr>
            <w:tcW w:type="dxa" w:w="4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Разница с лейблом C в аренде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 (выше — ещё больше)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+41</w:t>
            </w:r>
          </w:p>
        </w:tc>
        <w:tc>
          <w:tcPr>
            <w:tcW w:type="dxa" w:w="4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E7D32"/>
                <w:sz w:val="21"/>
                <w:szCs w:val="21"/>
              </w:rPr>
              <w:t xml:space="preserve">+19 баллов ≈ +€ 130/мес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+34</w:t>
            </w:r>
          </w:p>
        </w:tc>
        <w:tc>
          <w:tcPr>
            <w:tcW w:type="dxa" w:w="4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E7D32"/>
                <w:sz w:val="21"/>
                <w:szCs w:val="21"/>
              </w:rPr>
              <w:t xml:space="preserve">+12 баллов = +€ 82,32/мес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+22</w:t>
            </w:r>
          </w:p>
        </w:tc>
        <w:tc>
          <w:tcPr>
            <w:tcW w:type="dxa" w:w="4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ваш базовый вариант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+14</w:t>
            </w:r>
          </w:p>
        </w:tc>
        <w:tc>
          <w:tcPr>
            <w:tcW w:type="dxa" w:w="4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−8 баллов ≈ −€ 55/мес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 / F / G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−4 / −9 / −15</w:t>
            </w:r>
          </w:p>
        </w:tc>
        <w:tc>
          <w:tcPr>
            <w:tcW w:type="dxa" w:w="4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B71C1C"/>
                <w:sz w:val="21"/>
                <w:szCs w:val="21"/>
              </w:rPr>
              <w:t xml:space="preserve">минус 26…37 баллов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BEA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Нет зарегистрированного лейбла (дом до 1977 г.)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BEA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−15</w:t>
            </w:r>
          </w:p>
        </w:tc>
        <w:tc>
          <w:tcPr>
            <w:tcW w:type="dxa" w:w="4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BEA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B71C1C"/>
                <w:sz w:val="21"/>
                <w:szCs w:val="21"/>
              </w:rPr>
              <w:t xml:space="preserve">минус 37 баллов ≈ −€ 250/мес</w:t>
            </w:r>
          </w:p>
        </w:tc>
      </w:tr>
    </w:tbl>
    <w:p>
      <w:pPr>
        <w:pStyle w:val="Heading1"/>
        <w:spacing w:after="160" w:before="340"/>
      </w:pPr>
      <w:r>
        <w:rPr>
          <w:b/>
          <w:bCs/>
          <w:color w:val="1F3864"/>
          <w:sz w:val="30"/>
          <w:szCs w:val="30"/>
        </w:rPr>
        <w:t xml:space="preserve">6. Что будет при других комбинациях</w:t>
      </w:r>
    </w:p>
    <w:p>
      <w:pPr>
        <w:spacing w:after="140" w:line="288"/>
      </w:pPr>
      <w:r>
        <w:t xml:space="preserve">Три строки с пометкой «расчёт» — официальные результаты Huurprijscheck. Остальные посчитаны по той же схеме: баллы — точно, аренда — оценка по € 6,86 за балл (помечена знаком ≈).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50"/>
        <w:gridCol w:w="1250"/>
        <w:gridCol w:w="2300"/>
        <w:gridCol w:w="1826"/>
      </w:tblGrid>
      <w:tr>
        <w:trPr>
          <w:tblHeader/>
        </w:trPr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Лейбл</w:t>
            </w:r>
          </w:p>
        </w:tc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WOZ</w:t>
            </w:r>
          </w:p>
        </w:tc>
        <w:tc>
          <w:tcPr>
            <w:tcW w:type="dxa" w:w="1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Баллы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Аренда/мес</w:t>
            </w:r>
          </w:p>
        </w:tc>
        <w:tc>
          <w:tcPr>
            <w:tcW w:type="dxa" w:w="1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Зона</w:t>
            </w:r>
          </w:p>
        </w:tc>
      </w:tr>
      <w:tr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BEA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Нет лейбла*</w:t>
            </w:r>
          </w:p>
        </w:tc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BEA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BEA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91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BEA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B71C1C"/>
                <w:sz w:val="21"/>
                <w:szCs w:val="21"/>
              </w:rPr>
              <w:t xml:space="preserve">≈ € 580</w:t>
            </w:r>
          </w:p>
        </w:tc>
        <w:tc>
          <w:tcPr>
            <w:tcW w:type="dxa" w:w="1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BEA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социальная</w:t>
            </w:r>
          </w:p>
        </w:tc>
      </w:tr>
      <w:tr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120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€ 775</w:t>
            </w:r>
          </w:p>
        </w:tc>
        <w:tc>
          <w:tcPr>
            <w:tcW w:type="dxa" w:w="1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социальная</w:t>
            </w:r>
          </w:p>
        </w:tc>
      </w:tr>
      <w:tr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128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€ 829,94 (расчёт)</w:t>
            </w:r>
          </w:p>
        </w:tc>
        <w:tc>
          <w:tcPr>
            <w:tcW w:type="dxa" w:w="1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социальная</w:t>
            </w:r>
          </w:p>
        </w:tc>
      </w:tr>
      <w:tr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€ 230 000</w:t>
            </w:r>
          </w:p>
        </w:tc>
        <w:tc>
          <w:tcPr>
            <w:tcW w:type="dxa" w:w="1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131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€ 850,49 (расчёт)</w:t>
            </w:r>
          </w:p>
        </w:tc>
        <w:tc>
          <w:tcPr>
            <w:tcW w:type="dxa" w:w="1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социальная</w:t>
            </w:r>
          </w:p>
        </w:tc>
      </w:tr>
      <w:tr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140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€ 912,26 (расчёт)</w:t>
            </w:r>
          </w:p>
        </w:tc>
        <w:tc>
          <w:tcPr>
            <w:tcW w:type="dxa" w:w="1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социальная</w:t>
            </w:r>
          </w:p>
        </w:tc>
      </w:tr>
      <w:tr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€ 230 000</w:t>
            </w:r>
          </w:p>
        </w:tc>
        <w:tc>
          <w:tcPr>
            <w:tcW w:type="dxa" w:w="1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143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€ 933</w:t>
            </w:r>
          </w:p>
        </w:tc>
        <w:tc>
          <w:tcPr>
            <w:tcW w:type="dxa" w:w="1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социальная, у границы</w:t>
            </w:r>
          </w:p>
        </w:tc>
      </w:tr>
      <w:tr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147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€ 960</w:t>
            </w:r>
          </w:p>
        </w:tc>
        <w:tc>
          <w:tcPr>
            <w:tcW w:type="dxa" w:w="1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E7D32"/>
                <w:sz w:val="19"/>
                <w:szCs w:val="19"/>
              </w:rPr>
              <w:t xml:space="preserve">middenhuur</w:t>
            </w:r>
          </w:p>
        </w:tc>
      </w:tr>
      <w:tr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€ 230 000</w:t>
            </w:r>
          </w:p>
        </w:tc>
        <w:tc>
          <w:tcPr>
            <w:tcW w:type="dxa" w:w="1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150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€ 981</w:t>
            </w:r>
          </w:p>
        </w:tc>
        <w:tc>
          <w:tcPr>
            <w:tcW w:type="dxa" w:w="1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4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E7D32"/>
                <w:sz w:val="19"/>
                <w:szCs w:val="19"/>
              </w:rPr>
              <w:t xml:space="preserve">middenhuur</w:t>
            </w:r>
          </w:p>
        </w:tc>
      </w:tr>
    </w:tbl>
    <w:p>
      <w:pPr>
        <w:spacing w:before="80"/>
      </w:pPr>
      <w:r>
        <w:rPr>
          <w:i/>
          <w:iCs/>
          <w:color w:val="595959"/>
          <w:sz w:val="19"/>
          <w:szCs w:val="19"/>
        </w:rPr>
        <w:t xml:space="preserve">* Если на момент проверки нет действительного зарегистрированного лейбла, баллы считают по году постройки. Для дома до 1977 года это −15 баллов (как лейбл G); для постройки 2002+ было бы, наоборот, +41.</w:t>
      </w:r>
    </w:p>
    <w:p>
      <w:pPr>
        <w:pStyle w:val="Heading1"/>
        <w:spacing w:after="160" w:before="340"/>
      </w:pPr>
      <w:r>
        <w:rPr>
          <w:b/>
          <w:bCs/>
          <w:color w:val="1F3864"/>
          <w:sz w:val="30"/>
          <w:szCs w:val="30"/>
        </w:rPr>
        <w:t xml:space="preserve">7. Как реально поднять аренду: меры по эффективности</w:t>
      </w:r>
    </w:p>
    <w:p>
      <w:pPr>
        <w:pStyle w:val="Heading2"/>
        <w:spacing w:after="120" w:before="240"/>
      </w:pPr>
      <w:r>
        <w:rPr>
          <w:b/>
          <w:bCs/>
          <w:color w:val="2E5E9E"/>
          <w:sz w:val="25"/>
          <w:szCs w:val="25"/>
        </w:rPr>
        <w:t xml:space="preserve">Шаг 0 — обязательный: зарегистрировать лейбл</w:t>
      </w:r>
    </w:p>
    <w:p>
      <w:pPr>
        <w:spacing w:after="140" w:line="288"/>
      </w:pPr>
      <w:r>
        <w:t xml:space="preserve">Засчитывается только официально зарегистрированный энерголейбл. Если его нет, для старого дома действует вычет −15 баллов, и аренда падает примерно до € 580 вместо € 830–912. Иными словами, сама регистрация лейбла «защищает» около </w:t>
      </w:r>
      <w:r>
        <w:rPr>
          <w:b/>
          <w:bCs/>
        </w:rPr>
        <w:t xml:space="preserve">€ 250 в месяц</w:t>
      </w:r>
      <w:r>
        <w:t xml:space="preserve">. Это первое, что нужно сделать, — до любых разговоров о повышении.</w:t>
      </w:r>
    </w:p>
    <w:p>
      <w:pPr>
        <w:pStyle w:val="Heading2"/>
        <w:spacing w:after="120" w:before="240"/>
      </w:pPr>
      <w:r>
        <w:rPr>
          <w:b/>
          <w:bCs/>
          <w:color w:val="2E5E9E"/>
          <w:sz w:val="25"/>
          <w:szCs w:val="25"/>
        </w:rPr>
        <w:t xml:space="preserve">Дальше — меры по убыванию выгоды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300"/>
        <w:gridCol w:w="1700"/>
        <w:gridCol w:w="2926"/>
      </w:tblGrid>
      <w:tr>
        <w:trPr>
          <w:tblHeader/>
        </w:trP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Мера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Баллы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€ в месяц</w:t>
            </w:r>
          </w:p>
        </w:tc>
        <w:tc>
          <w:tcPr>
            <w:tcW w:type="dxa" w:w="29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Что нужно знать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1. Улучшить лейбл C → B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+12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+€ 82</w:t>
            </w:r>
          </w:p>
        </w:tc>
        <w:tc>
          <w:tcPr>
            <w:tcW w:type="dxa" w:w="29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Самый выгодный шаг. Обычно: утепление, стеклопакеты, тепловой насос — зависит от текущего состояния дома.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 Лейбл B → A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ещё +7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ещё ≈ +€ 48</w:t>
            </w:r>
          </w:p>
        </w:tc>
        <w:tc>
          <w:tcPr>
            <w:tcW w:type="dxa" w:w="29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Итого C → A: +19 баллов ≈ +€ 130/мес. Требует более серьёзной модернизации.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 Превратить чердак в жилую комнату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+10,25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≈ +€ 70</w:t>
            </w:r>
          </w:p>
        </w:tc>
        <w:tc>
          <w:tcPr>
            <w:tcW w:type="dxa" w:w="29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Нужны: стационарная лестница, окно, отопление. Считается площадь, где потолок выше 1,5 м. Комната 13 м² даёт 13 баллов вместо 4,75 за кладовую (плюс 2 за отопление).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 …или только поставить стационарную лестницу на чердак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+5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≈ +€ 34</w:t>
            </w:r>
          </w:p>
        </w:tc>
        <w:tc>
          <w:tcPr>
            <w:tcW w:type="dxa" w:w="29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Самая дешёвая строительная мера: просто снимает вычет −5 за приставную лестницу. (Пункты 3 и 4 не суммируются — комната уже включает лестницу.)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 Проверить статус памятника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+€ 46…320</w:t>
            </w:r>
          </w:p>
        </w:tc>
        <w:tc>
          <w:tcPr>
            <w:tcW w:type="dxa" w:w="29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Надбавка к потолку аренды: rijksmonument +35 %, муниципальный памятник +15 %, охраняемый городской ансамбль (дом до 1965 г.) +5 %. Проверьте адрес в реестре монументов — если статус есть, это «бесплатные» деньги.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6. Проверить WOZ-оценку 2027 года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+3 за каждые € 20 000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+€ 20,5</w:t>
            </w:r>
          </w:p>
        </w:tc>
        <w:tc>
          <w:tcPr>
            <w:tcW w:type="dxa" w:w="29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Когда придёт официальная оценка — проверьте, не занижена ли она. Возражение (bezwaar) можно подавать и в сторону повышения: для арендодателя высокая WOZ выгодна.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7. Встроенная посудомоечная машина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+1,5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≈ +€ 10</w:t>
            </w:r>
          </w:p>
        </w:tc>
        <w:tc>
          <w:tcPr>
            <w:tcW w:type="dxa" w:w="29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Кухня доберёт максимум доп. баллов за технику (7 из 7 возможных). Из-за округления итога прибавка может быть чуть меньше.</w:t>
            </w:r>
          </w:p>
        </w:tc>
      </w:tr>
    </w:tbl>
    <w:p>
      <w:pPr>
        <w:spacing w:before="160"/>
      </w:pPr>
      <w:r>
        <w:t xml:space="preserve">Мелкие улучшения санузла (смесители, шкафчики) дают лишь доли балла — на фоне остального ими можно пренебречь. Ванна или второй туалет в ванной 2,66 м² физически не поместятся.</w:t>
      </w:r>
    </w:p>
    <w:p>
      <w:pPr>
        <w:pStyle w:val="Heading2"/>
        <w:spacing w:after="120" w:before="240"/>
      </w:pPr>
      <w:r>
        <w:rPr>
          <w:b/>
          <w:bCs/>
          <w:color w:val="2E5E9E"/>
          <w:sz w:val="25"/>
          <w:szCs w:val="25"/>
        </w:rPr>
        <w:t xml:space="preserve">Сколько можно «выжать» в сумме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rPr>
          <w:b/>
          <w:bCs/>
        </w:rPr>
        <w:t xml:space="preserve">План-минимум: </w:t>
      </w:r>
      <w:r>
        <w:t xml:space="preserve">лейбл B зарегистрирован → 140 баллов → € 912 в месяц.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rPr>
          <w:b/>
          <w:bCs/>
        </w:rPr>
        <w:t xml:space="preserve">Реалистичный план: </w:t>
      </w:r>
      <w:r>
        <w:t xml:space="preserve">B + стационарная лестница + посудомойка (и WOZ окажется € 230 000) → 149 баллов → ≈ € 974 в месяц.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rPr>
          <w:b/>
          <w:bCs/>
        </w:rPr>
        <w:t xml:space="preserve">Максимальный план: </w:t>
      </w:r>
      <w:r>
        <w:t xml:space="preserve">лейбл A + лестница + посудомойка → ≈ 156 баллов → ≈ € 1 022 в месяц; плюс возможная надбавка за статус памятника.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rPr>
          <w:b/>
          <w:bCs/>
        </w:rPr>
        <w:t xml:space="preserve">Свободный рынок (187+ баллов) недостижим</w:t>
      </w:r>
      <w:r>
        <w:t xml:space="preserve"> — даже в максимальном плане не хватает ~30–40 баллов. Для маленькой квартиры это данность, а не ошибка расчёта.</w:t>
      </w:r>
    </w:p>
    <w:p>
      <w:pPr>
        <w:spacing w:after="140" w:line="288"/>
      </w:pPr>
      <w:r>
        <w:t xml:space="preserve">Кстати, лестница на чердак или лейбл A переводят квартиру из «социальной» зоны в middenhuur (144–186 баллов). Скачка цены на этой границе нет — потолок растёт по той же таблице, меняются лишь отдельные правила (например, ежегодной индексации аренды).</w:t>
      </w:r>
    </w:p>
    <w:p>
      <w:pPr>
        <w:pStyle w:val="Heading2"/>
        <w:spacing w:after="120" w:before="240"/>
      </w:pPr>
      <w:r>
        <w:rPr>
          <w:b/>
          <w:bCs/>
          <w:color w:val="2E5E9E"/>
          <w:sz w:val="25"/>
          <w:szCs w:val="25"/>
        </w:rPr>
        <w:t xml:space="preserve">Не баллами едиными</w:t>
      </w:r>
    </w:p>
    <w:p>
      <w:pPr>
        <w:spacing w:after="140" w:line="288"/>
      </w:pPr>
      <w:r>
        <w:t xml:space="preserve">Потолок WWS ограничивает только «голую» аренду (kale huur). Сверх неё можно законно получать: плату за мебель при сдаче меблированной квартиры (ориентир Huurcommissie — около 20 % стоимости обстановки в год), а также сервисные расходы (коммунальные услуги, интернет и т. п.) — по фактической стоимости. Это не повышает потолок, но повышает итоговый ежемесячный платёж.</w:t>
      </w:r>
    </w:p>
    <w:p>
      <w:pPr>
        <w:pStyle w:val="Heading1"/>
        <w:spacing w:after="160" w:before="340"/>
      </w:pPr>
      <w:r>
        <w:rPr>
          <w:b/>
          <w:bCs/>
          <w:color w:val="1F3864"/>
          <w:sz w:val="30"/>
          <w:szCs w:val="30"/>
        </w:rPr>
        <w:t xml:space="preserve">8. Оговорки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Huurprijscheck — ориентировочный инструмент; при официальной процедуре пунктовку составляет инспектор Huurcommissie.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Суммы со знаком ≈ посчитаны по зависимости «€ 6,86 за балл», выведенной из ваших трёх официальных расчётов; точные значения даст таблица соответствующего года.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Пока WOZ-оценки нет (до 2027 г.), комиссия при проверке берёт WOZ похожих квартир или 85 % рыночной (таксационной) стоимости — старый метод «минимальной WOZ» Верховный суд отменил в 2022 году.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Таблицы цен и делители индексируются ежегодно; здесь использованы значения 2026 года. Ориентиры «€ 6,86 за балл» и «3 балла за € 20 000 WOZ» останутся верными по порядку величины.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Для официальных памятников вычеты за плохие лейблы (E/F/G) не применяются.</w:t>
      </w:r>
    </w:p>
    <w:p>
      <w:pPr>
        <w:pStyle w:val="Heading1"/>
        <w:spacing w:after="160" w:before="340"/>
      </w:pPr>
      <w:r>
        <w:rPr>
          <w:b/>
          <w:bCs/>
          <w:color w:val="1F3864"/>
          <w:sz w:val="30"/>
          <w:szCs w:val="30"/>
        </w:rPr>
        <w:t xml:space="preserve">Источники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Три PDF-отчёта Huurprijscheck (Huurcommissie) от 27.08.2026 — исходные расчёты.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Huurcommissie — beleidsboek «Waarderingsstelsel zelfstandige woonruimte» (huurcommissie.nl).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Woonbond — таблица баллов за энерголейбл (woonbond.nl).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!WOON — «Huurregels en huurverhoging in 2026»: границы зон 2026 года (wooninfo.nl).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Volkshuisvesting Nederland — памятка «Monumentenverhuur Wet betaalbare huur»: надбавки 35 % / 15 % / 5 % (volkshuisvestingnederland.nl).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Dirkzwager — решение Верховного суда 2022 г. о минимальной WOZ-waarde (dirkzwager.nl).</w:t>
      </w:r>
    </w:p>
    <w:p>
      <w:pPr>
        <w:spacing w:before="200"/>
      </w:pPr>
      <w:r>
        <w:rPr>
          <w:i/>
          <w:iCs/>
          <w:color w:val="595959"/>
          <w:sz w:val="19"/>
          <w:szCs w:val="19"/>
        </w:rPr>
        <w:t xml:space="preserve">Документ обновлён 27.08.2026: цифры перепроверены построчно, добавлен раздел о способах повышения аренды.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2026-08-27T17:58:58.279Z</dcterms:created>
  <dcterms:modified xsi:type="dcterms:W3CDTF">2026-08-27T17:58:58.279Z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