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left"/>
      </w:pPr>
    </w:p>
    <w:p>
      <w:pPr>
        <w:spacing w:before="0" w:after="0" w:line="269" w:lineRule="auto"/>
        <w:jc w:val="left"/>
      </w:pPr>
    </w:p>
    <w:p>
      <w:pPr>
        <w:spacing w:before="0" w:after="40" w:line="269" w:lineRule="auto"/>
        <w:jc w:val="left"/>
      </w:pPr>
      <w:r>
        <w:rPr>
          <w:rFonts w:ascii="Calibri" w:hAnsi="Calibri" w:cs="Calibri"/>
          <w:b/>
          <w:i w:val="0"/>
          <w:color w:val="6B7785"/>
          <w:sz w:val="22"/>
          <w:spacing w:val="60"/>
        </w:rPr>
        <w:t>ЕЖЕНЕДЕЛЬНАЯ АНАЛИТИКА</w:t>
      </w:r>
    </w:p>
    <w:p>
      <w:pPr>
        <w:spacing w:before="0" w:after="40" w:line="269" w:lineRule="auto"/>
        <w:jc w:val="left"/>
      </w:pPr>
      <w:r>
        <w:rPr>
          <w:rFonts w:ascii="Calibri" w:hAnsi="Calibri" w:cs="Calibri"/>
          <w:b/>
          <w:i w:val="0"/>
          <w:color w:val="1F3A5F"/>
          <w:sz w:val="60"/>
        </w:rPr>
        <w:t>Рынок недвижимости</w:t>
      </w:r>
    </w:p>
    <w:p>
      <w:pPr>
        <w:spacing w:before="0" w:after="200" w:line="269" w:lineRule="auto"/>
        <w:jc w:val="left"/>
      </w:pPr>
      <w:r>
        <w:rPr>
          <w:rFonts w:ascii="Calibri" w:hAnsi="Calibri" w:cs="Calibri"/>
          <w:b/>
          <w:i w:val="0"/>
          <w:color w:val="1F3A5F"/>
          <w:sz w:val="60"/>
        </w:rPr>
        <w:t>Нидерландов</w:t>
      </w:r>
    </w:p>
    <w:p>
      <w:pPr>
        <w:spacing w:before="0" w:after="160" w:line="269" w:lineRule="auto"/>
        <w:jc w:val="left"/>
        <w:pBdr>
          <w:bottom w:val="single" w:sz="10" w:space="1" w:color="1F3A5F"/>
        </w:pBdr>
      </w:pPr>
    </w:p>
    <w:p>
      <w:pPr>
        <w:spacing w:before="0" w:after="40" w:line="269" w:lineRule="auto"/>
        <w:jc w:val="left"/>
      </w:pPr>
      <w:r>
        <w:rPr>
          <w:rFonts w:ascii="Calibri" w:hAnsi="Calibri" w:cs="Calibri"/>
          <w:b/>
          <w:i w:val="0"/>
          <w:color w:val="222B36"/>
          <w:sz w:val="26"/>
        </w:rPr>
        <w:t xml:space="preserve">Период: </w:t>
      </w:r>
      <w:r>
        <w:rPr>
          <w:rFonts w:ascii="Calibri" w:hAnsi="Calibri" w:cs="Calibri"/>
          <w:b w:val="0"/>
          <w:i w:val="0"/>
          <w:color w:val="222B36"/>
          <w:sz w:val="26"/>
        </w:rPr>
        <w:t>23–30 июня 2026 г.</w:t>
      </w:r>
    </w:p>
    <w:p>
      <w:pPr>
        <w:spacing w:before="0" w:after="40" w:line="269" w:lineRule="auto"/>
        <w:jc w:val="left"/>
      </w:pPr>
      <w:r>
        <w:rPr>
          <w:rFonts w:ascii="Calibri" w:hAnsi="Calibri" w:cs="Calibri"/>
          <w:b/>
          <w:i w:val="0"/>
          <w:color w:val="6B7785"/>
          <w:sz w:val="22"/>
        </w:rPr>
        <w:t xml:space="preserve">Сегменты: </w:t>
      </w:r>
      <w:r>
        <w:rPr>
          <w:rFonts w:ascii="Calibri" w:hAnsi="Calibri" w:cs="Calibri"/>
          <w:b w:val="0"/>
          <w:i w:val="0"/>
          <w:color w:val="6B7785"/>
          <w:sz w:val="22"/>
        </w:rPr>
        <w:t>жилая недвижимость · коммерция (стрит-ритейл) · индустриальная (склады, промзоны)</w:t>
      </w:r>
    </w:p>
    <w:p>
      <w:pPr>
        <w:spacing w:before="40" w:after="280" w:line="269" w:lineRule="auto"/>
        <w:jc w:val="left"/>
      </w:pPr>
      <w:r>
        <w:rPr>
          <w:rFonts w:ascii="Calibri" w:hAnsi="Calibri" w:cs="Calibri"/>
          <w:b w:val="0"/>
          <w:i/>
          <w:color w:val="6B7785"/>
          <w:sz w:val="19"/>
        </w:rPr>
        <w:t>Отчёт сформирован: 30 июня 2026 г.</w:t>
      </w:r>
    </w:p>
    <w:p>
      <w:r>
        <w:br w:type="page"/>
      </w:r>
    </w:p>
    <w:p>
      <w:pPr>
        <w:keepNext/>
        <w:spacing w:before="280" w:after="80" w:line="269" w:lineRule="auto"/>
        <w:jc w:val="left"/>
        <w:pBdr>
          <w:bottom w:val="single" w:sz="8" w:space="3" w:color="D7DEE6"/>
        </w:pBdr>
      </w:pPr>
      <w:r>
        <w:rPr>
          <w:rFonts w:ascii="Calibri" w:hAnsi="Calibri" w:cs="Calibri"/>
          <w:b/>
          <w:i w:val="0"/>
          <w:color w:val="1F3A5F"/>
          <w:sz w:val="27"/>
        </w:rPr>
        <w:t>Главные выводы недели</w:t>
      </w:r>
    </w:p>
    <w:p>
      <w:pPr>
        <w:spacing w:before="40" w:after="60" w:line="276" w:lineRule="auto"/>
        <w:ind w:left="312" w:hanging="312"/>
        <w:jc w:val="left"/>
      </w:pPr>
      <w:r>
        <w:rPr>
          <w:rFonts w:ascii="Calibri" w:hAnsi="Calibri" w:cs="Calibri"/>
          <w:b/>
          <w:i w:val="0"/>
          <w:color w:val="1F3A5F"/>
          <w:sz w:val="21"/>
        </w:rPr>
        <w:t xml:space="preserve">1.  </w:t>
      </w:r>
      <w:r>
        <w:rPr>
          <w:rFonts w:ascii="Calibri" w:hAnsi="Calibri" w:cs="Calibri"/>
          <w:b w:val="0"/>
          <w:i w:val="0"/>
          <w:color w:val="222B36"/>
          <w:sz w:val="21"/>
        </w:rPr>
        <w:t>Доступ к электросети становится фактором стоимости: с 1 июля сеть на юге страны закрыта для новых подключений. Объекты с оформленной мощностью дорожают; объекты без подключения теряют в цене.</w:t>
      </w:r>
    </w:p>
    <w:p>
      <w:pPr>
        <w:spacing w:before="40" w:after="60" w:line="276" w:lineRule="auto"/>
        <w:ind w:left="312" w:hanging="312"/>
        <w:jc w:val="left"/>
      </w:pPr>
      <w:r>
        <w:rPr>
          <w:rFonts w:ascii="Calibri" w:hAnsi="Calibri" w:cs="Calibri"/>
          <w:b/>
          <w:i w:val="0"/>
          <w:color w:val="1F3A5F"/>
          <w:sz w:val="21"/>
        </w:rPr>
        <w:t xml:space="preserve">2.  </w:t>
      </w:r>
      <w:r>
        <w:rPr>
          <w:rFonts w:ascii="Calibri" w:hAnsi="Calibri" w:cs="Calibri"/>
          <w:b w:val="0"/>
          <w:i w:val="0"/>
          <w:color w:val="222B36"/>
          <w:sz w:val="21"/>
        </w:rPr>
        <w:t>Логистика: арендный спрос растёт (+10,5% за год), вложения в покупку упали на 60%. Prologis, крупнейший в мире владелец складов, предложил купить британскую Segro с премией около 25% к биржевой цене (~14,6 млрд €); решение ожидается до 22 июля.</w:t>
      </w:r>
    </w:p>
    <w:p>
      <w:pPr>
        <w:spacing w:before="40" w:after="60" w:line="276" w:lineRule="auto"/>
        <w:ind w:left="312" w:hanging="312"/>
        <w:jc w:val="left"/>
      </w:pPr>
      <w:r>
        <w:rPr>
          <w:rFonts w:ascii="Calibri" w:hAnsi="Calibri" w:cs="Calibri"/>
          <w:b/>
          <w:i w:val="0"/>
          <w:color w:val="1F3A5F"/>
          <w:sz w:val="21"/>
        </w:rPr>
        <w:t xml:space="preserve">3.  </w:t>
      </w:r>
      <w:r>
        <w:rPr>
          <w:rFonts w:ascii="Calibri" w:hAnsi="Calibri" w:cs="Calibri"/>
          <w:b w:val="0"/>
          <w:i w:val="0"/>
          <w:color w:val="222B36"/>
          <w:sz w:val="21"/>
        </w:rPr>
        <w:t>Жильё: рост цен замедляется (+4,4% за год), отток институциональных инвесторов из аренды не подтвердился. Готовится налог box 3 с реального дохода — фактор давления на частных арендодателей.</w:t>
      </w:r>
    </w:p>
    <w:p>
      <w:pPr>
        <w:spacing w:before="0" w:after="80" w:line="269" w:lineRule="auto"/>
        <w:jc w:val="left"/>
      </w:pPr>
    </w:p>
    <w:p>
      <w:pPr>
        <w:keepNext/>
        <w:spacing w:before="200" w:after="60" w:line="269" w:lineRule="auto"/>
        <w:jc w:val="left"/>
        <w:pBdr>
          <w:bottom w:val="single" w:sz="6" w:space="2" w:color="D7DEE6"/>
        </w:pBdr>
      </w:pPr>
      <w:r>
        <w:rPr>
          <w:rFonts w:ascii="Calibri" w:hAnsi="Calibri" w:cs="Calibri"/>
          <w:b/>
          <w:i w:val="0"/>
          <w:color w:val="1F3A5F"/>
          <w:sz w:val="23"/>
        </w:rPr>
        <w:t>Коротко о неделе</w:t>
      </w:r>
    </w:p>
    <w:p>
      <w:pPr>
        <w:spacing w:before="40" w:after="120" w:line="276" w:lineRule="auto"/>
        <w:jc w:val="left"/>
      </w:pPr>
      <w:r>
        <w:rPr>
          <w:rFonts w:ascii="Calibri" w:hAnsi="Calibri" w:cs="Calibri"/>
          <w:b w:val="0"/>
          <w:i w:val="0"/>
          <w:color w:val="222B36"/>
          <w:sz w:val="21"/>
        </w:rPr>
        <w:t>Ключевая тема недели — доступ к электрической мощности становится ограничивающим фактором рынка: с 1 июля электросеть провинции Брабант закрыта для новых подключений, включая новое жильё; в очереди на подключение более 9 000 компаний. В логистике арендный спрос растёт (+10,5% за год), однако вложения в покупку складов сократились на 60%. Жильё дорожает медленнее (+4,4% за год) без признаков падения; доля пустующих торговых помещений увеличилась до 7,0%.</w:t>
      </w:r>
    </w:p>
    <w:p>
      <w:pPr>
        <w:keepNext/>
        <w:spacing w:before="280" w:after="80" w:line="269" w:lineRule="auto"/>
        <w:jc w:val="left"/>
        <w:pBdr>
          <w:bottom w:val="single" w:sz="8" w:space="3" w:color="D7DEE6"/>
        </w:pBdr>
      </w:pPr>
      <w:r>
        <w:rPr>
          <w:rFonts w:ascii="Calibri" w:hAnsi="Calibri" w:cs="Calibri"/>
          <w:b/>
          <w:i w:val="0"/>
          <w:color w:val="1F3A5F"/>
          <w:sz w:val="27"/>
        </w:rPr>
        <w:t>Индустриал (склады, промзоны)</w:t>
      </w:r>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С 1 июля электросеть провинции Брабант (юг страны, крупный логистический регион) закрыта для новых подключений практически полностью — впервые ограничение распространяется не только на предприятия, но и на новое жильё и мелких потребителей. Причина — перегрузка сети (netcongestie): солнечные панели, электромобили и переходящие с газа на электричество предприятия увеличивают нагрузку быстрее, чем сети успевают расширять. Оператор сетей региона, компания Enexis, сообщает, что свободной мощности нет; по всей стране в её очереди на подключение более 9 000 компаний.</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Складской или производственный объект без электроснабжения работать не может, поэтому возможность подключения становится самостоятельным фактором стоимости. Объект с уже оформленной мощностью дорожает, тогда как участок без подключения на юге страны теряет часть ценности: построить здание можно, а подключить его к сети в обозримые сроки — нет.</w:t>
      </w:r>
    </w:p>
    <w:p>
      <w:pPr>
        <w:spacing w:before="0" w:after="120" w:line="240" w:lineRule="auto"/>
        <w:ind w:left="283"/>
        <w:jc w:val="left"/>
      </w:pPr>
      <w:r>
        <w:rPr>
          <w:rFonts w:ascii="Calibri" w:hAnsi="Calibri" w:cs="Calibri"/>
          <w:b w:val="0"/>
          <w:i/>
          <w:color w:val="6B7785"/>
          <w:sz w:val="17"/>
        </w:rPr>
        <w:t>2026-06-26 · Источник: Financieel Management / Omroep Brabant (цитата Enexis)</w:t>
      </w:r>
      <w:r>
        <w:rPr>
          <w:rFonts w:ascii="Calibri" w:hAnsi="Calibri" w:cs="Calibri"/>
          <w:b w:val="0"/>
          <w:i w:val="0"/>
          <w:color w:val="6B7785"/>
          <w:sz w:val="17"/>
        </w:rPr>
        <w:t xml:space="preserve">   </w:t>
      </w:r>
      <w:hyperlink r:id="rId11">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Prologis, крупнейший в мире владелец складской недвижимости, сделал предложение о покупке британской компании Segro, которой принадлежит значительный портфель складов в Европе. Оплату Prologis предлагает собственными акциями; рынок оценил предложение примерно в 12,6 млрд фунтов (около 14,6 млрд €) — с премией около 25% к биржевой цене акций Segro. Совет директоров Segro отклонил предложение как заниженное. По британским правилам поглощений Prologis обязана до 22 июля либо подтвердить твёрдое предложение (вероятно, повысив цену), либо отказаться от сделки.</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Сделка такого масштаба становится ценовым ориентиром для сопоставимых портфелей, а Segro сопоставима с крупными владельцами складов в Нидерландах (CTP, WDP). Готовность платить премию к биржевой цене — довод в пользу того, что сектор в целом недооценён.</w:t>
      </w:r>
    </w:p>
    <w:p>
      <w:pPr>
        <w:spacing w:before="0" w:after="120" w:line="240" w:lineRule="auto"/>
        <w:ind w:left="283"/>
        <w:jc w:val="left"/>
      </w:pPr>
      <w:r>
        <w:rPr>
          <w:rFonts w:ascii="Calibri" w:hAnsi="Calibri" w:cs="Calibri"/>
          <w:b w:val="0"/>
          <w:i/>
          <w:color w:val="6B7785"/>
          <w:sz w:val="17"/>
        </w:rPr>
        <w:t>2026-06-24 · Источник: Reuters / Bloomberg; Prologis (PR Newswire)</w:t>
      </w:r>
      <w:r>
        <w:rPr>
          <w:rFonts w:ascii="Calibri" w:hAnsi="Calibri" w:cs="Calibri"/>
          <w:b w:val="0"/>
          <w:i w:val="0"/>
          <w:color w:val="6B7785"/>
          <w:sz w:val="17"/>
        </w:rPr>
        <w:t xml:space="preserve">   </w:t>
      </w:r>
      <w:hyperlink r:id="rId12">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Два ключевых показателя рынка складов движутся в противоположных направлениях. Аренда (объём площадей, снятых арендаторами) за первый квартал 2026 года выросла на 10,5% к тому же периоду прошлого года — примерно до 833 000 м²: спрос со стороны бизнеса остаётся устойчивым. Вложения в покупку складов за тот же период, напротив, сократились на 60% — примерно до 265 млн €. Сделкам мешают дорогие кредиты, подорожавшее строительство и нехватка электрической мощности: покупатели не готовы переплачивать, продавцы не готовы существенно снижать цену.</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Рынок аренды здоров, а купля-продажа приостановилась из-за стоимости финансирования, а не из-за слабого спроса. Поскольку арендный спрос сохраняется, а цены на качественные склады перестали снижаться, ценовое дно, вероятно, близко. Существенные скидки возможны лишь в случае, если владельцам с высокой долговой нагрузкой придётся продавать при рефинансировании, — пока это только сценарий.</w:t>
      </w:r>
    </w:p>
    <w:p>
      <w:pPr>
        <w:spacing w:before="0" w:after="120" w:line="240" w:lineRule="auto"/>
        <w:ind w:left="283"/>
        <w:jc w:val="left"/>
      </w:pPr>
      <w:r>
        <w:rPr>
          <w:rFonts w:ascii="Calibri" w:hAnsi="Calibri" w:cs="Calibri"/>
          <w:b w:val="0"/>
          <w:i/>
          <w:color w:val="6B7785"/>
          <w:sz w:val="17"/>
        </w:rPr>
        <w:t>2026-05-19 · Источник: Cushman &amp; Wakefield Netherlands</w:t>
      </w:r>
      <w:r>
        <w:rPr>
          <w:rFonts w:ascii="Calibri" w:hAnsi="Calibri" w:cs="Calibri"/>
          <w:b w:val="0"/>
          <w:i w:val="0"/>
          <w:color w:val="6B7785"/>
          <w:sz w:val="17"/>
        </w:rPr>
        <w:t xml:space="preserve">   </w:t>
      </w:r>
      <w:hyperlink r:id="rId13">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Фондовый рынок и оценщики недвижимости расходятся в оценке складов. CTP и WDP — крупные компании, владеющие складами по всей Европе; их акции торгуются на бирже, и котировки отражают текущую рыночную оценку их портфелей. Акции CTP стоят примерно на 21,7% дешевле, чем склады компании оценены в её собственной отчётности. При этом банковские аналитики рекомендуют эти акции к покупке и ожидают роста примерно на 30%.</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Биржевая оценка обновляется ежедневно и, как правило, реагирует раньше официальных оценщиков. Если рынок оценивает публичные складские портфели ниже их балансовой стоимости, существует риск, что и оценки частных объектов несколько завышены и будут скорректированы. Расхождение между биржей и аналитиками — основание для осторожного отношения к текущим оценкам, но не повод для паники.</w:t>
      </w:r>
    </w:p>
    <w:p>
      <w:pPr>
        <w:spacing w:before="0" w:after="120" w:line="240" w:lineRule="auto"/>
        <w:ind w:left="283"/>
        <w:jc w:val="left"/>
      </w:pPr>
      <w:r>
        <w:rPr>
          <w:rFonts w:ascii="Calibri" w:hAnsi="Calibri" w:cs="Calibri"/>
          <w:b w:val="0"/>
          <w:i/>
          <w:color w:val="6B7785"/>
          <w:sz w:val="17"/>
        </w:rPr>
        <w:t>2026-06-30 · Источник: Investing.com / MarketScreener; CTP IR</w:t>
      </w:r>
      <w:r>
        <w:rPr>
          <w:rFonts w:ascii="Calibri" w:hAnsi="Calibri" w:cs="Calibri"/>
          <w:b w:val="0"/>
          <w:i w:val="0"/>
          <w:color w:val="6B7785"/>
          <w:sz w:val="17"/>
        </w:rPr>
        <w:t xml:space="preserve">   </w:t>
      </w:r>
      <w:hyperlink r:id="rId14">
        <w:r>
          <w:rPr>
            <w:color w:val="1155CC"/>
            <w:sz w:val="17.0"/>
            <w:rFonts w:ascii="Calibri" w:hAnsi="Calibri"/>
            <w:u w:val="single"/>
          </w:rPr>
          <w:t xml:space="preserve">ссылка ↗</w:t>
        </w:r>
      </w:hyperlink>
    </w:p>
    <w:p>
      <w:pPr>
        <w:keepNext/>
        <w:spacing w:before="120" w:after="20"/>
        <w:jc w:val="center"/>
      </w:pPr>
      <w:r>
        <w:drawing>
          <wp:inline xmlns:a="http://schemas.openxmlformats.org/drawingml/2006/main" xmlns:pic="http://schemas.openxmlformats.org/drawingml/2006/picture">
            <wp:extent cx="5903999" cy="3284850"/>
            <wp:docPr id="1" name="Picture 1"/>
            <wp:cNvGraphicFramePr>
              <a:graphicFrameLocks noChangeAspect="1"/>
            </wp:cNvGraphicFramePr>
            <a:graphic>
              <a:graphicData uri="http://schemas.openxmlformats.org/drawingml/2006/picture">
                <pic:pic>
                  <pic:nvPicPr>
                    <pic:cNvPr id="0" name="logistics_demand_capital_gap.png"/>
                    <pic:cNvPicPr/>
                  </pic:nvPicPr>
                  <pic:blipFill>
                    <a:blip r:embed="rId15"/>
                    <a:stretch>
                      <a:fillRect/>
                    </a:stretch>
                  </pic:blipFill>
                  <pic:spPr>
                    <a:xfrm>
                      <a:off x="0" y="0"/>
                      <a:ext cx="5903999" cy="3284850"/>
                    </a:xfrm>
                    <a:prstGeom prst="rect"/>
                  </pic:spPr>
                </pic:pic>
              </a:graphicData>
            </a:graphic>
          </wp:inline>
        </w:drawing>
      </w:r>
    </w:p>
    <w:p>
      <w:pPr>
        <w:spacing w:before="0" w:after="160" w:line="259" w:lineRule="auto"/>
        <w:jc w:val="center"/>
      </w:pPr>
      <w:r>
        <w:rPr>
          <w:rFonts w:ascii="Calibri" w:hAnsi="Calibri" w:cs="Calibri"/>
          <w:b w:val="0"/>
          <w:i/>
          <w:color w:val="6B7785"/>
          <w:sz w:val="18"/>
        </w:rPr>
        <w:t>Изменение за год, I квартал 2026: аренда +10,5%, вложения −60%.</w:t>
      </w:r>
    </w:p>
    <w:p>
      <w:pPr>
        <w:spacing w:before="120" w:after="40" w:line="276" w:lineRule="auto"/>
        <w:jc w:val="left"/>
      </w:pPr>
      <w:r>
        <w:rPr>
          <w:rFonts w:ascii="Calibri" w:hAnsi="Calibri" w:cs="Calibri"/>
          <w:b/>
          <w:i w:val="0"/>
          <w:color w:val="1F3A5F"/>
          <w:sz w:val="21"/>
        </w:rPr>
        <w:t xml:space="preserve">Вывод. </w:t>
      </w:r>
      <w:r>
        <w:rPr>
          <w:rFonts w:ascii="Calibri" w:hAnsi="Calibri" w:cs="Calibri"/>
          <w:b w:val="0"/>
          <w:i w:val="0"/>
          <w:color w:val="222B36"/>
          <w:sz w:val="21"/>
        </w:rPr>
        <w:t>Ключевым ограничением логистического рынка стала электрическая мощность, а не финансирование. Арендный спрос сохраняется, цены на качественные склады стабильны почти два года, а низкая активность сделок объясняется стоимостью кредита и перегрузкой сети, а не отсутствием интереса к активу.</w:t>
      </w:r>
    </w:p>
    <w:p>
      <w:pPr>
        <w:spacing w:before="40" w:after="160" w:line="269" w:lineRule="auto"/>
        <w:jc w:val="left"/>
      </w:pPr>
      <w:r>
        <w:rPr>
          <w:rFonts w:ascii="Calibri" w:hAnsi="Calibri" w:cs="Calibri"/>
          <w:b/>
          <w:i w:val="0"/>
          <w:color w:val="1F3A5F"/>
          <w:sz w:val="20"/>
        </w:rPr>
        <w:t xml:space="preserve">За чем следить. </w:t>
      </w:r>
      <w:r>
        <w:rPr>
          <w:rFonts w:ascii="Calibri" w:hAnsi="Calibri" w:cs="Calibri"/>
          <w:b w:val="0"/>
          <w:i w:val="0"/>
          <w:color w:val="222B36"/>
          <w:sz w:val="20"/>
        </w:rPr>
        <w:t>30 июля — полугодовой отчёт CTP: ориентир стоимости для всего сектора складов. 22 июля — срок решения Prologis по Segro: компания обязана подтвердить предложение или отказаться от сделки.</w:t>
      </w:r>
    </w:p>
    <w:p>
      <w:pPr>
        <w:keepNext/>
        <w:spacing w:before="280" w:after="80" w:line="269" w:lineRule="auto"/>
        <w:jc w:val="left"/>
        <w:pBdr>
          <w:bottom w:val="single" w:sz="8" w:space="3" w:color="D7DEE6"/>
        </w:pBdr>
      </w:pPr>
      <w:r>
        <w:rPr>
          <w:rFonts w:ascii="Calibri" w:hAnsi="Calibri" w:cs="Calibri"/>
          <w:b/>
          <w:i w:val="0"/>
          <w:color w:val="1F3A5F"/>
          <w:sz w:val="27"/>
        </w:rPr>
        <w:t>Коммерция (стрит-ритейл, торговые центры)</w:t>
      </w:r>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Правительство приостановило ужесточение налогового правила, ограничивающего вычет процентов по кредитам, а крупнейшая ассоциация риелторов NVM Business 29 июня потребовала это правило смягчить. Суть правила: с 2019 года (по нормам ЕС) компания, купившая недвижимость в кредит, может вычесть из налогооблагаемой прибыли лишь часть уплаченных процентов. Это повышает налоговую нагрузку и делает покупку недвижимости на заёмные средства менее выгодной; правило известно как earningsstripping. Планировавшееся дополнительное ужесточение для компаний, владеющих недвижимостью, отложено до общего решения ЕС.</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Коммерческая недвижимость, как правило, приобретается с привлечением кредита. Ограничение вычета процентов снижает доходность таких вложений и сдерживает инвестиции в торговую недвижимость и строительство. Пауза в ужесточении даёт владельцам передышку, однако правило остаётся в силе и может быть изменено.</w:t>
      </w:r>
    </w:p>
    <w:p>
      <w:pPr>
        <w:spacing w:before="0" w:after="120" w:line="240" w:lineRule="auto"/>
        <w:ind w:left="283"/>
        <w:jc w:val="left"/>
      </w:pPr>
      <w:r>
        <w:rPr>
          <w:rFonts w:ascii="Calibri" w:hAnsi="Calibri" w:cs="Calibri"/>
          <w:b w:val="0"/>
          <w:i/>
          <w:color w:val="6B7785"/>
          <w:sz w:val="17"/>
        </w:rPr>
        <w:t>2026-06-29 · Источник: NVM Business — Nieuws</w:t>
      </w:r>
      <w:r>
        <w:rPr>
          <w:rFonts w:ascii="Calibri" w:hAnsi="Calibri" w:cs="Calibri"/>
          <w:b w:val="0"/>
          <w:i w:val="0"/>
          <w:color w:val="6B7785"/>
          <w:sz w:val="17"/>
        </w:rPr>
        <w:t xml:space="preserve">   </w:t>
      </w:r>
      <w:hyperlink r:id="rId16">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По итогам 2025 года доля пустующих торговых помещений в Нидерландах выросла с 6,7% до 7,0% (данные компании Locatus, ведущей учёт всех торговых объектов страны). Более показателен долгосрочный тренд: число магазинов сокращается десятый год подряд — примерно с 207 000 до 205 000 за год. Закрываются преимущественно магазины (одежда, товары для дома, электроника — часть спроса перешла в интернет-торговлю); кафе, рестораны и сфера услуг сохраняют устойчивость.</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Ранее пустующие помещения активно переводились под жильё, что сдерживало рост вакантности; этот ресурс во многом исчерпан. Слабые торговые точки в центрах городов закрываются, и часть арендаторов перемещается в торговые центры на окраинах с удобной транспортной доступностью.</w:t>
      </w:r>
    </w:p>
    <w:p>
      <w:pPr>
        <w:spacing w:before="0" w:after="120" w:line="240" w:lineRule="auto"/>
        <w:ind w:left="283"/>
        <w:jc w:val="left"/>
      </w:pPr>
      <w:r>
        <w:rPr>
          <w:rFonts w:ascii="Calibri" w:hAnsi="Calibri" w:cs="Calibri"/>
          <w:b w:val="0"/>
          <w:i/>
          <w:color w:val="6B7785"/>
          <w:sz w:val="17"/>
        </w:rPr>
        <w:t>2026-01-07 · Источник: Locatus</w:t>
      </w:r>
      <w:r>
        <w:rPr>
          <w:rFonts w:ascii="Calibri" w:hAnsi="Calibri" w:cs="Calibri"/>
          <w:b w:val="0"/>
          <w:i w:val="0"/>
          <w:color w:val="6B7785"/>
          <w:sz w:val="17"/>
        </w:rPr>
        <w:t xml:space="preserve">   </w:t>
      </w:r>
      <w:hyperlink r:id="rId17">
        <w:r>
          <w:rPr>
            <w:color w:val="1155CC"/>
            <w:sz w:val="17.0"/>
            <w:rFonts w:ascii="Calibri" w:hAnsi="Calibri"/>
            <w:u w:val="single"/>
          </w:rPr>
          <w:t xml:space="preserve">ссылка ↗</w:t>
        </w:r>
      </w:hyperlink>
    </w:p>
    <w:p>
      <w:pPr>
        <w:spacing w:before="120" w:after="40" w:line="276" w:lineRule="auto"/>
        <w:jc w:val="left"/>
      </w:pPr>
      <w:r>
        <w:rPr>
          <w:rFonts w:ascii="Calibri" w:hAnsi="Calibri" w:cs="Calibri"/>
          <w:b/>
          <w:i w:val="0"/>
          <w:color w:val="1F3A5F"/>
          <w:sz w:val="21"/>
        </w:rPr>
        <w:t xml:space="preserve">Вывод. </w:t>
      </w:r>
      <w:r>
        <w:rPr>
          <w:rFonts w:ascii="Calibri" w:hAnsi="Calibri" w:cs="Calibri"/>
          <w:b w:val="0"/>
          <w:i w:val="0"/>
          <w:color w:val="222B36"/>
          <w:sz w:val="21"/>
        </w:rPr>
        <w:t>Торговая недвижимость не находится в кризисе, однако происходит перераспределение: капитал смещается от площадей как таковых к объектам со стабильным денежным потоком и качественным расположением. Основной риск — рост налоговой нагрузки на владельцев с высокой долей заёмного финансирования.</w:t>
      </w:r>
    </w:p>
    <w:p>
      <w:pPr>
        <w:keepNext/>
        <w:spacing w:before="280" w:after="80" w:line="269" w:lineRule="auto"/>
        <w:jc w:val="left"/>
        <w:pBdr>
          <w:bottom w:val="single" w:sz="8" w:space="3" w:color="D7DEE6"/>
        </w:pBdr>
      </w:pPr>
      <w:r>
        <w:rPr>
          <w:rFonts w:ascii="Calibri" w:hAnsi="Calibri" w:cs="Calibri"/>
          <w:b/>
          <w:i w:val="0"/>
          <w:color w:val="1F3A5F"/>
          <w:sz w:val="27"/>
        </w:rPr>
        <w:t>Жилая недвижимость</w:t>
      </w:r>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Готовится реформа налога box 3 — налога на имущество частных лиц, включая сдаваемое жильё. Сейчас он рассчитывается по условной («вменённой») доходности: государство исходит из расчётной суммы дохода, которую владелец мог бы получить, независимо от фактического результата. Предлагаемая схема — налогообложение реального дохода: фактической арендной платы ежегодно и прироста стоимости при продаже. Запуск намечен на 2028 год. 30 июня верхняя палата парламента отложила окончательное решение (ожидается доработка закона); голосование по спорным пунктам назначено на 7 июля.</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Для многих арендодателей налог с реального дохода окажется выше действующего — прежде всего для тех, чья арендная доходность невысока. Чистая доходность сдачи жилья (особенно через компанию BV) снизится; часть частных инвесторов, вероятно, предпочтёт продать объекты к 2027–2028 годам, что увеличит предложение на рынке.</w:t>
      </w:r>
    </w:p>
    <w:p>
      <w:pPr>
        <w:spacing w:before="0" w:after="120" w:line="240" w:lineRule="auto"/>
        <w:ind w:left="283"/>
        <w:jc w:val="left"/>
      </w:pPr>
      <w:r>
        <w:rPr>
          <w:rFonts w:ascii="Calibri" w:hAnsi="Calibri" w:cs="Calibri"/>
          <w:b w:val="0"/>
          <w:i/>
          <w:color w:val="6B7785"/>
          <w:sz w:val="17"/>
        </w:rPr>
        <w:t>2026-06-30 · Источник: Eerste Kamer der Staten-Generaal</w:t>
      </w:r>
      <w:r>
        <w:rPr>
          <w:rFonts w:ascii="Calibri" w:hAnsi="Calibri" w:cs="Calibri"/>
          <w:b w:val="0"/>
          <w:i w:val="0"/>
          <w:color w:val="6B7785"/>
          <w:sz w:val="17"/>
        </w:rPr>
        <w:t xml:space="preserve">   </w:t>
      </w:r>
      <w:hyperlink r:id="rId18">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Правительство 26 июня представило пакет мер объёмом около 20 млрд €, призванный ослабить «азотные» ограничения на строительство. В Нидерландах действует правило: строительство нельзя начинать без подтверждения, что выбросы азота не превысят нормативов вблизи охраняемых природных территорий; из-за этого приостановлены тысячи жилищных проектов. Ключевая мера пакета — освобождение проектов с минимальными выбросами от отдельных природоохранных разрешений. По оценкам, ограничения затрагивают порядка 244 000 домов.</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Реализация пакета способна разблокировать значительную часть приостановленного жилищного строительства при остром дефиците жилья в стране. Вместе с тем эффект отложен: законопроект поступит в парламент лишь в октябре, реальные результаты ожидаются к концу 2027 года, возможны судебные разбирательства. На данном этапе это сценарий, а не свершившийся факт.</w:t>
      </w:r>
    </w:p>
    <w:p>
      <w:pPr>
        <w:spacing w:before="0" w:after="120" w:line="240" w:lineRule="auto"/>
        <w:ind w:left="283"/>
        <w:jc w:val="left"/>
      </w:pPr>
      <w:r>
        <w:rPr>
          <w:rFonts w:ascii="Calibri" w:hAnsi="Calibri" w:cs="Calibri"/>
          <w:b w:val="0"/>
          <w:i/>
          <w:color w:val="6B7785"/>
          <w:sz w:val="17"/>
        </w:rPr>
        <w:t>2026-06-26 · Источник: Rijksoverheid</w:t>
      </w:r>
      <w:r>
        <w:rPr>
          <w:rFonts w:ascii="Calibri" w:hAnsi="Calibri" w:cs="Calibri"/>
          <w:b w:val="0"/>
          <w:i w:val="0"/>
          <w:color w:val="6B7785"/>
          <w:sz w:val="17"/>
        </w:rPr>
        <w:t xml:space="preserve">   </w:t>
      </w:r>
      <w:hyperlink r:id="rId19">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Vesteda — крупнейший в Нидерландах фонд арендного жилья: он объединяет средства институциональных инвесторов, в том числе пенсионных фондов, и владеет примерно 28 000 квартир. Инвесторы фонда вправе подать заявку на возврат средств — выход из фонда. В марте объём таких заявок достиг 4,1 млрд €, что создавало риск вынужденной распродажи квартир и давления на цены. По итогам, объявленным 26 июня, фактический объём выхода составил 765 млн € — в пять раз меньше первоначальных заявок.</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Сценарий массового выхода институциональных инвесторов из арендного жилья не реализовался. Крупный капитал сохраняет позиции в сегменте, тогда как частных арендодателей может вытеснить готовящийся налог box 3: в этом случае рынок ждёт смена состава владельцев, а не сжатие. Оснований ожидать падения цен на арендные портфели в настоящий момент нет.</w:t>
      </w:r>
    </w:p>
    <w:p>
      <w:pPr>
        <w:spacing w:before="0" w:after="120" w:line="240" w:lineRule="auto"/>
        <w:ind w:left="283"/>
        <w:jc w:val="left"/>
      </w:pPr>
      <w:r>
        <w:rPr>
          <w:rFonts w:ascii="Calibri" w:hAnsi="Calibri" w:cs="Calibri"/>
          <w:b w:val="0"/>
          <w:i/>
          <w:color w:val="6B7785"/>
          <w:sz w:val="17"/>
        </w:rPr>
        <w:t>2026-06-26 · Источник: Vesteda Newsroom / IR</w:t>
      </w:r>
      <w:r>
        <w:rPr>
          <w:rFonts w:ascii="Calibri" w:hAnsi="Calibri" w:cs="Calibri"/>
          <w:b w:val="0"/>
          <w:i w:val="0"/>
          <w:color w:val="6B7785"/>
          <w:sz w:val="17"/>
        </w:rPr>
        <w:t xml:space="preserve">   </w:t>
      </w:r>
      <w:hyperlink r:id="rId20">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Bouwinvest, нидерландская управляющая компания, инвестирующая средства пенсионных фондов в недвижимость, расширила фонд жилья для пожилых (объекты с уходом и сопровождением). В фонд вошли два новых пенсионных фонда, включая PME, для которого это первое вложение в данный класс активов. Число инвесторов фонда выросло с 4 до 6, объём привлечённого капитала — со 130 до 263,5 млн €.</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На фоне общей осторожности инвесторов к арендному жилью капитал фонда удвоился. Население страны стареет, предложение жилья с уходом ограничено, и институциональные инвесторы рассматривают этот сегмент как устойчивый к общему охлаждению рынка.</w:t>
      </w:r>
    </w:p>
    <w:p>
      <w:pPr>
        <w:spacing w:before="0" w:after="120" w:line="240" w:lineRule="auto"/>
        <w:ind w:left="283"/>
        <w:jc w:val="left"/>
      </w:pPr>
      <w:r>
        <w:rPr>
          <w:rFonts w:ascii="Calibri" w:hAnsi="Calibri" w:cs="Calibri"/>
          <w:b w:val="0"/>
          <w:i/>
          <w:color w:val="6B7785"/>
          <w:sz w:val="17"/>
        </w:rPr>
        <w:t>2026-06-30 · Источник: Vastgoedjournaal / Bouwinvest</w:t>
      </w:r>
      <w:r>
        <w:rPr>
          <w:rFonts w:ascii="Calibri" w:hAnsi="Calibri" w:cs="Calibri"/>
          <w:b w:val="0"/>
          <w:i w:val="0"/>
          <w:color w:val="6B7785"/>
          <w:sz w:val="17"/>
        </w:rPr>
        <w:t xml:space="preserve">   </w:t>
      </w:r>
      <w:hyperlink r:id="rId21">
        <w:r>
          <w:rPr>
            <w:color w:val="1155CC"/>
            <w:sz w:val="17.0"/>
            <w:rFonts w:ascii="Calibri" w:hAnsi="Calibri"/>
            <w:u w:val="single"/>
          </w:rPr>
          <w:t xml:space="preserve">ссылка ↗</w:t>
        </w:r>
      </w:hyperlink>
    </w:p>
    <w:p>
      <w:pPr>
        <w:spacing w:before="80" w:after="20" w:line="276" w:lineRule="auto"/>
        <w:ind w:left="283" w:hanging="198"/>
        <w:jc w:val="left"/>
      </w:pPr>
      <w:r>
        <w:rPr>
          <w:rFonts w:ascii="Calibri" w:hAnsi="Calibri" w:cs="Calibri"/>
          <w:b w:val="0"/>
          <w:i w:val="0"/>
          <w:color w:val="6B7785"/>
          <w:sz w:val="21"/>
        </w:rPr>
        <w:t xml:space="preserve">—  </w:t>
      </w:r>
      <w:r>
        <w:rPr>
          <w:rFonts w:ascii="Calibri" w:hAnsi="Calibri" w:cs="Calibri"/>
          <w:b w:val="0"/>
          <w:i w:val="0"/>
          <w:color w:val="222B36"/>
          <w:sz w:val="21"/>
        </w:rPr>
        <w:t>По данным статистического бюро CBS, в мае жильё стоило на 4,4% дороже, чем годом ранее; средняя цена сделки — 487 383 €. Рост продолжается, но замедляется; число сделок сократилось на 2,5% за год. Прогнозы крупных банков (Rabobank, ABN AMRO) и центрального банка сходятся: период ускоренного роста завершается, ожидаемый темп — 2,8–4% в год.</w:t>
      </w:r>
    </w:p>
    <w:p>
      <w:pPr>
        <w:spacing w:before="20" w:after="20" w:line="269" w:lineRule="auto"/>
        <w:ind w:left="283"/>
        <w:jc w:val="left"/>
      </w:pPr>
      <w:r>
        <w:rPr>
          <w:rFonts w:ascii="Calibri" w:hAnsi="Calibri" w:cs="Calibri"/>
          <w:b/>
          <w:i/>
          <w:color w:val="6B7785"/>
          <w:sz w:val="19"/>
        </w:rPr>
        <w:t xml:space="preserve">Значение. </w:t>
      </w:r>
      <w:r>
        <w:rPr>
          <w:rFonts w:ascii="Calibri" w:hAnsi="Calibri" w:cs="Calibri"/>
          <w:b w:val="0"/>
          <w:i w:val="0"/>
          <w:color w:val="222B36"/>
          <w:sz w:val="19"/>
        </w:rPr>
        <w:t>Цены поддерживаются структурным дефицитом жилья: спрос по-прежнему превышает предложение. Однако потенциал быстрого прироста стоимости снижается, и на первый план для инвестора выходит стабильный арендный доход. Сроки продажи объектов при этом удлиняются.</w:t>
      </w:r>
    </w:p>
    <w:p>
      <w:pPr>
        <w:spacing w:before="0" w:after="120" w:line="240" w:lineRule="auto"/>
        <w:ind w:left="283"/>
        <w:jc w:val="left"/>
      </w:pPr>
      <w:r>
        <w:rPr>
          <w:rFonts w:ascii="Calibri" w:hAnsi="Calibri" w:cs="Calibri"/>
          <w:b w:val="0"/>
          <w:i/>
          <w:color w:val="6B7785"/>
          <w:sz w:val="17"/>
        </w:rPr>
        <w:t>2026-06-22 · Источник: CBS StatLine / Kadaster</w:t>
      </w:r>
      <w:r>
        <w:rPr>
          <w:rFonts w:ascii="Calibri" w:hAnsi="Calibri" w:cs="Calibri"/>
          <w:b w:val="0"/>
          <w:i w:val="0"/>
          <w:color w:val="6B7785"/>
          <w:sz w:val="17"/>
        </w:rPr>
        <w:t xml:space="preserve">   </w:t>
      </w:r>
      <w:hyperlink r:id="rId22">
        <w:r>
          <w:rPr>
            <w:color w:val="1155CC"/>
            <w:sz w:val="17.0"/>
            <w:rFonts w:ascii="Calibri" w:hAnsi="Calibri"/>
            <w:u w:val="single"/>
          </w:rPr>
          <w:t xml:space="preserve">ссылка ↗</w:t>
        </w:r>
      </w:hyperlink>
    </w:p>
    <w:p>
      <w:pPr>
        <w:spacing w:before="120" w:after="40" w:line="276" w:lineRule="auto"/>
        <w:jc w:val="left"/>
      </w:pPr>
      <w:r>
        <w:rPr>
          <w:rFonts w:ascii="Calibri" w:hAnsi="Calibri" w:cs="Calibri"/>
          <w:b/>
          <w:i w:val="0"/>
          <w:color w:val="1F3A5F"/>
          <w:sz w:val="21"/>
        </w:rPr>
        <w:t xml:space="preserve">Вывод. </w:t>
      </w:r>
      <w:r>
        <w:rPr>
          <w:rFonts w:ascii="Calibri" w:hAnsi="Calibri" w:cs="Calibri"/>
          <w:b w:val="0"/>
          <w:i w:val="0"/>
          <w:color w:val="222B36"/>
          <w:sz w:val="21"/>
        </w:rPr>
        <w:t>Рынок жилья переходит в фазу умеренного роста без признаков падения; состав владельцев может измениться: институциональный капитал сохраняет позиции, частные арендодатели находятся под давлением готовящейся налоговой реформы. Ключевая развилка — box 3: в случае принятия закона владельцы с низкой доходностью получат стимул к выходу в 2027–2028 годах.</w:t>
      </w:r>
    </w:p>
    <w:p>
      <w:pPr>
        <w:spacing w:before="40" w:after="160" w:line="269" w:lineRule="auto"/>
        <w:jc w:val="left"/>
      </w:pPr>
      <w:r>
        <w:rPr>
          <w:rFonts w:ascii="Calibri" w:hAnsi="Calibri" w:cs="Calibri"/>
          <w:b/>
          <w:i w:val="0"/>
          <w:color w:val="1F3A5F"/>
          <w:sz w:val="20"/>
        </w:rPr>
        <w:t xml:space="preserve">За чем следить. </w:t>
      </w:r>
      <w:r>
        <w:rPr>
          <w:rFonts w:ascii="Calibri" w:hAnsi="Calibri" w:cs="Calibri"/>
          <w:b w:val="0"/>
          <w:i w:val="0"/>
          <w:color w:val="222B36"/>
          <w:sz w:val="20"/>
        </w:rPr>
        <w:t>7 июля — голосование Сената по налогу box 3, ключевая дата для частных арендодателей.</w:t>
      </w:r>
    </w:p>
    <w:p>
      <w:pPr>
        <w:keepNext/>
        <w:spacing w:before="280" w:after="80" w:line="269" w:lineRule="auto"/>
        <w:jc w:val="left"/>
        <w:pBdr>
          <w:bottom w:val="single" w:sz="8" w:space="3" w:color="D7DEE6"/>
        </w:pBdr>
      </w:pPr>
      <w:r>
        <w:rPr>
          <w:rFonts w:ascii="Calibri" w:hAnsi="Calibri" w:cs="Calibri"/>
          <w:b/>
          <w:i w:val="0"/>
          <w:color w:val="1F3A5F"/>
          <w:sz w:val="27"/>
        </w:rPr>
        <w:t>Картина недели и прогноз</w:t>
      </w:r>
    </w:p>
    <w:p>
      <w:pPr>
        <w:spacing w:before="40" w:after="120" w:line="283" w:lineRule="auto"/>
        <w:jc w:val="left"/>
      </w:pPr>
      <w:r>
        <w:rPr>
          <w:rFonts w:ascii="Calibri" w:hAnsi="Calibri" w:cs="Calibri"/>
          <w:b w:val="0"/>
          <w:i w:val="0"/>
          <w:color w:val="222B36"/>
          <w:sz w:val="21"/>
        </w:rPr>
        <w:t>События недели объединяет вопрос стоимости ресурсов — электрической мощности и капитала: сеть Брабанта закрыта для новых подключений, разблокирование строительства ожидается не ранее конца 2027 года, ставки развернулись вверх при пока ещё доступном кредите. Ближайшие контрольные даты: 7 июля — голосование Сената по налогу box 3; 22 июля — срок решения Prologis по Segro; 30 июля — полугодовой отчёт CTP. Их итоги покажут, обоснованна ли текущая осторожная оценка складского сектора рынком.</w:t>
      </w:r>
    </w:p>
    <w:p>
      <w:pPr>
        <w:keepNext/>
        <w:spacing w:before="280" w:after="80" w:line="269" w:lineRule="auto"/>
        <w:jc w:val="left"/>
        <w:pBdr>
          <w:bottom w:val="single" w:sz="8" w:space="3" w:color="D7DEE6"/>
        </w:pBdr>
      </w:pPr>
      <w:r>
        <w:rPr>
          <w:rFonts w:ascii="Calibri" w:hAnsi="Calibri" w:cs="Calibri"/>
          <w:b/>
          <w:i w:val="0"/>
          <w:color w:val="1F3A5F"/>
          <w:sz w:val="27"/>
        </w:rPr>
        <w:t>Календарь: за чем следить</w:t>
      </w:r>
    </w:p>
    <w:p>
      <w:pPr>
        <w:spacing w:before="60" w:after="0" w:line="269" w:lineRule="auto"/>
        <w:ind w:left="312" w:hanging="312"/>
        <w:jc w:val="left"/>
      </w:pPr>
      <w:r>
        <w:rPr>
          <w:rFonts w:ascii="Calibri" w:hAnsi="Calibri" w:cs="Calibri"/>
          <w:b/>
          <w:i w:val="0"/>
          <w:color w:val="1F3A5F"/>
          <w:sz w:val="20"/>
        </w:rPr>
        <w:t xml:space="preserve">2026-07-01 — </w:t>
      </w:r>
      <w:r>
        <w:rPr>
          <w:rFonts w:ascii="Calibri" w:hAnsi="Calibri" w:cs="Calibri"/>
          <w:b w:val="0"/>
          <w:i w:val="0"/>
          <w:color w:val="222B36"/>
          <w:sz w:val="20"/>
        </w:rPr>
        <w:t>Новые правила подключения к сети (сеть Брабанта закрывается для мелких потребителей) и большинство норм закона о жилстрое</w:t>
      </w:r>
      <w:r>
        <w:rPr>
          <w:rFonts w:ascii="Calibri" w:hAnsi="Calibri" w:cs="Calibri"/>
          <w:b w:val="0"/>
          <w:i/>
          <w:color w:val="6B7785"/>
          <w:sz w:val="18"/>
        </w:rPr>
        <w:t xml:space="preserve">  (индустриал)</w:t>
      </w:r>
    </w:p>
    <w:p>
      <w:pPr>
        <w:spacing w:before="0" w:after="40" w:line="264" w:lineRule="auto"/>
        <w:ind w:left="312"/>
        <w:jc w:val="left"/>
      </w:pPr>
      <w:r>
        <w:rPr>
          <w:rFonts w:ascii="Calibri" w:hAnsi="Calibri" w:cs="Calibri"/>
          <w:b w:val="0"/>
          <w:i/>
          <w:color w:val="6B7785"/>
          <w:sz w:val="18"/>
        </w:rPr>
        <w:t>Новые подключения на юге уходят в очередь на годы; объекты с готовой мощностью дорожают.</w:t>
      </w:r>
    </w:p>
    <w:p>
      <w:pPr>
        <w:spacing w:before="60" w:after="0" w:line="269" w:lineRule="auto"/>
        <w:ind w:left="312" w:hanging="312"/>
        <w:jc w:val="left"/>
      </w:pPr>
      <w:r>
        <w:rPr>
          <w:rFonts w:ascii="Calibri" w:hAnsi="Calibri" w:cs="Calibri"/>
          <w:b/>
          <w:i w:val="0"/>
          <w:color w:val="1F3A5F"/>
          <w:sz w:val="20"/>
        </w:rPr>
        <w:t xml:space="preserve">2026-07-07 — </w:t>
      </w:r>
      <w:r>
        <w:rPr>
          <w:rFonts w:ascii="Calibri" w:hAnsi="Calibri" w:cs="Calibri"/>
          <w:b w:val="0"/>
          <w:i w:val="0"/>
          <w:color w:val="222B36"/>
          <w:sz w:val="20"/>
        </w:rPr>
        <w:t>Голосование Сената по налогу box 3 (реальный доход)</w:t>
      </w:r>
      <w:r>
        <w:rPr>
          <w:rFonts w:ascii="Calibri" w:hAnsi="Calibri" w:cs="Calibri"/>
          <w:b w:val="0"/>
          <w:i/>
          <w:color w:val="6B7785"/>
          <w:sz w:val="18"/>
        </w:rPr>
        <w:t xml:space="preserve">  (жильё)</w:t>
      </w:r>
    </w:p>
    <w:p>
      <w:pPr>
        <w:spacing w:before="0" w:after="40" w:line="264" w:lineRule="auto"/>
        <w:ind w:left="312"/>
        <w:jc w:val="left"/>
      </w:pPr>
      <w:r>
        <w:rPr>
          <w:rFonts w:ascii="Calibri" w:hAnsi="Calibri" w:cs="Calibri"/>
          <w:b w:val="0"/>
          <w:i/>
          <w:color w:val="6B7785"/>
          <w:sz w:val="18"/>
        </w:rPr>
        <w:t>Если примут — частные арендодатели со слабой доходностью получат стимул выходить из аренды к 2027–28 годам.</w:t>
      </w:r>
    </w:p>
    <w:p>
      <w:pPr>
        <w:spacing w:before="60" w:after="0" w:line="269" w:lineRule="auto"/>
        <w:ind w:left="312" w:hanging="312"/>
        <w:jc w:val="left"/>
      </w:pPr>
      <w:r>
        <w:rPr>
          <w:rFonts w:ascii="Calibri" w:hAnsi="Calibri" w:cs="Calibri"/>
          <w:b/>
          <w:i w:val="0"/>
          <w:color w:val="1F3A5F"/>
          <w:sz w:val="20"/>
        </w:rPr>
        <w:t xml:space="preserve">2026-07-22 — </w:t>
      </w:r>
      <w:r>
        <w:rPr>
          <w:rFonts w:ascii="Calibri" w:hAnsi="Calibri" w:cs="Calibri"/>
          <w:b w:val="0"/>
          <w:i w:val="0"/>
          <w:color w:val="222B36"/>
          <w:sz w:val="20"/>
        </w:rPr>
        <w:t>Срок решения Prologis по Segro: подтвердить твёрдое предложение или отказаться от сделки</w:t>
      </w:r>
      <w:r>
        <w:rPr>
          <w:rFonts w:ascii="Calibri" w:hAnsi="Calibri" w:cs="Calibri"/>
          <w:b w:val="0"/>
          <w:i/>
          <w:color w:val="6B7785"/>
          <w:sz w:val="18"/>
        </w:rPr>
        <w:t xml:space="preserve">  (индустриал)</w:t>
      </w:r>
    </w:p>
    <w:p>
      <w:pPr>
        <w:spacing w:before="0" w:after="40" w:line="264" w:lineRule="auto"/>
        <w:ind w:left="312"/>
        <w:jc w:val="left"/>
      </w:pPr>
      <w:r>
        <w:rPr>
          <w:rFonts w:ascii="Calibri" w:hAnsi="Calibri" w:cs="Calibri"/>
          <w:b w:val="0"/>
          <w:i/>
          <w:color w:val="6B7785"/>
          <w:sz w:val="18"/>
        </w:rPr>
        <w:t>Подтвердит и поднимет цену — планка для складов в Европе сдвинется вверх; откажется — эпизод останется разовым.</w:t>
      </w:r>
    </w:p>
    <w:p>
      <w:pPr>
        <w:spacing w:before="60" w:after="0" w:line="269" w:lineRule="auto"/>
        <w:ind w:left="312" w:hanging="312"/>
        <w:jc w:val="left"/>
      </w:pPr>
      <w:r>
        <w:rPr>
          <w:rFonts w:ascii="Calibri" w:hAnsi="Calibri" w:cs="Calibri"/>
          <w:b/>
          <w:i w:val="0"/>
          <w:color w:val="1F3A5F"/>
          <w:sz w:val="20"/>
        </w:rPr>
        <w:t xml:space="preserve">2026-07-30 — </w:t>
      </w:r>
      <w:r>
        <w:rPr>
          <w:rFonts w:ascii="Calibri" w:hAnsi="Calibri" w:cs="Calibri"/>
          <w:b w:val="0"/>
          <w:i w:val="0"/>
          <w:color w:val="222B36"/>
          <w:sz w:val="20"/>
        </w:rPr>
        <w:t>Полугодовой отчёт CTP</w:t>
      </w:r>
      <w:r>
        <w:rPr>
          <w:rFonts w:ascii="Calibri" w:hAnsi="Calibri" w:cs="Calibri"/>
          <w:b w:val="0"/>
          <w:i/>
          <w:color w:val="6B7785"/>
          <w:sz w:val="18"/>
        </w:rPr>
        <w:t xml:space="preserve">  (индустриал)</w:t>
      </w:r>
    </w:p>
    <w:p>
      <w:pPr>
        <w:spacing w:before="0" w:after="40" w:line="264" w:lineRule="auto"/>
        <w:ind w:left="312"/>
        <w:jc w:val="left"/>
      </w:pPr>
      <w:r>
        <w:rPr>
          <w:rFonts w:ascii="Calibri" w:hAnsi="Calibri" w:cs="Calibri"/>
          <w:b w:val="0"/>
          <w:i/>
          <w:color w:val="6B7785"/>
          <w:sz w:val="18"/>
        </w:rPr>
        <w:t>Покажет, сколько склады стоят «по бумагам».</w:t>
      </w:r>
    </w:p>
    <w:p>
      <w:pPr>
        <w:spacing w:before="60" w:after="0" w:line="269" w:lineRule="auto"/>
        <w:ind w:left="312" w:hanging="312"/>
        <w:jc w:val="left"/>
      </w:pPr>
      <w:r>
        <w:rPr>
          <w:rFonts w:ascii="Calibri" w:hAnsi="Calibri" w:cs="Calibri"/>
          <w:b/>
          <w:i w:val="0"/>
          <w:color w:val="1F3A5F"/>
          <w:sz w:val="20"/>
        </w:rPr>
        <w:t xml:space="preserve">2026-10-01 — </w:t>
      </w:r>
      <w:r>
        <w:rPr>
          <w:rFonts w:ascii="Calibri" w:hAnsi="Calibri" w:cs="Calibri"/>
          <w:b w:val="0"/>
          <w:i w:val="0"/>
          <w:color w:val="222B36"/>
          <w:sz w:val="20"/>
        </w:rPr>
        <w:t>Азотный законопроект уходит в парламент</w:t>
      </w:r>
      <w:r>
        <w:rPr>
          <w:rFonts w:ascii="Calibri" w:hAnsi="Calibri" w:cs="Calibri"/>
          <w:b w:val="0"/>
          <w:i/>
          <w:color w:val="6B7785"/>
          <w:sz w:val="18"/>
        </w:rPr>
        <w:t xml:space="preserve">  (жильё)</w:t>
      </w:r>
    </w:p>
    <w:p>
      <w:pPr>
        <w:spacing w:before="0" w:after="40" w:line="264" w:lineRule="auto"/>
        <w:ind w:left="312"/>
        <w:jc w:val="left"/>
      </w:pPr>
      <w:r>
        <w:rPr>
          <w:rFonts w:ascii="Calibri" w:hAnsi="Calibri" w:cs="Calibri"/>
          <w:b w:val="0"/>
          <w:i/>
          <w:color w:val="6B7785"/>
          <w:sz w:val="18"/>
        </w:rPr>
        <w:t>Если пройдёт — разрешения на ~244 000 домов начнут разблокироваться к концу 2027 года.</w:t>
      </w:r>
    </w:p>
    <w:p>
      <w:pPr>
        <w:spacing w:before="0" w:after="120" w:line="269" w:lineRule="auto"/>
        <w:jc w:val="left"/>
      </w:pPr>
    </w:p>
    <w:p>
      <w:pPr>
        <w:keepNext/>
        <w:spacing w:before="280" w:after="80" w:line="269" w:lineRule="auto"/>
        <w:jc w:val="left"/>
        <w:pBdr>
          <w:bottom w:val="single" w:sz="8" w:space="3" w:color="D7DEE6"/>
        </w:pBdr>
      </w:pPr>
      <w:r>
        <w:rPr>
          <w:rFonts w:ascii="Calibri" w:hAnsi="Calibri" w:cs="Calibri"/>
          <w:b/>
          <w:i w:val="0"/>
          <w:color w:val="1F3A5F"/>
          <w:sz w:val="27"/>
        </w:rPr>
        <w:t>Словарь терминов</w:t>
      </w:r>
    </w:p>
    <w:p>
      <w:pPr>
        <w:spacing w:before="40" w:after="40" w:line="269" w:lineRule="auto"/>
        <w:ind w:left="312" w:hanging="312"/>
        <w:jc w:val="left"/>
      </w:pPr>
      <w:r>
        <w:rPr>
          <w:rFonts w:ascii="Calibri" w:hAnsi="Calibri" w:cs="Calibri"/>
          <w:b/>
          <w:i w:val="0"/>
          <w:color w:val="1F3A5F"/>
          <w:sz w:val="19"/>
        </w:rPr>
        <w:t xml:space="preserve">netcongestie (перегрузка сети) — </w:t>
      </w:r>
      <w:r>
        <w:rPr>
          <w:rFonts w:ascii="Calibri" w:hAnsi="Calibri" w:cs="Calibri"/>
          <w:b w:val="0"/>
          <w:i w:val="0"/>
          <w:color w:val="222B36"/>
          <w:sz w:val="19"/>
        </w:rPr>
        <w:t>дефицит свободной мощности электросети: новые подключения ставятся в многолетнюю очередь.</w:t>
      </w:r>
    </w:p>
    <w:p>
      <w:pPr>
        <w:spacing w:before="40" w:after="40" w:line="269" w:lineRule="auto"/>
        <w:ind w:left="312" w:hanging="312"/>
        <w:jc w:val="left"/>
      </w:pPr>
      <w:r>
        <w:rPr>
          <w:rFonts w:ascii="Calibri" w:hAnsi="Calibri" w:cs="Calibri"/>
          <w:b/>
          <w:i w:val="0"/>
          <w:color w:val="1F3A5F"/>
          <w:sz w:val="19"/>
        </w:rPr>
        <w:t xml:space="preserve">box 3 — </w:t>
      </w:r>
      <w:r>
        <w:rPr>
          <w:rFonts w:ascii="Calibri" w:hAnsi="Calibri" w:cs="Calibri"/>
          <w:b w:val="0"/>
          <w:i w:val="0"/>
          <w:color w:val="222B36"/>
          <w:sz w:val="19"/>
        </w:rPr>
        <w:t>нидерландский налог на капитал физических лиц (включая недвижимость не для собственного проживания). Обсуждается переход от условной («вменённой») доходности к налогообложению реального дохода от аренды и прироста стоимости при продаже; запуск намечен на 2028 год.</w:t>
      </w:r>
    </w:p>
    <w:p>
      <w:pPr>
        <w:spacing w:before="40" w:after="40" w:line="269" w:lineRule="auto"/>
        <w:ind w:left="312" w:hanging="312"/>
        <w:jc w:val="left"/>
      </w:pPr>
      <w:r>
        <w:rPr>
          <w:rFonts w:ascii="Calibri" w:hAnsi="Calibri" w:cs="Calibri"/>
          <w:b/>
          <w:i w:val="0"/>
          <w:color w:val="1F3A5F"/>
          <w:sz w:val="19"/>
        </w:rPr>
        <w:t xml:space="preserve">earningsstripping — </w:t>
      </w:r>
      <w:r>
        <w:rPr>
          <w:rFonts w:ascii="Calibri" w:hAnsi="Calibri" w:cs="Calibri"/>
          <w:b w:val="0"/>
          <w:i w:val="0"/>
          <w:color w:val="222B36"/>
          <w:sz w:val="19"/>
        </w:rPr>
        <w:t>правило ЕС (с 2019), которое разрешает вычитать из налога только часть процентов по кредиту. Делает заёмные деньги для недвижимости дороже.</w:t>
      </w:r>
    </w:p>
    <w:p>
      <w:pPr>
        <w:spacing w:before="40" w:after="40" w:line="269" w:lineRule="auto"/>
        <w:ind w:left="312" w:hanging="312"/>
        <w:jc w:val="left"/>
      </w:pPr>
      <w:r>
        <w:rPr>
          <w:rFonts w:ascii="Calibri" w:hAnsi="Calibri" w:cs="Calibri"/>
          <w:b/>
          <w:i w:val="0"/>
          <w:color w:val="1F3A5F"/>
          <w:sz w:val="19"/>
        </w:rPr>
        <w:t xml:space="preserve">BV — </w:t>
      </w:r>
      <w:r>
        <w:rPr>
          <w:rFonts w:ascii="Calibri" w:hAnsi="Calibri" w:cs="Calibri"/>
          <w:b w:val="0"/>
          <w:i w:val="0"/>
          <w:color w:val="222B36"/>
          <w:sz w:val="19"/>
        </w:rPr>
        <w:t>нидерландская частная компания (аналог ООО). Через неё часто держат недвижимость, и на неё распространяются корпоративные налоги.</w:t>
      </w:r>
    </w:p>
    <w:p>
      <w:pPr>
        <w:spacing w:before="0" w:after="120" w:line="269" w:lineRule="auto"/>
        <w:jc w:val="left"/>
      </w:pPr>
    </w:p>
    <w:p>
      <w:pPr>
        <w:keepNext/>
        <w:spacing w:before="280" w:after="80" w:line="269" w:lineRule="auto"/>
        <w:jc w:val="left"/>
        <w:pBdr>
          <w:bottom w:val="single" w:sz="8" w:space="3" w:color="D7DEE6"/>
        </w:pBdr>
      </w:pPr>
      <w:r>
        <w:rPr>
          <w:rFonts w:ascii="Calibri" w:hAnsi="Calibri" w:cs="Calibri"/>
          <w:b/>
          <w:i w:val="0"/>
          <w:color w:val="1F3A5F"/>
          <w:sz w:val="27"/>
        </w:rPr>
        <w:t>Источники</w:t>
      </w:r>
    </w:p>
    <w:p>
      <w:pPr>
        <w:spacing w:before="0" w:after="40" w:line="269" w:lineRule="auto"/>
        <w:jc w:val="left"/>
      </w:pPr>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CBS StatLine / Kadaster (цены жилья, сделки)  </w:t>
      </w:r>
      <w:hyperlink r:id="rId22">
        <w:r>
          <w:rPr>
            <w:color w:val="1155CC"/>
            <w:sz w:val="18"/>
            <w:rFonts w:ascii="Calibri" w:hAnsi="Calibri"/>
            <w:u w:val="single"/>
          </w:rPr>
          <w:t xml:space="preserve">https://www.cbs.nl/nl-nl/nieuws/2026/26/koopwoningen-in-mei-ruim-4-procent-duurder-dan-jaar-eerder</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Cushman &amp; Wakefield — логистика NL, I кв. 2026  </w:t>
      </w:r>
      <w:hyperlink r:id="rId13">
        <w:r>
          <w:rPr>
            <w:color w:val="1155CC"/>
            <w:sz w:val="18"/>
            <w:rFonts w:ascii="Calibri" w:hAnsi="Calibri"/>
            <w:u w:val="single"/>
          </w:rPr>
          <w:t xml:space="preserve">https://www.cushmanwakefield.com/en/netherlands/news/2026/05/dutch-logistics-real-estate-market-remains-resilient</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CBRE Netherlands — доходности логистики  </w:t>
      </w:r>
      <w:hyperlink r:id="rId23">
        <w:r>
          <w:rPr>
            <w:color w:val="1155CC"/>
            <w:sz w:val="18"/>
            <w:rFonts w:ascii="Calibri" w:hAnsi="Calibri"/>
            <w:u w:val="single"/>
          </w:rPr>
          <w:t xml:space="preserve">https://www.cbre.nl/insights/reports/grotere-regionale-verschillen-sturen-rendementen-in-logistiek-vastgoed</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Locatus — пустующие магазины 2025  </w:t>
      </w:r>
      <w:hyperlink r:id="rId17">
        <w:r>
          <w:rPr>
            <w:color w:val="1155CC"/>
            <w:sz w:val="18"/>
            <w:rFonts w:ascii="Calibri" w:hAnsi="Calibri"/>
            <w:u w:val="single"/>
          </w:rPr>
          <w:t xml:space="preserve">https://locatus.com/blog/nederlandse-winkelleegstand-2025/</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Rijksoverheid — азотный пакет 26.06.2026  </w:t>
      </w:r>
      <w:hyperlink r:id="rId19">
        <w:r>
          <w:rPr>
            <w:color w:val="1155CC"/>
            <w:sz w:val="18"/>
            <w:rFonts w:ascii="Calibri" w:hAnsi="Calibri"/>
            <w:u w:val="single"/>
          </w:rPr>
          <w:t xml:space="preserve">https://www.rijksoverheid.nl/actueel/nieuws/2026/06/26/kabinet-haalt-nederland-van-het-stikstofslot-met-stevig-pakket-weer-ruimte-voor-boer-natuur-en-bouw</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Eerste Kamer — box 3  </w:t>
      </w:r>
      <w:hyperlink r:id="rId18">
        <w:r>
          <w:rPr>
            <w:color w:val="1155CC"/>
            <w:sz w:val="18"/>
            <w:rFonts w:ascii="Calibri" w:hAnsi="Calibri"/>
            <w:u w:val="single"/>
          </w:rPr>
          <w:t xml:space="preserve">https://www.eerstekamer.nl/nieuws/20260630/senaat_houdt_stemming_box_3_wet</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Vesteda Newsroom / IR  </w:t>
      </w:r>
      <w:hyperlink r:id="rId20">
        <w:r>
          <w:rPr>
            <w:color w:val="1155CC"/>
            <w:sz w:val="18"/>
            <w:rFonts w:ascii="Calibri" w:hAnsi="Calibri"/>
            <w:u w:val="single"/>
          </w:rPr>
          <w:t xml:space="preserve">https://news.vesteda.com/vesteda-redemption-volume-set-at--765-million-and-fund-terms-amended/</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NVM Business — Nieuws  </w:t>
      </w:r>
      <w:hyperlink r:id="rId16">
        <w:r>
          <w:rPr>
            <w:color w:val="1155CC"/>
            <w:sz w:val="18"/>
            <w:rFonts w:ascii="Calibri" w:hAnsi="Calibri"/>
            <w:u w:val="single"/>
          </w:rPr>
          <w:t xml:space="preserve">https://www.nvm.nl/nieuws/</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Financieel Management / Omroep Brabant — netcongestie  </w:t>
      </w:r>
      <w:hyperlink r:id="rId11">
        <w:r>
          <w:rPr>
            <w:color w:val="1155CC"/>
            <w:sz w:val="18"/>
            <w:rFonts w:ascii="Calibri" w:hAnsi="Calibri"/>
            <w:u w:val="single"/>
          </w:rPr>
          <w:t xml:space="preserve">https://financieel-management.nl/artikel/stroomnet-brabant-volledig-op-slot-voor-alle-bedrijven/</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Investing.com / MarketScreener — оценки CTP/WDP  </w:t>
      </w:r>
      <w:hyperlink r:id="rId14">
        <w:r>
          <w:rPr>
            <w:color w:val="1155CC"/>
            <w:sz w:val="18"/>
            <w:rFonts w:ascii="Calibri" w:hAnsi="Calibri"/>
            <w:u w:val="single"/>
          </w:rPr>
          <w:t xml:space="preserve">https://www.investing.com/equities/ctp-nv-consensus-estimates</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RaboResearch — прогноз рынка жилья  </w:t>
      </w:r>
      <w:hyperlink r:id="rId24">
        <w:r>
          <w:rPr>
            <w:color w:val="1155CC"/>
            <w:sz w:val="18"/>
            <w:rFonts w:ascii="Calibri" w:hAnsi="Calibri"/>
            <w:u w:val="single"/>
          </w:rPr>
          <w:t xml:space="preserve">https://www.rabobank.nl/kennis/d011529617-kwartaalbericht-woningmarkt-einde-van-de-prijsrally-huizenmarkt-koelt-af</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Vastgoedmarkt — обзор логистики  </w:t>
      </w:r>
      <w:hyperlink r:id="rId25">
        <w:r>
          <w:rPr>
            <w:color w:val="1155CC"/>
            <w:sz w:val="18"/>
            <w:rFonts w:ascii="Calibri" w:hAnsi="Calibri"/>
            <w:u w:val="single"/>
          </w:rPr>
          <w:t xml:space="preserve">https://www.vastgoedmarkt.nl/198511/wat-je-nu-moet-weten-over-logistiek</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Reuters / Bloomberg / US News — Prologis-Segro  </w:t>
      </w:r>
      <w:hyperlink r:id="rId12">
        <w:r>
          <w:rPr>
            <w:color w:val="1155CC"/>
            <w:sz w:val="18"/>
            <w:rFonts w:ascii="Calibri" w:hAnsi="Calibri"/>
            <w:u w:val="single"/>
          </w:rPr>
          <w:t xml:space="preserve">https://www.usnews.com/news/top-news/articles/2026-06-24/u-s-based-prologis-takes-16-6-billion-bid-for-uk-landlord-segro-public-after-rejection</w:t>
        </w:r>
      </w:hyperlink>
    </w:p>
    <w:p>
      <w:pPr>
        <w:spacing w:before="20" w:after="40" w:line="252" w:lineRule="auto"/>
        <w:ind w:left="283" w:hanging="198"/>
        <w:jc w:val="left"/>
      </w:pPr>
      <w:r>
        <w:rPr>
          <w:rFonts w:ascii="Calibri" w:hAnsi="Calibri" w:cs="Calibri"/>
          <w:b w:val="0"/>
          <w:i w:val="0"/>
          <w:color w:val="6B7785"/>
          <w:sz w:val="19"/>
        </w:rPr>
        <w:t xml:space="preserve">•  </w:t>
      </w:r>
      <w:r>
        <w:rPr>
          <w:rFonts w:ascii="Calibri" w:hAnsi="Calibri" w:cs="Calibri"/>
          <w:b w:val="0"/>
          <w:i w:val="0"/>
          <w:color w:val="222B36"/>
          <w:sz w:val="19"/>
        </w:rPr>
        <w:t xml:space="preserve">Vastgoedjournaal — Bouwinvest Senior Living Fund  </w:t>
      </w:r>
      <w:hyperlink r:id="rId21">
        <w:r>
          <w:rPr>
            <w:color w:val="1155CC"/>
            <w:sz w:val="18"/>
            <w:rFonts w:ascii="Calibri" w:hAnsi="Calibri"/>
            <w:u w:val="single"/>
          </w:rPr>
          <w:t xml:space="preserve">https://vastgoedjournaal.nl/news/73539/twee-pensioenfondsen-stappen-in-ouderenfonds-bouwinvest</w:t>
        </w:r>
      </w:hyperlink>
    </w:p>
    <w:p>
      <w:pPr>
        <w:spacing w:before="200" w:after="0" w:line="269" w:lineRule="auto"/>
        <w:jc w:val="left"/>
      </w:pPr>
    </w:p>
    <w:p>
      <w:pPr>
        <w:spacing w:before="120" w:after="0" w:line="269" w:lineRule="auto"/>
        <w:jc w:val="left"/>
        <w:pBdr>
          <w:top w:val="single" w:sz="6" w:space="4" w:color="D7DEE6"/>
        </w:pBdr>
      </w:pPr>
      <w:r>
        <w:rPr>
          <w:rFonts w:ascii="Calibri" w:hAnsi="Calibri" w:cs="Calibri"/>
          <w:b w:val="0"/>
          <w:i/>
          <w:color w:val="6B7785"/>
          <w:sz w:val="16"/>
        </w:rPr>
        <w:t>Дисклеймер: материал носит информационно-аналитический характер, подготовлен на основе открытых источников и не является инвестиционной рекомендацией. Проверяйте данные по первоисточникам перед принятием решений.</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785"/>
        <w:sz w:val="16"/>
      </w:rPr>
      <w:t xml:space="preserve">Стр. </w:t>
      <w:fldChar w:fldCharType="begin"/>
      <w:instrText xml:space="preserve">PAGE</w:instrText>
      <w:fldChar w:fldCharType="end"/>
    </w:r>
    <w:r>
      <w:rPr>
        <w:rFonts w:ascii="Calibri" w:hAnsi="Calibri"/>
        <w:color w:val="6B7785"/>
        <w:sz w:val="16"/>
      </w:rPr>
      <w:t xml:space="preserve"> из </w:t>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b w:val="0"/>
        <w:i w:val="0"/>
        <w:color w:val="6B7785"/>
        <w:sz w:val="16"/>
      </w:rPr>
      <w:t>Недвижимость Нидерландов · 23–30 июня 2026 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color w:val="222B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inancieel-management.nl/artikel/stroomnet-brabant-volledig-op-slot-voor-alle-bedrijven/" TargetMode="External"/><Relationship Id="rId12" Type="http://schemas.openxmlformats.org/officeDocument/2006/relationships/hyperlink" Target="https://www.usnews.com/news/top-news/articles/2026-06-24/u-s-based-prologis-takes-16-6-billion-bid-for-uk-landlord-segro-public-after-rejection" TargetMode="External"/><Relationship Id="rId13" Type="http://schemas.openxmlformats.org/officeDocument/2006/relationships/hyperlink" Target="https://www.cushmanwakefield.com/en/netherlands/news/2026/05/dutch-logistics-real-estate-market-remains-resilient" TargetMode="External"/><Relationship Id="rId14" Type="http://schemas.openxmlformats.org/officeDocument/2006/relationships/hyperlink" Target="https://www.investing.com/equities/ctp-nv-consensus-estimates" TargetMode="External"/><Relationship Id="rId15" Type="http://schemas.openxmlformats.org/officeDocument/2006/relationships/image" Target="media/image1.png"/><Relationship Id="rId16" Type="http://schemas.openxmlformats.org/officeDocument/2006/relationships/hyperlink" Target="https://www.nvm.nl/nieuws/" TargetMode="External"/><Relationship Id="rId17" Type="http://schemas.openxmlformats.org/officeDocument/2006/relationships/hyperlink" Target="https://locatus.com/blog/nederlandse-winkelleegstand-2025/" TargetMode="External"/><Relationship Id="rId18" Type="http://schemas.openxmlformats.org/officeDocument/2006/relationships/hyperlink" Target="https://www.eerstekamer.nl/nieuws/20260630/senaat_houdt_stemming_box_3_wet" TargetMode="External"/><Relationship Id="rId19" Type="http://schemas.openxmlformats.org/officeDocument/2006/relationships/hyperlink" Target="https://www.rijksoverheid.nl/actueel/nieuws/2026/06/26/kabinet-haalt-nederland-van-het-stikstofslot-met-stevig-pakket-weer-ruimte-voor-boer-natuur-en-bouw" TargetMode="External"/><Relationship Id="rId20" Type="http://schemas.openxmlformats.org/officeDocument/2006/relationships/hyperlink" Target="https://news.vesteda.com/vesteda-redemption-volume-set-at--765-million-and-fund-terms-amended/" TargetMode="External"/><Relationship Id="rId21" Type="http://schemas.openxmlformats.org/officeDocument/2006/relationships/hyperlink" Target="https://vastgoedjournaal.nl/news/73539/twee-pensioenfondsen-stappen-in-ouderenfonds-bouwinvest" TargetMode="External"/><Relationship Id="rId22" Type="http://schemas.openxmlformats.org/officeDocument/2006/relationships/hyperlink" Target="https://www.cbs.nl/nl-nl/nieuws/2026/26/koopwoningen-in-mei-ruim-4-procent-duurder-dan-jaar-eerder" TargetMode="External"/><Relationship Id="rId23" Type="http://schemas.openxmlformats.org/officeDocument/2006/relationships/hyperlink" Target="https://www.cbre.nl/insights/reports/grotere-regionale-verschillen-sturen-rendementen-in-logistiek-vastgoed" TargetMode="External"/><Relationship Id="rId24" Type="http://schemas.openxmlformats.org/officeDocument/2006/relationships/hyperlink" Target="https://www.rabobank.nl/kennis/d011529617-kwartaalbericht-woningmarkt-einde-van-de-prijsrally-huizenmarkt-koelt-af" TargetMode="External"/><Relationship Id="rId25" Type="http://schemas.openxmlformats.org/officeDocument/2006/relationships/hyperlink" Target="https://www.vastgoedmarkt.nl/198511/wat-je-nu-moet-weten-over-logistie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