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5F4F0"/>
  <w:body>
    <w:p>
      <w:pPr>
        <w:pBdr>
          <w:bottom w:val="single" w:color="9C7C38" w:sz="4" w:space="1"/>
        </w:pBdr>
        <w:spacing w:after="200" w:before="0"/>
      </w:pPr>
    </w:p>
    <w:p>
      <w:pPr>
        <w:keepNext/>
        <w:spacing w:after="300" w:before="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РАЗБОР ПЛОЩАДОК · МОСКВА</w:t>
      </w:r>
    </w:p>
    <w:p>
      <w:pPr>
        <w:keepNext/>
        <w:spacing w:after="300" w:line="240" w:lineRule="auto"/>
      </w:pPr>
      <w:r>
        <w:rPr>
          <w:rFonts w:ascii="Source Serif 4 Light" w:cs="Source Serif 4 Light" w:eastAsia="Source Serif 4 Light" w:hAnsi="Source Serif 4 Light"/>
          <w:b w:val="false"/>
          <w:bCs w:val="false"/>
          <w:i w:val="false"/>
          <w:iCs w:val="false"/>
          <w:color w:val="16233A"/>
          <w:sz w:val="80"/>
          <w:szCs w:val="80"/>
        </w:rPr>
        <w:t xml:space="preserve">Три АТС под</w:t>
      </w:r>
      <w:r>
        <w:br/>
      </w:r>
      <w:r>
        <w:rPr>
          <w:rFonts w:ascii="Source Serif 4 Light" w:cs="Source Serif 4 Light" w:eastAsia="Source Serif 4 Light" w:hAnsi="Source Serif 4 Light"/>
          <w:b w:val="false"/>
          <w:bCs w:val="false"/>
          <w:i w:val="false"/>
          <w:iCs w:val="false"/>
          <w:color w:val="16233A"/>
          <w:sz w:val="80"/>
          <w:szCs w:val="80"/>
        </w:rPr>
        <w:t xml:space="preserve">клубные дома</w:t>
      </w:r>
    </w:p>
    <w:p>
      <w:pPr>
        <w:spacing w:after="240" w:line="300" w:lineRule="auto"/>
      </w:pPr>
      <w:r>
        <w:rPr>
          <w:rFonts w:ascii="Source Serif 4" w:cs="Source Serif 4" w:eastAsia="Source Serif 4" w:hAnsi="Source Serif 4"/>
          <w:b w:val="false"/>
          <w:bCs w:val="false"/>
          <w:i/>
          <w:iCs/>
          <w:color w:val="33465F"/>
          <w:sz w:val="25"/>
          <w:szCs w:val="25"/>
        </w:rPr>
        <w:t xml:space="preserve">Группа «Эталон» вывела на сайт премиального бренда AURIX три московских адреса. За каждым — бывшая автоматическая телефонная станция МГТС из пакета АО «Бизнес-Недвижимость»: разбор состава, экономики, локации и истории каждой площадки.</w:t>
      </w:r>
    </w:p>
    <w:p>
      <w:pPr>
        <w:spacing w:after="1200"/>
      </w:pPr>
    </w:p>
    <w:p>
      <w:pPr>
        <w:keepNext/>
        <w:spacing w:after="100" w:before="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В ПОДБОРКУ ВХОДЯТ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00"/>
        <w:gridCol w:w="2100"/>
        <w:gridCol w:w="4700"/>
        <w:gridCol w:w="1920"/>
      </w:tblGrid>
      <w:tr>
        <w:tc>
          <w:tcPr>
            <w:tcW w:type="dxa" w:w="70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20"/>
            </w:tcMar>
            <w:vAlign w:val="center"/>
          </w:tcPr>
          <w:p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32"/>
                <w:szCs w:val="32"/>
              </w:rPr>
              <w:t xml:space="preserve">01</w:t>
            </w:r>
          </w:p>
        </w:tc>
        <w:tc>
          <w:tcPr>
            <w:tcW w:type="dxa" w:w="210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171575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26"/>
                <w:szCs w:val="26"/>
              </w:rPr>
              <w:t xml:space="preserve">Большая Ордынка, 25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4"/>
                <w:szCs w:val="14"/>
              </w:rPr>
              <w:t xml:space="preserve">Замоскворечье · м. Третьяковская · концепция согласована ГЗК</w:t>
            </w:r>
          </w:p>
        </w:tc>
        <w:tc>
          <w:tcPr>
            <w:tcW w:type="dxa" w:w="192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16233A"/>
                <w:sz w:val="26"/>
                <w:szCs w:val="26"/>
              </w:rPr>
              <w:t xml:space="preserve">≈ 17,3 тыс. м²</w:t>
            </w:r>
          </w:p>
        </w:tc>
      </w:tr>
      <w:tr>
        <w:tc>
          <w:tcPr>
            <w:tcW w:type="dxa" w:w="70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20"/>
            </w:tcMar>
            <w:vAlign w:val="center"/>
          </w:tcPr>
          <w:p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32"/>
                <w:szCs w:val="32"/>
              </w:rPr>
              <w:t xml:space="preserve">02</w:t>
            </w:r>
          </w:p>
        </w:tc>
        <w:tc>
          <w:tcPr>
            <w:tcW w:type="dxa" w:w="210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171575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26"/>
                <w:szCs w:val="26"/>
              </w:rPr>
              <w:t xml:space="preserve">Земледельческий, 15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4"/>
                <w:szCs w:val="14"/>
              </w:rPr>
              <w:t xml:space="preserve">Хамовники · м. Смоленская · проектирование</w:t>
            </w:r>
          </w:p>
        </w:tc>
        <w:tc>
          <w:tcPr>
            <w:tcW w:type="dxa" w:w="192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16233A"/>
                <w:sz w:val="26"/>
                <w:szCs w:val="26"/>
              </w:rPr>
              <w:t xml:space="preserve">≈ 8 тыс. м²</w:t>
            </w:r>
          </w:p>
        </w:tc>
      </w:tr>
      <w:tr>
        <w:tc>
          <w:tcPr>
            <w:tcW w:type="dxa" w:w="70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20"/>
            </w:tcMar>
            <w:vAlign w:val="center"/>
          </w:tcPr>
          <w:p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32"/>
                <w:szCs w:val="32"/>
              </w:rPr>
              <w:t xml:space="preserve">03</w:t>
            </w:r>
          </w:p>
        </w:tc>
        <w:tc>
          <w:tcPr>
            <w:tcW w:type="dxa" w:w="210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171575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26"/>
                <w:szCs w:val="26"/>
              </w:rPr>
              <w:t xml:space="preserve">Малая Полянка, 3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4"/>
                <w:szCs w:val="14"/>
              </w:rPr>
              <w:t xml:space="preserve">Якиманка · м. Полянка · концепция</w:t>
            </w:r>
          </w:p>
        </w:tc>
        <w:tc>
          <w:tcPr>
            <w:tcW w:type="dxa" w:w="192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16233A"/>
                <w:sz w:val="26"/>
                <w:szCs w:val="26"/>
              </w:rPr>
              <w:t xml:space="preserve">≈ 4,9 тыс. м²</w:t>
            </w:r>
          </w:p>
        </w:tc>
      </w:tr>
    </w:tbl>
    <w:p>
      <w:pPr>
        <w:spacing w:after="800"/>
      </w:pPr>
    </w:p>
    <w:p>
      <w:pPr>
        <w:pBdr>
          <w:top w:val="single" w:color="D9D5CB" w:sz="2" w:space="8"/>
        </w:pBdr>
        <w:tabs>
          <w:tab w:val="right" w:pos="9420"/>
        </w:tabs>
        <w:spacing w:before="200"/>
      </w:pPr>
      <w:r>
        <w:rPr>
          <w:rFonts w:ascii="Source Sans 3" w:cs="Source Sans 3" w:eastAsia="Source Sans 3" w:hAnsi="Source Sans 3"/>
          <w:b w:val="false"/>
          <w:bCs w:val="false"/>
          <w:i w:val="false"/>
          <w:iCs w:val="false"/>
          <w:color w:val="5D6B7C"/>
          <w:sz w:val="13"/>
          <w:szCs w:val="13"/>
        </w:rPr>
        <w:t xml:space="preserve">Источники: канал «Недвижимость инсайды», сайт AURIX, «ЭталонПроект», archi.ru, «Узнай Москву». Данные на 27 августа 2026 года.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z w:val="13"/>
          <w:szCs w:val="13"/>
        </w:rPr>
        <w:t xml:space="preserve">3 ОБЪЕКТА</w:t>
      </w:r>
    </w:p>
    <w:p>
      <w:pPr>
        <w:sectPr>
          <w:type w:val="nextPage"/>
          <w:pgSz w:w="11906" w:h="16838" w:orient="portrait"/>
          <w:pgMar w:top="1400" w:right="1240" w:bottom="1000" w:left="1240" w:header="700" w:footer="560" w:gutter="0"/>
          <w:pgNumType/>
          <w:docGrid w:linePitch="360"/>
        </w:sectPr>
      </w:pPr>
    </w:p>
    <w:p>
      <w:pPr>
        <w:keepNext/>
        <w:spacing w:after="60" w:before="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КОНТЕКСТ</w:t>
      </w:r>
    </w:p>
    <w:p>
      <w:pPr>
        <w:keepNext/>
        <w:spacing w:after="200" w:before="0" w:line="264" w:lineRule="auto"/>
      </w:pPr>
      <w:r>
        <w:rPr>
          <w:rFonts w:ascii="Source Serif 4 Light" w:cs="Source Serif 4 Light" w:eastAsia="Source Serif 4 Light" w:hAnsi="Source Serif 4 Light"/>
          <w:b w:val="false"/>
          <w:bCs w:val="false"/>
          <w:i w:val="false"/>
          <w:iCs w:val="false"/>
          <w:color w:val="16233A"/>
          <w:sz w:val="50"/>
          <w:szCs w:val="50"/>
        </w:rPr>
        <w:t xml:space="preserve">Откуда взялись площадки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3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ЦЕНА ПАКЕТА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14,1 млрд ₽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«Бизнес-Недвижимость»</w:t>
            </w:r>
          </w:p>
        </w:tc>
        <w:tc>
          <w:tcPr>
            <w:tcW w:type="dxa" w:w="1884"/>
            <w:tcBorders>
              <w:top w:val="none" w:color="auto" w:sz="0"/>
              <w:left w:val="single" w:color="DCD7CB" w:sz="2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1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ОБЪЕКТОВ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42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Москва и Петербург</w:t>
            </w:r>
          </w:p>
        </w:tc>
        <w:tc>
          <w:tcPr>
            <w:tcW w:type="dxa" w:w="1884"/>
            <w:tcBorders>
              <w:top w:val="none" w:color="auto" w:sz="0"/>
              <w:left w:val="single" w:color="DCD7CB" w:sz="2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1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В ПРИОРИТЕТЕ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18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&gt; 200 тыс. м²</w:t>
            </w:r>
          </w:p>
        </w:tc>
        <w:tc>
          <w:tcPr>
            <w:tcW w:type="dxa" w:w="1884"/>
            <w:tcBorders>
              <w:top w:val="none" w:color="auto" w:sz="0"/>
              <w:left w:val="single" w:color="DCD7CB" w:sz="2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1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ВЫРУЧКА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185 млрд ₽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ожидаемая до 2032</w:t>
            </w:r>
          </w:p>
        </w:tc>
        <w:tc>
          <w:tcPr>
            <w:tcW w:type="dxa" w:w="1884"/>
            <w:tcBorders>
              <w:top w:val="none" w:color="auto" w:sz="0"/>
              <w:left w:val="single" w:color="DCD7CB" w:sz="2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1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ПРЕМИУМ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5 → 20 %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доля в портфеле</w:t>
            </w:r>
          </w:p>
        </w:tc>
      </w:tr>
    </w:tbl>
    <w:p>
      <w:pPr>
        <w:spacing w:after="280"/>
      </w:pP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</w:tcPr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28 августа 2025 года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 Группа «Эталон» объявила о покупке у АФК «Система» компании АО «Бизнес-Недвижимость» — за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14,1 млрд рублей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, под финансирование планировавшегося SPO на Мосбирже. На балансе —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42 объекта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 в Москве и Санкт-Петербурге, в основном здания и участки бывших АТС Московской городской телефонной сети. Сделку закрыли в декабре 2025 года.</w:t>
            </w:r>
          </w:p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Это уже второй заход «Эталона» в тот же актив. В 2019 году группа двумя траншами — 51 % в феврале и оставшиеся 49 % в августе — выкупила у «Системы» девелопера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«Лидер-Инвест»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.</w:t>
            </w:r>
          </w:p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Именно «Лидер-Инвест» с 2014 года застраивал площадки высвобождающихся АТС: около 26 проектов и порядка 170 тыс. кв. м. Нынешние три адреса в ту, первую волну не попали и дождались нового ценового цикла.</w:t>
            </w:r>
          </w:p>
          <w:p>
            <w:pPr>
              <w:spacing w:after="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Под премиальный сегмент «Эталон» в апреле 2025 года запустил отдельный бренд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AURIX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. Портфель бренда собран как раз на участках бывшего «Бизнес-Недвижимости»: по расчётам компании, 18 приоритетных объектов дают более 200 тыс. кв. м и свыше 185 млрд рублей выручки до 2032 года.</w:t>
            </w:r>
          </w:p>
        </w:tc>
      </w:tr>
    </w:tbl>
    <w:p>
      <w:pPr>
        <w:pBdr>
          <w:top w:val="single" w:color="9C7C38" w:sz="4" w:space="14"/>
          <w:bottom w:val="single" w:color="9C7C38" w:sz="4" w:space="14"/>
        </w:pBdr>
        <w:spacing w:after="260" w:before="260" w:line="300" w:lineRule="auto"/>
      </w:pPr>
      <w:r>
        <w:rPr>
          <w:rFonts w:ascii="Source Serif 4" w:cs="Source Serif 4" w:eastAsia="Source Serif 4" w:hAnsi="Source Serif 4"/>
          <w:b w:val="false"/>
          <w:bCs w:val="false"/>
          <w:i/>
          <w:iCs/>
          <w:color w:val="16233A"/>
          <w:sz w:val="33"/>
          <w:szCs w:val="33"/>
        </w:rPr>
        <w:t xml:space="preserve">Шесть проектов премиум-класса в двух городах — это уже больше похоже на отдельную платформу, чем на разовую попытку выйти в сегмент.</w:t>
      </w:r>
    </w:p>
    <w:p>
      <w:pPr>
        <w:keepNext/>
        <w:spacing w:after="60" w:before="6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ХРОНОЛОГИЯ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884"/>
        <w:gridCol w:w="7536"/>
      </w:tblGrid>
      <w:tr>
        <w:tc>
          <w:tcPr>
            <w:tcW w:type="dxa" w:w="1884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z w:val="16"/>
                <w:szCs w:val="16"/>
              </w:rPr>
              <w:t xml:space="preserve">28.08.2025</w:t>
            </w:r>
          </w:p>
        </w:tc>
        <w:tc>
          <w:tcPr>
            <w:tcW w:type="dxa" w:w="7536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«Эталон» объявляет о покупке АО «Бизнес-Недвижимость» у АФК «Система».</w:t>
            </w:r>
          </w:p>
        </w:tc>
      </w:tr>
      <w:tr>
        <w:tc>
          <w:tcPr>
            <w:tcW w:type="dxa" w:w="1884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z w:val="16"/>
                <w:szCs w:val="16"/>
              </w:rPr>
              <w:t xml:space="preserve">07.11.2025</w:t>
            </w:r>
          </w:p>
        </w:tc>
        <w:tc>
          <w:tcPr>
            <w:tcW w:type="dxa" w:w="7536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Впервые всплывает застройка ЗУ «Малая Полянка, 3»: 4,9 тыс. м², 34 квартиры, 36 машино-мест.</w:t>
            </w:r>
          </w:p>
        </w:tc>
      </w:tr>
      <w:tr>
        <w:tc>
          <w:tcPr>
            <w:tcW w:type="dxa" w:w="1884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z w:val="16"/>
                <w:szCs w:val="16"/>
              </w:rPr>
              <w:t xml:space="preserve">декабрь 2025</w:t>
            </w:r>
          </w:p>
        </w:tc>
        <w:tc>
          <w:tcPr>
            <w:tcW w:type="dxa" w:w="7536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Сделка закрыта — 42 бывшие АТС переходят в периметр «Эталона».</w:t>
            </w:r>
          </w:p>
        </w:tc>
      </w:tr>
      <w:tr>
        <w:tc>
          <w:tcPr>
            <w:tcW w:type="dxa" w:w="1884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z w:val="16"/>
                <w:szCs w:val="16"/>
              </w:rPr>
              <w:t xml:space="preserve">≈ 11.03.2026</w:t>
            </w:r>
          </w:p>
        </w:tc>
        <w:tc>
          <w:tcPr>
            <w:tcW w:type="dxa" w:w="7536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ГЗК Москвы согласовывает концепцию «Большая Ордынка, 25, стр. 1».</w:t>
            </w:r>
          </w:p>
        </w:tc>
      </w:tr>
      <w:tr>
        <w:tc>
          <w:tcPr>
            <w:tcW w:type="dxa" w:w="1884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z w:val="16"/>
                <w:szCs w:val="16"/>
              </w:rPr>
              <w:t xml:space="preserve">07.05.2026</w:t>
            </w:r>
          </w:p>
        </w:tc>
        <w:tc>
          <w:tcPr>
            <w:tcW w:type="dxa" w:w="7536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Становится известно о согласовании ТЭП по ЗУ «Земледельческий, 15»: 8 тыс. м², 77 квартир.</w:t>
            </w:r>
          </w:p>
        </w:tc>
      </w:tr>
      <w:tr>
        <w:tc>
          <w:tcPr>
            <w:tcW w:type="dxa" w:w="1884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</w:tcPr>
          <w:p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z w:val="16"/>
                <w:szCs w:val="16"/>
              </w:rPr>
              <w:t xml:space="preserve">25.08.2026</w:t>
            </w:r>
          </w:p>
        </w:tc>
        <w:tc>
          <w:tcPr>
            <w:tcW w:type="dxa" w:w="7536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AURIX публикует все три проекта на своём сайте в статусе «Скоро».</w:t>
            </w:r>
          </w:p>
        </w:tc>
      </w:tr>
    </w:tbl>
    <w:p>
      <w:pPr>
        <w:keepNext/>
        <w:pageBreakBefore/>
        <w:spacing w:after="60" w:before="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СВОДКА</w:t>
      </w:r>
    </w:p>
    <w:p>
      <w:pPr>
        <w:keepNext/>
        <w:spacing w:after="200" w:before="0" w:line="264" w:lineRule="auto"/>
      </w:pPr>
      <w:r>
        <w:rPr>
          <w:rFonts w:ascii="Source Serif 4 Light" w:cs="Source Serif 4 Light" w:eastAsia="Source Serif 4 Light" w:hAnsi="Source Serif 4 Light"/>
          <w:b w:val="false"/>
          <w:bCs w:val="false"/>
          <w:i w:val="false"/>
          <w:iCs w:val="false"/>
          <w:color w:val="16233A"/>
          <w:sz w:val="50"/>
          <w:szCs w:val="50"/>
        </w:rPr>
        <w:t xml:space="preserve">Три площадки в одной таблице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072"/>
        <w:gridCol w:w="2449"/>
        <w:gridCol w:w="2449"/>
        <w:gridCol w:w="2450"/>
      </w:tblGrid>
      <w:tr>
        <w:trPr>
          <w:tblHeader/>
        </w:trPr>
        <w:tc>
          <w:tcPr>
            <w:tcW w:type="dxa" w:w="2072"/>
            <w:tcBorders>
              <w:top w:val="none" w:color="auto" w:sz="0"/>
              <w:left w:val="none" w:color="auto" w:sz="0"/>
              <w:bottom w:val="single" w:color="D5CFC2" w:sz="4"/>
              <w:right w:val="none" w:color="auto" w:sz="0"/>
            </w:tcBorders>
            <w:shd w:fill="EBE7DF" w:color="auto" w:val="clear"/>
            <w:tcMar>
              <w:top w:type="dxa" w:w="110"/>
              <w:left w:type="dxa" w:w="0"/>
              <w:bottom w:type="dxa" w:w="110"/>
              <w:right w:type="dxa" w:w="110"/>
            </w:tcMar>
          </w:tcPr>
          <w:p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18"/>
                <w:sz w:val="13"/>
                <w:szCs w:val="13"/>
              </w:rPr>
              <w:t xml:space="preserve"/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D5CFC2" w:sz="4"/>
              <w:right w:val="none" w:color="auto" w:sz="0"/>
            </w:tcBorders>
            <w:shd w:fill="EBE7DF" w:color="auto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18"/>
                <w:sz w:val="13"/>
                <w:szCs w:val="13"/>
              </w:rPr>
              <w:t xml:space="preserve">БОЛЬШАЯ ОРДЫНКА, 25С1</w:t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D5CFC2" w:sz="4"/>
              <w:right w:val="none" w:color="auto" w:sz="0"/>
            </w:tcBorders>
            <w:shd w:fill="EBE7DF" w:color="auto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18"/>
                <w:sz w:val="13"/>
                <w:szCs w:val="13"/>
              </w:rPr>
              <w:t xml:space="preserve">ЗЕМЛЕДЕЛЬЧЕСКИЙ, 15</w:t>
            </w:r>
          </w:p>
        </w:tc>
        <w:tc>
          <w:tcPr>
            <w:tcW w:type="dxa" w:w="2450"/>
            <w:tcBorders>
              <w:top w:val="none" w:color="auto" w:sz="0"/>
              <w:left w:val="none" w:color="auto" w:sz="0"/>
              <w:bottom w:val="single" w:color="D5CFC2" w:sz="4"/>
              <w:right w:val="none" w:color="auto" w:sz="0"/>
            </w:tcBorders>
            <w:shd w:fill="EBE7DF" w:color="auto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18"/>
                <w:sz w:val="13"/>
                <w:szCs w:val="13"/>
              </w:rPr>
              <w:t xml:space="preserve">МАЛАЯ ПОЛЯНКА, 3</w:t>
            </w:r>
          </w:p>
        </w:tc>
      </w:tr>
      <w:tr>
        <w:tc>
          <w:tcPr>
            <w:tcW w:type="dxa" w:w="2072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16233A"/>
                <w:sz w:val="16"/>
                <w:szCs w:val="16"/>
              </w:rPr>
              <w:t xml:space="preserve">Район</w:t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Замоскворечье, ЦАО</w:t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Хамовники, ЦАО</w:t>
            </w:r>
          </w:p>
        </w:tc>
        <w:tc>
          <w:tcPr>
            <w:tcW w:type="dxa" w:w="245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Якиманка, ЦАО</w:t>
            </w:r>
          </w:p>
        </w:tc>
      </w:tr>
      <w:tr>
        <w:tc>
          <w:tcPr>
            <w:tcW w:type="dxa" w:w="2072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16233A"/>
                <w:sz w:val="16"/>
                <w:szCs w:val="16"/>
              </w:rPr>
              <w:t xml:space="preserve">Метро</w:t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Третьяковская</w:t>
            </w:r>
            <w:r>
              <w:br/>
            </w: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≈ 60 м по прямой</w:t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Смоленская</w:t>
            </w:r>
            <w:r>
              <w:br/>
            </w: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≈ 700–800 м, ≈ 1 км пешком</w:t>
            </w:r>
          </w:p>
        </w:tc>
        <w:tc>
          <w:tcPr>
            <w:tcW w:type="dxa" w:w="245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Полянка</w:t>
            </w:r>
            <w:r>
              <w:br/>
            </w: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≈ 120 м по прямой</w:t>
            </w:r>
          </w:p>
        </w:tc>
      </w:tr>
      <w:tr>
        <w:tc>
          <w:tcPr>
            <w:tcW w:type="dxa" w:w="2072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16233A"/>
                <w:sz w:val="16"/>
                <w:szCs w:val="16"/>
              </w:rPr>
              <w:t xml:space="preserve">Площадь по ТЭП</w:t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≈ 17,3 тыс. м²</w:t>
            </w:r>
            <w:r>
              <w:br/>
            </w: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общая площадь комплекса</w:t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≈ 8 тыс. м²</w:t>
            </w:r>
            <w:r>
              <w:br/>
            </w: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жилья</w:t>
            </w:r>
          </w:p>
        </w:tc>
        <w:tc>
          <w:tcPr>
            <w:tcW w:type="dxa" w:w="245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≈ 4,9 тыс. м²</w:t>
            </w:r>
            <w:r>
              <w:br/>
            </w: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жилья</w:t>
            </w:r>
          </w:p>
        </w:tc>
      </w:tr>
      <w:tr>
        <w:tc>
          <w:tcPr>
            <w:tcW w:type="dxa" w:w="2072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16233A"/>
                <w:sz w:val="16"/>
                <w:szCs w:val="16"/>
              </w:rPr>
              <w:t xml:space="preserve">Квартир</w:t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не раскрыто</w:t>
            </w:r>
            <w:r>
              <w:br/>
            </w: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«ограниченная коллекция»</w:t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77</w:t>
            </w:r>
          </w:p>
        </w:tc>
        <w:tc>
          <w:tcPr>
            <w:tcW w:type="dxa" w:w="245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34</w:t>
            </w:r>
            <w:r>
              <w:br/>
            </w: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средняя площадь ≈ 144 м²</w:t>
            </w:r>
          </w:p>
        </w:tc>
      </w:tr>
      <w:tr>
        <w:tc>
          <w:tcPr>
            <w:tcW w:type="dxa" w:w="2072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16233A"/>
                <w:sz w:val="16"/>
                <w:szCs w:val="16"/>
              </w:rPr>
              <w:t xml:space="preserve">Этажность</w:t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7 этажей + мансардный уровень</w:t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не раскрыта</w:t>
            </w:r>
          </w:p>
        </w:tc>
        <w:tc>
          <w:tcPr>
            <w:tcW w:type="dxa" w:w="245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9 этажей</w:t>
            </w:r>
          </w:p>
        </w:tc>
      </w:tr>
      <w:tr>
        <w:tc>
          <w:tcPr>
            <w:tcW w:type="dxa" w:w="2072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16233A"/>
                <w:sz w:val="16"/>
                <w:szCs w:val="16"/>
              </w:rPr>
              <w:t xml:space="preserve">Паркинг</w:t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подземный</w:t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подземный</w:t>
            </w:r>
          </w:p>
        </w:tc>
        <w:tc>
          <w:tcPr>
            <w:tcW w:type="dxa" w:w="245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подземный, 36 м/м</w:t>
            </w:r>
          </w:p>
        </w:tc>
      </w:tr>
      <w:tr>
        <w:tc>
          <w:tcPr>
            <w:tcW w:type="dxa" w:w="2072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16233A"/>
                <w:sz w:val="16"/>
                <w:szCs w:val="16"/>
              </w:rPr>
              <w:t xml:space="preserve">Что на участке</w:t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Первая московская АТС, 1926–1930, инж. В. В. Патек, конструктивизм</w:t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Здание бывшей АТС, 1975, 5 этажей, 5 743 м², БЦ класса B</w:t>
            </w:r>
          </w:p>
        </w:tc>
        <w:tc>
          <w:tcPr>
            <w:tcW w:type="dxa" w:w="245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Здание бывшей АТС-230/238, 1978, 6 этажей, серия XI-36-01</w:t>
            </w:r>
          </w:p>
        </w:tc>
      </w:tr>
      <w:tr>
        <w:tc>
          <w:tcPr>
            <w:tcW w:type="dxa" w:w="2072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16233A"/>
                <w:sz w:val="16"/>
                <w:szCs w:val="16"/>
              </w:rPr>
              <w:t xml:space="preserve">Стадия</w:t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концепция согласована ГЗК</w:t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проектирование, ТЭП согласованы</w:t>
            </w:r>
          </w:p>
        </w:tc>
        <w:tc>
          <w:tcPr>
            <w:tcW w:type="dxa" w:w="245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концепция</w:t>
            </w:r>
          </w:p>
        </w:tc>
      </w:tr>
      <w:tr>
        <w:tc>
          <w:tcPr>
            <w:tcW w:type="dxa" w:w="2072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16233A"/>
                <w:sz w:val="16"/>
                <w:szCs w:val="16"/>
              </w:rPr>
              <w:t xml:space="preserve">Старт продаж</w:t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2026</w:t>
            </w:r>
          </w:p>
        </w:tc>
        <w:tc>
          <w:tcPr>
            <w:tcW w:type="dxa" w:w="2449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2026</w:t>
            </w:r>
          </w:p>
        </w:tc>
        <w:tc>
          <w:tcPr>
            <w:tcW w:type="dxa" w:w="2450"/>
            <w:tcBorders>
              <w:top w:val="none" w:color="auto" w:sz="0"/>
              <w:left w:val="none" w:color="auto" w:sz="0"/>
              <w:bottom w:val="single" w:color="C8CBD0" w:sz="2"/>
              <w:right w:val="none" w:color="auto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line="23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2026</w:t>
            </w:r>
          </w:p>
        </w:tc>
      </w:tr>
    </w:tbl>
    <w:p>
      <w:pPr>
        <w:spacing w:after="240"/>
      </w:pPr>
    </w:p>
    <w:p>
      <w:pPr>
        <w:keepNext/>
        <w:spacing w:after="60" w:before="8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ОГОВОРКА О ДАННЫХ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</w:tcPr>
          <w:p>
            <w:pPr>
              <w:spacing w:after="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Ни один из трёх проектов не вышел в продажу. Проектных деклараций нет, планировок и прайсов тоже. Часть цифр — этажность, ввод, отделка — опубликована брокерами и агрегаторами, а не застройщиком; в карточках объектов такие значения помечены отдельно.</w:t>
            </w:r>
          </w:p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Ценовой ориентир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не менее 3 млн ₽ за метр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 по всем трём адресам — оценка рынка, а не заявление «Эталона». При средней площади резиденции на Малой Полянке в 144 м² это даёт бюджет покупки около полумиллиарда рублей.</w:t>
            </w:r>
          </w:p>
        </w:tc>
      </w:tr>
    </w:tbl>
    <w:p>
      <w:pPr>
        <w:keepNext/>
        <w:pageBreakBefore/>
        <w:spacing w:after="60" w:before="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ОБЪЕКТ 01 · ЗАМОСКВОРЕЧЬЕ</w:t>
      </w:r>
    </w:p>
    <w:p>
      <w:pPr>
        <w:keepNext/>
        <w:spacing w:after="200" w:before="0" w:line="264" w:lineRule="auto"/>
      </w:pPr>
      <w:r>
        <w:rPr>
          <w:rFonts w:ascii="Source Serif 4 Light" w:cs="Source Serif 4 Light" w:eastAsia="Source Serif 4 Light" w:hAnsi="Source Serif 4 Light"/>
          <w:b w:val="false"/>
          <w:bCs w:val="false"/>
          <w:i w:val="false"/>
          <w:iCs w:val="false"/>
          <w:color w:val="16233A"/>
          <w:sz w:val="50"/>
          <w:szCs w:val="50"/>
        </w:rPr>
        <w:t xml:space="preserve">Большая Ордынка, 25</w:t>
      </w:r>
    </w:p>
    <w:p>
      <w:pPr>
        <w:spacing w:after="240" w:line="300" w:lineRule="auto"/>
      </w:pPr>
      <w:r>
        <w:rPr>
          <w:rFonts w:ascii="Source Serif 4" w:cs="Source Serif 4" w:eastAsia="Source Serif 4" w:hAnsi="Source Serif 4"/>
          <w:b w:val="false"/>
          <w:bCs w:val="false"/>
          <w:i/>
          <w:iCs/>
          <w:color w:val="33465F"/>
          <w:sz w:val="25"/>
          <w:szCs w:val="25"/>
        </w:rPr>
        <w:t xml:space="preserve">Самый дорогой московский проект «Эталона» — на месте первой автоматической телефонной станции Москвы. Концепция прошла ГЗК примерно через три месяца после закрытия сделки.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3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ПЛОЩАДЬ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17 300 м²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общая по ТЭП</w:t>
            </w:r>
          </w:p>
        </w:tc>
        <w:tc>
          <w:tcPr>
            <w:tcW w:type="dxa" w:w="1884"/>
            <w:tcBorders>
              <w:top w:val="none" w:color="auto" w:sz="0"/>
              <w:left w:val="single" w:color="DCD7CB" w:sz="2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1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ЭТАЖНОСТЬ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7 + мансарда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панорамный верх</w:t>
            </w:r>
          </w:p>
        </w:tc>
        <w:tc>
          <w:tcPr>
            <w:tcW w:type="dxa" w:w="1884"/>
            <w:tcBorders>
              <w:top w:val="none" w:color="auto" w:sz="0"/>
              <w:left w:val="single" w:color="DCD7CB" w:sz="2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1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ДО МЕТРО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60 м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«Третьяковская»</w:t>
            </w:r>
          </w:p>
        </w:tc>
        <w:tc>
          <w:tcPr>
            <w:tcW w:type="dxa" w:w="1884"/>
            <w:tcBorders>
              <w:top w:val="none" w:color="auto" w:sz="0"/>
              <w:left w:val="single" w:color="DCD7CB" w:sz="2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1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КЛАСС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De Luxe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позиционирование</w:t>
            </w:r>
          </w:p>
        </w:tc>
        <w:tc>
          <w:tcPr>
            <w:tcW w:type="dxa" w:w="1884"/>
            <w:tcBorders>
              <w:top w:val="none" w:color="auto" w:sz="0"/>
              <w:left w:val="single" w:color="DCD7CB" w:sz="2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1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ПРОДАЖИ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2026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ввод IV кв. 2031*</w:t>
            </w:r>
          </w:p>
        </w:tc>
      </w:tr>
    </w:tbl>
    <w:p>
      <w:pPr>
        <w:spacing w:after="280"/>
      </w:pP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877"/>
              <w:gridCol w:w="2593"/>
            </w:tblGrid>
            <w:tr>
              <w:tc>
                <w:tcPr>
                  <w:tcW w:type="dxa" w:w="4470"/>
                  <w:gridSpan w:val="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C7C38"/>
                      <w:spacing w:val="20"/>
                      <w:sz w:val="13"/>
                      <w:szCs w:val="13"/>
                    </w:rPr>
                    <w:t xml:space="preserve">ЗДАНИЕ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Адрес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Большая Ордынка, 25, стр. 1 и 4; 25/4, стр. 2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Общая площадь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≈ 17 300 м²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Этажность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7 этажей + мансардный уровень*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Квартиры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количество не раскрыто</w:t>
                  </w:r>
                </w:p>
              </w:tc>
            </w:tr>
          </w:tbl>
          <w:p/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877"/>
              <w:gridCol w:w="2593"/>
            </w:tblGrid>
            <w:tr>
              <w:tc>
                <w:tcPr>
                  <w:tcW w:type="dxa" w:w="4470"/>
                  <w:gridSpan w:val="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C7C38"/>
                      <w:spacing w:val="20"/>
                      <w:sz w:val="13"/>
                      <w:szCs w:val="13"/>
                    </w:rPr>
                    <w:t xml:space="preserve">АРХИТЕКТУРА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Бюро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«ЭталонПроект», Москва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Идея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ансамбль городских усадеб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Материалы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травертин, бронза, крупное остекление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Особое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12 мозаик утраченных храмов на фасадах</w:t>
                  </w:r>
                </w:p>
              </w:tc>
            </w:tr>
          </w:tbl>
          <w:p/>
        </w:tc>
      </w:tr>
    </w:tbl>
    <w:p>
      <w:pPr>
        <w:spacing w:after="160"/>
      </w:pP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877"/>
              <w:gridCol w:w="2593"/>
            </w:tblGrid>
            <w:tr>
              <w:tc>
                <w:tcPr>
                  <w:tcW w:type="dxa" w:w="4470"/>
                  <w:gridSpan w:val="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C7C38"/>
                      <w:spacing w:val="20"/>
                      <w:sz w:val="13"/>
                      <w:szCs w:val="13"/>
                    </w:rPr>
                    <w:t xml:space="preserve">ПРОДУКТ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Паркинг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подземный, лифт в квартиру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Сервис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консьерж 24/7, «умный дом»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Двор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закрытый, с очагом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Первый этаж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винный бутик, приватная галерея</w:t>
                  </w:r>
                </w:p>
              </w:tc>
            </w:tr>
          </w:tbl>
          <w:p/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877"/>
              <w:gridCol w:w="2593"/>
            </w:tblGrid>
            <w:tr>
              <w:tc>
                <w:tcPr>
                  <w:tcW w:type="dxa" w:w="4470"/>
                  <w:gridSpan w:val="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C7C38"/>
                      <w:spacing w:val="20"/>
                      <w:sz w:val="13"/>
                      <w:szCs w:val="13"/>
                    </w:rPr>
                    <w:t xml:space="preserve">СТАТУС И СРОКИ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Стадия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концепция согласована ГЗК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Дата ГЗК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≈ 11 марта 2026 года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Старт продаж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2026, ввод IV кв. 2031*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Конкуренты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Sminex, «Русские сезоны», «Текта»</w:t>
                  </w:r>
                </w:p>
              </w:tc>
            </w:tr>
          </w:tbl>
          <w:p/>
        </w:tc>
      </w:tr>
    </w:tbl>
    <w:p>
      <w:pPr>
        <w:spacing w:after="120" w:before="120"/>
      </w:pPr>
      <w:r>
        <w:rPr>
          <w:rFonts w:ascii="Source Sans 3" w:cs="Source Sans 3" w:eastAsia="Source Sans 3" w:hAnsi="Source Sans 3"/>
          <w:b w:val="false"/>
          <w:bCs w:val="false"/>
          <w:i w:val="false"/>
          <w:iCs w:val="false"/>
          <w:color w:val="5D6B7C"/>
          <w:sz w:val="13"/>
          <w:szCs w:val="13"/>
        </w:rPr>
        <w:t xml:space="preserve">* Значения со звёздочкой опубликованы брокерами до старта продаж и застройщиком официально не подтверждены. Страница проекта: aurix-development.ru/projects/ordynka-25</w:t>
      </w:r>
    </w:p>
    <w:p>
      <w:pPr>
        <w:keepNext w:val="false"/>
        <w:spacing w:after="0" w:before="90"/>
        <w:jc w:val="center"/>
      </w:pPr>
      <w:r>
        <w:drawing>
          <wp:inline distT="0" distB="0" distL="0" distR="0">
            <wp:extent cx="59817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60" w:before="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ОПИСАНИЕ ОБЪЕКТА</w:t>
      </w:r>
    </w:p>
    <w:p>
      <w:pPr>
        <w:keepNext/>
        <w:spacing w:after="200" w:before="0" w:line="264" w:lineRule="auto"/>
      </w:pPr>
      <w:r>
        <w:rPr>
          <w:rFonts w:ascii="Source Serif 4 Light" w:cs="Source Serif 4 Light" w:eastAsia="Source Serif 4 Light" w:hAnsi="Source Serif 4 Light"/>
          <w:b w:val="false"/>
          <w:bCs w:val="false"/>
          <w:i w:val="false"/>
          <w:iCs w:val="false"/>
          <w:color w:val="16233A"/>
          <w:sz w:val="50"/>
          <w:szCs w:val="50"/>
        </w:rPr>
        <w:t xml:space="preserve">Ансамбль городских усадеб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</w:tcPr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Согласованная концепция описывает проект не как один дом, а как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композицию городских усадеб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: несколько объёмов разной высоты и цвета, поставленных вдоль улицы и в глубину участка. Пропорции, материалы и детали фасадов, по формулировке авторов, «воссоздают образ купеческих усадеб», а крупные остеклённые плоскости дают современную подачу.</w:t>
            </w:r>
          </w:p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Работал над проектом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«ЭталонПроект»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 — внутреннее бюро группы. До этого вариант для площадки прорабатывало бюро Borisov Architects, и в том варианте здание АТС сохранялось. Согласована была другая концепция.</w:t>
            </w:r>
          </w:p>
          <w:p>
            <w:pPr>
              <w:spacing w:after="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Материальная палитра — светлый травертин, бронза, стекло. Углы скруглены, балконные ленты идут волной, верхний уровень отодвинут вглубь и полностью остеклён.</w:t>
            </w:r>
          </w:p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Отдельный ход —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12 мозаик утраченных храмов Замоскворечья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, которые предполагается вынести на фасады нового здания. Оригиналы — работа заслуженного художника М. М. Дубцова, сделанная в 1990-е для пристройки к АТС: двенадцать медальонов с церквями, снесёнными в советские годы, от Никиты Мученика в Старых Толмачах до Петра и Павла на Якиманке.</w:t>
            </w:r>
          </w:p>
          <w:p>
            <w:pPr>
              <w:spacing w:after="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Внутри заявлены закрытый двор с очагом, гранд-лобби, консьерж-сервис, подземный паркинг с лифтом прямо в квартиру, зарядки для электромобилей, винный бутик и приватная галерея на первом этаже.</w:t>
            </w:r>
          </w:p>
        </w:tc>
      </w:tr>
    </w:tbl>
    <w:p>
      <w:pPr>
        <w:pBdr>
          <w:top w:val="single" w:color="9C7C38" w:sz="4" w:space="14"/>
          <w:bottom w:val="single" w:color="9C7C38" w:sz="4" w:space="14"/>
        </w:pBdr>
        <w:spacing w:after="260" w:before="260" w:line="300" w:lineRule="auto"/>
      </w:pPr>
      <w:r>
        <w:rPr>
          <w:rFonts w:ascii="Source Serif 4" w:cs="Source Serif 4" w:eastAsia="Source Serif 4" w:hAnsi="Source Serif 4"/>
          <w:b w:val="false"/>
          <w:bCs w:val="false"/>
          <w:i/>
          <w:iCs/>
          <w:color w:val="16233A"/>
          <w:sz w:val="33"/>
          <w:szCs w:val="33"/>
        </w:rPr>
        <w:t xml:space="preserve">Локация — топчик, средняя цена будет не менее 3 млн за метр, но высокая конкуренция.</w:t>
      </w:r>
    </w:p>
    <w:p>
      <w:pPr>
        <w:keepNext/>
        <w:spacing w:after="0" w:before="40"/>
        <w:jc w:val="center"/>
      </w:pPr>
      <w:r>
        <w:drawing>
          <wp:inline distT="0" distB="0" distL="0" distR="0">
            <wp:extent cx="59817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80" w:line="220" w:lineRule="auto"/>
        <w:jc w:val="center"/>
      </w:pPr>
      <w:r>
        <w:rPr>
          <w:rFonts w:ascii="Source Sans 3" w:cs="Source Sans 3" w:eastAsia="Source Sans 3" w:hAnsi="Source Sans 3"/>
          <w:b w:val="false"/>
          <w:bCs w:val="false"/>
          <w:i w:val="false"/>
          <w:iCs w:val="false"/>
          <w:color w:val="5D6B7C"/>
          <w:sz w:val="14"/>
          <w:szCs w:val="14"/>
        </w:rPr>
        <w:t xml:space="preserve">Уличный фронт: ритм оконных проёмов отсылает к купеческой Москве, скруглённые эркеры — к конструктивистской АТС, которую проект замещает</w:t>
      </w:r>
    </w:p>
    <w:p>
      <w:pPr>
        <w:keepNext/>
        <w:pageBreakBefore/>
        <w:spacing w:after="60" w:before="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ЛОКАЦИЯ</w:t>
      </w:r>
    </w:p>
    <w:p>
      <w:pPr>
        <w:keepNext/>
        <w:spacing w:after="200" w:before="0" w:line="264" w:lineRule="auto"/>
      </w:pPr>
      <w:r>
        <w:rPr>
          <w:rFonts w:ascii="Source Serif 4 Light" w:cs="Source Serif 4 Light" w:eastAsia="Source Serif 4 Light" w:hAnsi="Source Serif 4 Light"/>
          <w:b w:val="false"/>
          <w:bCs w:val="false"/>
          <w:i w:val="false"/>
          <w:iCs w:val="false"/>
          <w:color w:val="16233A"/>
          <w:sz w:val="50"/>
          <w:szCs w:val="50"/>
        </w:rPr>
        <w:t xml:space="preserve">Первая линия у Третьяковской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</w:tcPr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Участок стоит на углу Большой Ордынки и Большого Толмачёвского переулка. Вестибюль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«Третьяковской»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 — фактически на том же перекрёстке,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«Новокузнецкая»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 — в 340 метрах. Это редкая для делюкса ситуация: метро в шаговой доступности обычно у бизнес-класса, элита чаще стоит на удалении.</w:t>
            </w:r>
          </w:p>
          <w:p>
            <w:pPr>
              <w:spacing w:after="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В радиусе 500 метров — Третьяковская галерея, Стрелецкие палаты, Дом-музей А. Н. Островского, Марфо-Мариинская обитель. Кварталы вокруг малоэтажные и в основном исторические.</w:t>
            </w:r>
          </w:p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Обратная сторона первой линии — трафик. Большая Ордынка остаётся сквозной улицей с трамвайной линией по Большой Полянке в паре кварталов и потоком к Садовому кольцу.</w:t>
            </w:r>
          </w:p>
          <w:p>
            <w:pPr>
              <w:spacing w:after="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Конкурентное окружение в адресе плотное: в Замоскворечье уже работают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Sminex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,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«Русские сезоны»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 и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«Текта»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. Ценовая планка задана соседями и начинается от 3 млн рублей за метр.</w:t>
            </w:r>
          </w:p>
        </w:tc>
      </w:tr>
    </w:tbl>
    <w:p>
      <w:pPr>
        <w:keepNext/>
        <w:spacing w:after="0" w:before="120"/>
        <w:jc w:val="center"/>
      </w:pPr>
      <w:r>
        <w:drawing>
          <wp:inline distT="0" distB="0" distL="0" distR="0">
            <wp:extent cx="59817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 w:line="220" w:lineRule="auto"/>
        <w:jc w:val="center"/>
      </w:pPr>
      <w:r>
        <w:rPr>
          <w:rFonts w:ascii="Source Sans 3" w:cs="Source Sans 3" w:eastAsia="Source Sans 3" w:hAnsi="Source Sans 3"/>
          <w:b w:val="false"/>
          <w:bCs w:val="false"/>
          <w:i w:val="false"/>
          <w:iCs w:val="false"/>
          <w:color w:val="5D6B7C"/>
          <w:sz w:val="14"/>
          <w:szCs w:val="14"/>
        </w:rPr>
        <w:t xml:space="preserve">Расположение участка и ближайшие станции метро. Картографическая основа: © Яндекс Карты</w:t>
      </w:r>
    </w:p>
    <w:p>
      <w:pPr>
        <w:keepNext/>
        <w:spacing w:after="60" w:before="6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ДОСТУПНОСТЬ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877"/>
              <w:gridCol w:w="2593"/>
            </w:tblGrid>
            <w:tr>
              <w:tc>
                <w:tcPr>
                  <w:tcW w:type="dxa" w:w="4470"/>
                  <w:gridSpan w:val="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C7C38"/>
                      <w:spacing w:val="20"/>
                      <w:sz w:val="13"/>
                      <w:szCs w:val="13"/>
                    </w:rPr>
                    <w:t xml:space="preserve">МЕТРО И ТРАНСПОРТ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Третьяковская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≈ 60 м, линии 6 и 8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Новокузнецкая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≈ 340 м, линия 2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Полянка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≈ 620 м, линия 9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Садовое кольцо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≈ 900 м</w:t>
                  </w:r>
                </w:p>
              </w:tc>
            </w:tr>
          </w:tbl>
          <w:p/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877"/>
              <w:gridCol w:w="2593"/>
            </w:tblGrid>
            <w:tr>
              <w:tc>
                <w:tcPr>
                  <w:tcW w:type="dxa" w:w="4470"/>
                  <w:gridSpan w:val="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C7C38"/>
                      <w:spacing w:val="20"/>
                      <w:sz w:val="13"/>
                      <w:szCs w:val="13"/>
                    </w:rPr>
                    <w:t xml:space="preserve">ОКРУЖЕНИЕ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Культура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Третьяковская галерея, Стрелецкие палаты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Музеи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Дом-музей А. Н. Островского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Застройка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малоэтажная историческая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Улица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сквозная, трамвай в двух кварталах</w:t>
                  </w:r>
                </w:p>
              </w:tc>
            </w:tr>
          </w:tbl>
          <w:p/>
        </w:tc>
      </w:tr>
    </w:tbl>
    <w:p>
      <w:pPr>
        <w:keepNext/>
        <w:pageBreakBefore/>
        <w:spacing w:after="60" w:before="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ИСТОРИЯ ПЛОЩАДКИ</w:t>
      </w:r>
    </w:p>
    <w:p>
      <w:pPr>
        <w:keepNext/>
        <w:spacing w:after="200" w:before="0" w:line="264" w:lineRule="auto"/>
      </w:pPr>
      <w:r>
        <w:rPr>
          <w:rFonts w:ascii="Source Serif 4 Light" w:cs="Source Serif 4 Light" w:eastAsia="Source Serif 4 Light" w:hAnsi="Source Serif 4 Light"/>
          <w:b w:val="false"/>
          <w:bCs w:val="false"/>
          <w:i w:val="false"/>
          <w:iCs w:val="false"/>
          <w:color w:val="16233A"/>
          <w:sz w:val="50"/>
          <w:szCs w:val="50"/>
        </w:rPr>
        <w:t xml:space="preserve">Первая московская АТС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</w:tcPr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Закладка состоялась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17 августа 1926 года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. «Вечерняя Москва» писала тогда: «это будет районный „Узел Связи“ — и почтовая контора, и телеграф, и телефон». Основное строительство завершили к 1927 году, к десятилетию Октября, а официально станция открылась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22 октября 1930 года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 на 8 000 номеров.</w:t>
            </w:r>
          </w:p>
          <w:p>
            <w:pPr>
              <w:spacing w:after="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Четырёхэтажное Т-образное здание из монолитного железобетона построено по типовому проекту инженера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В. В. Патека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; в работе над эскизами участвовал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В. Е. Татлин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. На фасаде — надписи «Почта», «Телефон», «Телеграф». По тому же проекту были построены АТС на Бакунинской и на Арбате.</w:t>
            </w:r>
          </w:p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Станция проработала почти семьдесят лет и была закрыта в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1998 году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. Сегодня в здании сидят офисы МГТС и МТС. По согласованной концепции АТС идёт под снос.</w:t>
            </w:r>
          </w:p>
          <w:p>
            <w:pPr>
              <w:spacing w:after="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Это делает площадку чувствительной. Московские конструктивистские АТС уже не раз становились предметом публичных конфликтов: Таганская АТС 1929 года снесена в 2016-м после двух волн протестов; от Бакунинской, 5 к 2018 году остался только фасад, встроенный в комплекс Tatlin Apartments; Зубовская 1939 года частично разобрана в том же 2018-м.</w:t>
            </w:r>
          </w:p>
        </w:tc>
      </w:tr>
    </w:tbl>
    <w:p>
      <w:pPr>
        <w:spacing w:after="200"/>
      </w:pP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877"/>
              <w:gridCol w:w="2593"/>
            </w:tblGrid>
            <w:tr>
              <w:tc>
                <w:tcPr>
                  <w:tcW w:type="dxa" w:w="4470"/>
                  <w:gridSpan w:val="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C7C38"/>
                      <w:spacing w:val="20"/>
                      <w:sz w:val="13"/>
                      <w:szCs w:val="13"/>
                    </w:rPr>
                    <w:t xml:space="preserve">БЫЛО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Объект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Первая московская АТС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Годы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1926–1930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Автор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инж. В. В. Патек, эскизы — В. Е. Татлин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Стиль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ранний конструктивизм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Ёмкость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8 000 номеров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Закрыта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1998, сейчас офисы МГТС и МТС</w:t>
                  </w:r>
                </w:p>
              </w:tc>
            </w:tr>
          </w:tbl>
          <w:p/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877"/>
              <w:gridCol w:w="2593"/>
            </w:tblGrid>
            <w:tr>
              <w:tc>
                <w:tcPr>
                  <w:tcW w:type="dxa" w:w="4470"/>
                  <w:gridSpan w:val="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C7C38"/>
                      <w:spacing w:val="20"/>
                      <w:sz w:val="13"/>
                      <w:szCs w:val="13"/>
                    </w:rPr>
                    <w:t xml:space="preserve">БУДЕТ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Объект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клубный комплекс класса De Luxe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Площадь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≈ 17,3 тыс. м²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Судьба АТС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снос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Что сохраняют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12 мозаик утраченных храмов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Альтернатива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вариант Borisov Architects с сохранением здания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Прецедент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Бакунинская, 5 — сохранён только фасад</w:t>
                  </w:r>
                </w:p>
              </w:tc>
            </w:tr>
          </w:tbl>
          <w:p/>
        </w:tc>
      </w:tr>
    </w:tbl>
    <w:p>
      <w:pPr>
        <w:keepNext/>
        <w:pageBreakBefore/>
        <w:spacing w:after="60" w:before="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ОБЪЕКТ 01 В КАДРЕ</w:t>
      </w:r>
    </w:p>
    <w:p>
      <w:pPr>
        <w:keepNext/>
        <w:spacing w:after="200" w:before="0" w:line="264" w:lineRule="auto"/>
      </w:pPr>
      <w:r>
        <w:rPr>
          <w:rFonts w:ascii="Source Serif 4 Light" w:cs="Source Serif 4 Light" w:eastAsia="Source Serif 4 Light" w:hAnsi="Source Serif 4 Light"/>
          <w:b w:val="false"/>
          <w:bCs w:val="false"/>
          <w:i w:val="false"/>
          <w:iCs w:val="false"/>
          <w:color w:val="16233A"/>
          <w:sz w:val="50"/>
          <w:szCs w:val="50"/>
        </w:rPr>
        <w:t xml:space="preserve">Большая Ордынка, 25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59817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 w:line="220" w:lineRule="auto"/>
        <w:jc w:val="center"/>
      </w:pPr>
      <w:r>
        <w:rPr>
          <w:rFonts w:ascii="Source Sans 3" w:cs="Source Sans 3" w:eastAsia="Source Sans 3" w:hAnsi="Source Sans 3"/>
          <w:b w:val="false"/>
          <w:bCs w:val="false"/>
          <w:i w:val="false"/>
          <w:iCs w:val="false"/>
          <w:color w:val="5D6B7C"/>
          <w:sz w:val="14"/>
          <w:szCs w:val="14"/>
        </w:rPr>
        <w:t xml:space="preserve">Второй вход со стороны двора: каменная колоннада, скульптура, приватное патио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870"/>
        <w:gridCol w:w="4550"/>
      </w:tblGrid>
      <w:tr>
        <w:tc>
          <w:tcPr>
            <w:tcW w:type="dxa" w:w="48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320"/>
            </w:tcMar>
            <w:vAlign w:val="top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2886075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 w:line="220" w:lineRule="auto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4"/>
                <w:szCs w:val="14"/>
              </w:rPr>
              <w:t xml:space="preserve">Главный портал: бронза, двухсветный витраж лобби</w:t>
            </w:r>
          </w:p>
        </w:tc>
        <w:tc>
          <w:tcPr>
            <w:tcW w:type="dxa" w:w="45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2886075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 w:line="220" w:lineRule="auto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4"/>
                <w:szCs w:val="14"/>
              </w:rPr>
              <w:t xml:space="preserve">Фасадный фрагмент: волнообразные каменные тяги, бронзовые откосы</w:t>
            </w:r>
          </w:p>
        </w:tc>
      </w:tr>
    </w:tbl>
    <w:p>
      <w:pPr>
        <w:spacing w:after="320"/>
      </w:pP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870"/>
        <w:gridCol w:w="4550"/>
      </w:tblGrid>
      <w:tr>
        <w:tc>
          <w:tcPr>
            <w:tcW w:type="dxa" w:w="48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320"/>
            </w:tcMar>
            <w:vAlign w:val="top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2886075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 w:line="220" w:lineRule="auto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4"/>
                <w:szCs w:val="14"/>
              </w:rPr>
              <w:t xml:space="preserve">Закрытый двор с очагом</w:t>
            </w:r>
          </w:p>
        </w:tc>
        <w:tc>
          <w:tcPr>
            <w:tcW w:type="dxa" w:w="45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2886075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 w:line="220" w:lineRule="auto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4"/>
                <w:szCs w:val="14"/>
              </w:rPr>
              <w:t xml:space="preserve">Ландшафт двора и вход в гранд-лобби</w:t>
            </w:r>
          </w:p>
        </w:tc>
      </w:tr>
    </w:tbl>
    <w:p>
      <w:pPr>
        <w:keepNext/>
        <w:pageBreakBefore/>
        <w:spacing w:after="60" w:before="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ОБЪЕКТ 02 · ХАМОВНИКИ</w:t>
      </w:r>
    </w:p>
    <w:p>
      <w:pPr>
        <w:keepNext/>
        <w:spacing w:after="200" w:before="0" w:line="264" w:lineRule="auto"/>
      </w:pPr>
      <w:r>
        <w:rPr>
          <w:rFonts w:ascii="Source Serif 4 Light" w:cs="Source Serif 4 Light" w:eastAsia="Source Serif 4 Light" w:hAnsi="Source Serif 4 Light"/>
          <w:b w:val="false"/>
          <w:bCs w:val="false"/>
          <w:i w:val="false"/>
          <w:iCs w:val="false"/>
          <w:color w:val="16233A"/>
          <w:sz w:val="50"/>
          <w:szCs w:val="50"/>
        </w:rPr>
        <w:t xml:space="preserve">Земледельческий, 15</w:t>
      </w:r>
    </w:p>
    <w:p>
      <w:pPr>
        <w:spacing w:after="240" w:line="300" w:lineRule="auto"/>
      </w:pPr>
      <w:r>
        <w:rPr>
          <w:rFonts w:ascii="Source Serif 4" w:cs="Source Serif 4" w:eastAsia="Source Serif 4" w:hAnsi="Source Serif 4"/>
          <w:b w:val="false"/>
          <w:bCs w:val="false"/>
          <w:i/>
          <w:iCs/>
          <w:color w:val="33465F"/>
          <w:sz w:val="25"/>
          <w:szCs w:val="25"/>
        </w:rPr>
        <w:t xml:space="preserve">Самый плотный из трёх участков: 0,25–0,3 га в глубине хамовнических переулков. Из площадки выжали 8 тыс. кв. м жилья и 77 квартир — больше, чем ожидал рынок.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3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ПЛОЩАДЬ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8 000 м²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жилья по ТЭП</w:t>
            </w:r>
          </w:p>
        </w:tc>
        <w:tc>
          <w:tcPr>
            <w:tcW w:type="dxa" w:w="1884"/>
            <w:tcBorders>
              <w:top w:val="none" w:color="auto" w:sz="0"/>
              <w:left w:val="single" w:color="DCD7CB" w:sz="2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1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КВАРТИР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77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средняя ≈ 100 м²</w:t>
            </w:r>
          </w:p>
        </w:tc>
        <w:tc>
          <w:tcPr>
            <w:tcW w:type="dxa" w:w="1884"/>
            <w:tcBorders>
              <w:top w:val="none" w:color="auto" w:sz="0"/>
              <w:left w:val="single" w:color="DCD7CB" w:sz="2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1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УЧАСТОК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0,25–0,3 га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по разным данным</w:t>
            </w:r>
          </w:p>
        </w:tc>
        <w:tc>
          <w:tcPr>
            <w:tcW w:type="dxa" w:w="1884"/>
            <w:tcBorders>
              <w:top w:val="none" w:color="auto" w:sz="0"/>
              <w:left w:val="single" w:color="DCD7CB" w:sz="2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1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ДО МЕТРО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≈ 1 км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«Смоленская»</w:t>
            </w:r>
          </w:p>
        </w:tc>
        <w:tc>
          <w:tcPr>
            <w:tcW w:type="dxa" w:w="1884"/>
            <w:tcBorders>
              <w:top w:val="none" w:color="auto" w:sz="0"/>
              <w:left w:val="single" w:color="DCD7CB" w:sz="2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1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СТАДИЯ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Проект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ТЭП согласованы</w:t>
            </w:r>
          </w:p>
        </w:tc>
      </w:tr>
    </w:tbl>
    <w:p>
      <w:pPr>
        <w:spacing w:after="280"/>
      </w:pP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877"/>
              <w:gridCol w:w="2593"/>
            </w:tblGrid>
            <w:tr>
              <w:tc>
                <w:tcPr>
                  <w:tcW w:type="dxa" w:w="4470"/>
                  <w:gridSpan w:val="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C7C38"/>
                      <w:spacing w:val="20"/>
                      <w:sz w:val="13"/>
                      <w:szCs w:val="13"/>
                    </w:rPr>
                    <w:t xml:space="preserve">ЗДАНИЕ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Адрес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Земледельческий пер., 15, Хамовники, ЦАО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Площадь жилья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≈ 8 000 м²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Квартир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77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Этажность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не раскрыта; на рендерах 10–11 уровней</w:t>
                  </w:r>
                </w:p>
              </w:tc>
            </w:tr>
          </w:tbl>
          <w:p/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877"/>
              <w:gridCol w:w="2593"/>
            </w:tblGrid>
            <w:tr>
              <w:tc>
                <w:tcPr>
                  <w:tcW w:type="dxa" w:w="4470"/>
                  <w:gridSpan w:val="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C7C38"/>
                      <w:spacing w:val="20"/>
                      <w:sz w:val="13"/>
                      <w:szCs w:val="13"/>
                    </w:rPr>
                    <w:t xml:space="preserve">ПРОДУКТ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Класс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делюкс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Паркинг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подземный уровень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Первые этажи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коммерция под инфраструктуру дома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Деталь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барельеф с телефонисткой у входа</w:t>
                  </w:r>
                </w:p>
              </w:tc>
            </w:tr>
          </w:tbl>
          <w:p/>
        </w:tc>
      </w:tr>
    </w:tbl>
    <w:p>
      <w:pPr>
        <w:spacing w:after="160"/>
      </w:pP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877"/>
              <w:gridCol w:w="2593"/>
            </w:tblGrid>
            <w:tr>
              <w:tc>
                <w:tcPr>
                  <w:tcW w:type="dxa" w:w="4470"/>
                  <w:gridSpan w:val="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C7C38"/>
                      <w:spacing w:val="20"/>
                      <w:sz w:val="13"/>
                      <w:szCs w:val="13"/>
                    </w:rPr>
                    <w:t xml:space="preserve">УЧАСТОК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Площадь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0,25–0,3 га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Окружение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плотная застройка переулков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Ограничение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инсоляция соседних домов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До Садового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≈ 400 м</w:t>
                  </w:r>
                </w:p>
              </w:tc>
            </w:tr>
          </w:tbl>
          <w:p/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877"/>
              <w:gridCol w:w="2593"/>
            </w:tblGrid>
            <w:tr>
              <w:tc>
                <w:tcPr>
                  <w:tcW w:type="dxa" w:w="4470"/>
                  <w:gridSpan w:val="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C7C38"/>
                      <w:spacing w:val="20"/>
                      <w:sz w:val="13"/>
                      <w:szCs w:val="13"/>
                    </w:rPr>
                    <w:t xml:space="preserve">СТАТУС И СРОКИ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Стадия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проектирование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ТЭП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согласованы, май 2026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Старт продаж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2026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Ввод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не объявлен</w:t>
                  </w:r>
                </w:p>
              </w:tc>
            </w:tr>
          </w:tbl>
          <w:p/>
        </w:tc>
      </w:tr>
    </w:tbl>
    <w:p>
      <w:pPr>
        <w:spacing w:after="120" w:before="120"/>
      </w:pPr>
      <w:r>
        <w:rPr>
          <w:rFonts w:ascii="Source Sans 3" w:cs="Source Sans 3" w:eastAsia="Source Sans 3" w:hAnsi="Source Sans 3"/>
          <w:b w:val="false"/>
          <w:bCs w:val="false"/>
          <w:i w:val="false"/>
          <w:iCs w:val="false"/>
          <w:color w:val="5D6B7C"/>
          <w:sz w:val="13"/>
          <w:szCs w:val="13"/>
        </w:rPr>
        <w:t xml:space="preserve">* Значения со звёздочкой опубликованы агрегаторами и застройщиком официально не подтверждены. Страница проекта: aurix-development.ru/projects/zemledelcheskiy-15</w:t>
      </w:r>
    </w:p>
    <w:p>
      <w:pPr>
        <w:keepNext w:val="false"/>
        <w:spacing w:after="0" w:before="90"/>
        <w:jc w:val="center"/>
      </w:pPr>
      <w:r>
        <w:drawing>
          <wp:inline distT="0" distB="0" distL="0" distR="0">
            <wp:extent cx="59817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60" w:before="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ОПИСАНИЕ И ИСТОРИЯ ПЛОЩАДКИ</w:t>
      </w:r>
    </w:p>
    <w:p>
      <w:pPr>
        <w:keepNext/>
        <w:spacing w:after="200" w:before="0" w:line="264" w:lineRule="auto"/>
      </w:pPr>
      <w:r>
        <w:rPr>
          <w:rFonts w:ascii="Source Serif 4 Light" w:cs="Source Serif 4 Light" w:eastAsia="Source Serif 4 Light" w:hAnsi="Source Serif 4 Light"/>
          <w:b w:val="false"/>
          <w:bCs w:val="false"/>
          <w:i w:val="false"/>
          <w:iCs w:val="false"/>
          <w:color w:val="16233A"/>
          <w:sz w:val="50"/>
          <w:szCs w:val="50"/>
        </w:rPr>
        <w:t xml:space="preserve">Узкий объём в глубине переулков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</w:tcPr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На участке сейчас стоит здание бывшей АТС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1975 года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 постройки: пять этажей, 5 743 кв. м, административное назначение, в последние годы — офисный центр класса B с наземной парковкой. Постройка послевоенная и ничем не примечательная, охранного сюжета здесь, в отличие от Ордынки, нет. Раньше для площадки рассматривался сценарий реконструкции под бизнес-центр.</w:t>
            </w:r>
          </w:p>
          <w:p>
            <w:pPr>
              <w:spacing w:after="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Согласованные ТЭП —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8 тыс. кв. м жилья и 77 квартир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 — оказались заметно больше ожиданий рынка. Отсюда и форма объёма на рендерах: узкий вытянутый вверх корпус вместо привычного для переулков периметра.</w:t>
            </w:r>
          </w:p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Главное ограничение площадки —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инсоляция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. Участок со всех сторон окружён плотной застройкой переулков, и часть объёма могла просто не пройти по нормам. Каким получится итоговый разрешённый габарит, пока открытый вопрос.</w:t>
            </w:r>
          </w:p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Архитектура продолжает линию Ордынки: светлый камень, бронзовые подшивки балконов, скруглённые углы. Отдельная деталь — барельеф у входа с фигурой телефонистки: прямая отсылка к прошлому участка.</w:t>
            </w:r>
          </w:p>
          <w:p>
            <w:pPr>
              <w:spacing w:after="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Средняя площадь квартиры при таких ТЭП — около 100 кв. м. Это мельче, чем на Малой Полянке, и ближе к верхнему премиуму, чем к классическому делюксу.</w:t>
            </w:r>
          </w:p>
        </w:tc>
      </w:tr>
    </w:tbl>
    <w:p>
      <w:pPr>
        <w:pBdr>
          <w:top w:val="single" w:color="9C7C38" w:sz="4" w:space="14"/>
          <w:bottom w:val="single" w:color="9C7C38" w:sz="4" w:space="14"/>
        </w:pBdr>
        <w:spacing w:after="260" w:before="260" w:line="300" w:lineRule="auto"/>
      </w:pPr>
      <w:r>
        <w:rPr>
          <w:rFonts w:ascii="Source Serif 4" w:cs="Source Serif 4" w:eastAsia="Source Serif 4" w:hAnsi="Source Serif 4"/>
          <w:b w:val="false"/>
          <w:bCs w:val="false"/>
          <w:i/>
          <w:iCs/>
          <w:color w:val="16233A"/>
          <w:sz w:val="33"/>
          <w:szCs w:val="33"/>
        </w:rPr>
        <w:t xml:space="preserve">Очередной проект с ценой 3 млн за метр на спрос, которого нет. Нужно искать этот спрос, который может забашлять такие бабки.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870"/>
        <w:gridCol w:w="4550"/>
      </w:tblGrid>
      <w:tr>
        <w:tc>
          <w:tcPr>
            <w:tcW w:type="dxa" w:w="48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320"/>
            </w:tcMar>
            <w:vAlign w:val="top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2886075" cy="2514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 w:line="220" w:lineRule="auto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4"/>
                <w:szCs w:val="14"/>
              </w:rPr>
              <w:t xml:space="preserve">Объём в переулке: узкий вытянутый корпус со скруглёнными балконными лентами</w:t>
            </w:r>
          </w:p>
        </w:tc>
        <w:tc>
          <w:tcPr>
            <w:tcW w:type="dxa" w:w="45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2886075" cy="2505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 w:line="220" w:lineRule="auto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4"/>
                <w:szCs w:val="14"/>
              </w:rPr>
              <w:t xml:space="preserve">Входная группа и приватный палисадник</w:t>
            </w:r>
          </w:p>
        </w:tc>
      </w:tr>
    </w:tbl>
    <w:p>
      <w:pPr>
        <w:keepNext/>
        <w:pageBreakBefore/>
        <w:spacing w:after="60" w:before="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ЛОКАЦИЯ</w:t>
      </w:r>
    </w:p>
    <w:p>
      <w:pPr>
        <w:keepNext/>
        <w:spacing w:after="200" w:before="0" w:line="264" w:lineRule="auto"/>
      </w:pPr>
      <w:r>
        <w:rPr>
          <w:rFonts w:ascii="Source Serif 4 Light" w:cs="Source Serif 4 Light" w:eastAsia="Source Serif 4 Light" w:hAnsi="Source Serif 4 Light"/>
          <w:b w:val="false"/>
          <w:bCs w:val="false"/>
          <w:i w:val="false"/>
          <w:iCs w:val="false"/>
          <w:color w:val="16233A"/>
          <w:sz w:val="50"/>
          <w:szCs w:val="50"/>
        </w:rPr>
        <w:t xml:space="preserve">Внутри квартала, в 400 метрах от Садового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</w:tcPr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Участок лежит внутри квартала между улицей Плющихой и Смоленским бульваром, примерно в 400 метрах от Садового кольца. Ближайшие вестибюли — обе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«Смоленские»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, Арбатско-Покровской и Филёвской линий, в 700–800 метрах по прямой; «Киевская» — примерно в 800 метрах. Пешком по улицам брокеры дают около десяти минут.</w:t>
            </w:r>
          </w:p>
          <w:p>
            <w:pPr>
              <w:spacing w:after="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Это классические Хамовники: посольский квартал, МИД в двух шагах, Дом-музей Герцена, галерея Церетели, набережные Москвы-реки в пяти минутах.</w:t>
            </w:r>
          </w:p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Ценовая планка района задана соседями и держится около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3 млн рублей за метр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. Для проекта без метро под окнами и без видовых характеристик это высокая заявка: покупателю продают адрес и переулок, а не витрину.</w:t>
            </w:r>
          </w:p>
          <w:p>
            <w:pPr>
              <w:spacing w:after="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Плюс локации — тишина. Переулки непроездные, трафик идёт по Плющихе и бульвару, а сам Земледельческий остаётся внутренним.</w:t>
            </w:r>
          </w:p>
        </w:tc>
      </w:tr>
    </w:tbl>
    <w:p>
      <w:pPr>
        <w:keepNext/>
        <w:spacing w:after="0" w:before="120"/>
        <w:jc w:val="center"/>
      </w:pPr>
      <w:r>
        <w:drawing>
          <wp:inline distT="0" distB="0" distL="0" distR="0">
            <wp:extent cx="59817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 w:line="220" w:lineRule="auto"/>
        <w:jc w:val="center"/>
      </w:pPr>
      <w:r>
        <w:rPr>
          <w:rFonts w:ascii="Source Sans 3" w:cs="Source Sans 3" w:eastAsia="Source Sans 3" w:hAnsi="Source Sans 3"/>
          <w:b w:val="false"/>
          <w:bCs w:val="false"/>
          <w:i w:val="false"/>
          <w:iCs w:val="false"/>
          <w:color w:val="5D6B7C"/>
          <w:sz w:val="14"/>
          <w:szCs w:val="14"/>
        </w:rPr>
        <w:t xml:space="preserve">Расположение участка и ближайшие станции метро. Картографическая основа: © Яндекс Карты</w:t>
      </w:r>
    </w:p>
    <w:p>
      <w:pPr>
        <w:keepNext/>
        <w:spacing w:after="0" w:before="100"/>
        <w:jc w:val="center"/>
      </w:pPr>
      <w:r>
        <w:drawing>
          <wp:inline distT="0" distB="0" distL="0" distR="0">
            <wp:extent cx="59817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80" w:line="220" w:lineRule="auto"/>
        <w:jc w:val="center"/>
      </w:pPr>
      <w:r>
        <w:rPr>
          <w:rFonts w:ascii="Source Sans 3" w:cs="Source Sans 3" w:eastAsia="Source Sans 3" w:hAnsi="Source Sans 3"/>
          <w:b w:val="false"/>
          <w:bCs w:val="false"/>
          <w:i w:val="false"/>
          <w:iCs w:val="false"/>
          <w:color w:val="5D6B7C"/>
          <w:sz w:val="14"/>
          <w:szCs w:val="14"/>
        </w:rPr>
        <w:t xml:space="preserve">Пятно застройки в квартале между Ружейным и Земледельческим переулками — схема из публикации о согласовании ТЭП</w:t>
      </w:r>
    </w:p>
    <w:p>
      <w:pPr>
        <w:keepNext/>
        <w:pageBreakBefore/>
        <w:spacing w:after="60" w:before="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ОБЪЕКТ 03 · ЯКИМАНКА</w:t>
      </w:r>
    </w:p>
    <w:p>
      <w:pPr>
        <w:keepNext/>
        <w:spacing w:after="200" w:before="0" w:line="264" w:lineRule="auto"/>
      </w:pPr>
      <w:r>
        <w:rPr>
          <w:rFonts w:ascii="Source Serif 4 Light" w:cs="Source Serif 4 Light" w:eastAsia="Source Serif 4 Light" w:hAnsi="Source Serif 4 Light"/>
          <w:b w:val="false"/>
          <w:bCs w:val="false"/>
          <w:i w:val="false"/>
          <w:iCs w:val="false"/>
          <w:color w:val="16233A"/>
          <w:sz w:val="50"/>
          <w:szCs w:val="50"/>
        </w:rPr>
        <w:t xml:space="preserve">Малая Полянка, 3</w:t>
      </w:r>
    </w:p>
    <w:p>
      <w:pPr>
        <w:spacing w:after="240" w:line="300" w:lineRule="auto"/>
      </w:pPr>
      <w:r>
        <w:rPr>
          <w:rFonts w:ascii="Source Serif 4" w:cs="Source Serif 4" w:eastAsia="Source Serif 4" w:hAnsi="Source Serif 4"/>
          <w:b w:val="false"/>
          <w:bCs w:val="false"/>
          <w:i/>
          <w:iCs/>
          <w:color w:val="33465F"/>
          <w:sz w:val="25"/>
          <w:szCs w:val="25"/>
        </w:rPr>
        <w:t xml:space="preserve">Самый маленький объём и самый смелый фасад: 4,9 тыс. кв. м, 34 резиденции и неорусский декор — зелёные изразцы-чешуя в цоколе и лепные веера на белых стенах.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3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ПЛОЩАДЬ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4 900 м²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жилья по ТЭП</w:t>
            </w:r>
          </w:p>
        </w:tc>
        <w:tc>
          <w:tcPr>
            <w:tcW w:type="dxa" w:w="1884"/>
            <w:tcBorders>
              <w:top w:val="none" w:color="auto" w:sz="0"/>
              <w:left w:val="single" w:color="DCD7CB" w:sz="2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1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РЕЗИДЕНЦИЙ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34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средняя ≈ 144 м²</w:t>
            </w:r>
          </w:p>
        </w:tc>
        <w:tc>
          <w:tcPr>
            <w:tcW w:type="dxa" w:w="1884"/>
            <w:tcBorders>
              <w:top w:val="none" w:color="auto" w:sz="0"/>
              <w:left w:val="single" w:color="DCD7CB" w:sz="2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1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ЭТАЖНОСТЬ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9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этажей</w:t>
            </w:r>
          </w:p>
        </w:tc>
        <w:tc>
          <w:tcPr>
            <w:tcW w:type="dxa" w:w="1884"/>
            <w:tcBorders>
              <w:top w:val="none" w:color="auto" w:sz="0"/>
              <w:left w:val="single" w:color="DCD7CB" w:sz="2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1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ПАРКИНГ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36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машино-мест</w:t>
            </w:r>
          </w:p>
        </w:tc>
        <w:tc>
          <w:tcPr>
            <w:tcW w:type="dxa" w:w="1884"/>
            <w:tcBorders>
              <w:top w:val="none" w:color="auto" w:sz="0"/>
              <w:left w:val="single" w:color="DCD7CB" w:sz="2"/>
              <w:bottom w:val="none" w:color="auto" w:sz="0"/>
              <w:right w:val="none" w:color="auto" w:sz="0"/>
            </w:tcBorders>
            <w:shd w:fill="EBE7DF" w:color="auto" w:val="clear"/>
            <w:tcMar>
              <w:top w:type="dxa" w:w="120"/>
              <w:left w:type="dxa" w:w="110"/>
              <w:bottom w:type="dxa" w:w="120"/>
              <w:right w:type="dxa" w:w="90"/>
            </w:tcMar>
          </w:tcPr>
          <w:p>
            <w:pPr>
              <w:spacing w:after="5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0"/>
                <w:sz w:val="13"/>
                <w:szCs w:val="13"/>
              </w:rPr>
              <w:t xml:space="preserve">ДО МЕТРО</w:t>
            </w:r>
          </w:p>
          <w:p>
            <w:pPr>
              <w:spacing w:after="40"/>
            </w:pPr>
            <w:r>
              <w:rPr>
                <w:rFonts w:ascii="Source Serif 4 Light" w:cs="Source Serif 4 Light" w:eastAsia="Source Serif 4 Light" w:hAnsi="Source Serif 4 Light"/>
                <w:b w:val="false"/>
                <w:bCs w:val="false"/>
                <w:i w:val="false"/>
                <w:iCs w:val="false"/>
                <w:color w:val="9C7C38"/>
                <w:sz w:val="26"/>
                <w:szCs w:val="26"/>
              </w:rPr>
              <w:t xml:space="preserve">120 м</w:t>
            </w:r>
          </w:p>
          <w:p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3"/>
                <w:szCs w:val="13"/>
              </w:rPr>
              <w:t xml:space="preserve">«Полянка»</w:t>
            </w:r>
          </w:p>
        </w:tc>
      </w:tr>
    </w:tbl>
    <w:p>
      <w:pPr>
        <w:spacing w:after="280"/>
      </w:pP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877"/>
              <w:gridCol w:w="2593"/>
            </w:tblGrid>
            <w:tr>
              <w:tc>
                <w:tcPr>
                  <w:tcW w:type="dxa" w:w="4470"/>
                  <w:gridSpan w:val="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C7C38"/>
                      <w:spacing w:val="20"/>
                      <w:sz w:val="13"/>
                      <w:szCs w:val="13"/>
                    </w:rPr>
                    <w:t xml:space="preserve">ЗДАНИЕ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Адрес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ул. Малая Полянка, 3, Якиманка, ЦАО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Рабочее название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«Полянка-3»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Площадь жилья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≈ 4 900 м²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Резиденций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34, средняя ≈ 144 м²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Этажность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9 этажей</w:t>
                  </w:r>
                </w:p>
              </w:tc>
            </w:tr>
          </w:tbl>
          <w:p/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877"/>
              <w:gridCol w:w="2593"/>
            </w:tblGrid>
            <w:tr>
              <w:tc>
                <w:tcPr>
                  <w:tcW w:type="dxa" w:w="4470"/>
                  <w:gridSpan w:val="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C7C38"/>
                      <w:spacing w:val="20"/>
                      <w:sz w:val="13"/>
                      <w:szCs w:val="13"/>
                    </w:rPr>
                    <w:t xml:space="preserve">АРХИТЕКТУРА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Бюро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«Эталон Проект»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Стиль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современный неорусский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Фасады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белый стеклофибробетон, скруглённые углы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Декор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зелёные изразцы-чешуя, лепные веера</w:t>
                  </w:r>
                </w:p>
              </w:tc>
            </w:tr>
          </w:tbl>
          <w:p/>
        </w:tc>
      </w:tr>
    </w:tbl>
    <w:p>
      <w:pPr>
        <w:spacing w:after="160"/>
      </w:pP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877"/>
              <w:gridCol w:w="2593"/>
            </w:tblGrid>
            <w:tr>
              <w:tc>
                <w:tcPr>
                  <w:tcW w:type="dxa" w:w="4470"/>
                  <w:gridSpan w:val="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C7C38"/>
                      <w:spacing w:val="20"/>
                      <w:sz w:val="13"/>
                      <w:szCs w:val="13"/>
                    </w:rPr>
                    <w:t xml:space="preserve">ПРОДУКТ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Класс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De Luxe / премиум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Паркинг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подземный, 36 машино-мест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Отделка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камень, ценные породы дерева, на выбор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Ландшафт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по мотивам живописи Врубеля</w:t>
                  </w:r>
                </w:p>
              </w:tc>
            </w:tr>
          </w:tbl>
          <w:p/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877"/>
              <w:gridCol w:w="2593"/>
            </w:tblGrid>
            <w:tr>
              <w:tc>
                <w:tcPr>
                  <w:tcW w:type="dxa" w:w="4470"/>
                  <w:gridSpan w:val="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C7C38"/>
                      <w:spacing w:val="20"/>
                      <w:sz w:val="13"/>
                      <w:szCs w:val="13"/>
                    </w:rPr>
                    <w:t xml:space="preserve">СТАТУС И СРОКИ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Стадия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концепция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Публично с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ноября 2025 года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Старт продаж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2026, ввод не объявлен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Бюджет лота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≈ 0,4–0,5 млрд ₽*</w:t>
                  </w:r>
                </w:p>
              </w:tc>
            </w:tr>
          </w:tbl>
          <w:p/>
        </w:tc>
      </w:tr>
    </w:tbl>
    <w:p>
      <w:pPr>
        <w:spacing w:after="120" w:before="120"/>
      </w:pPr>
      <w:r>
        <w:rPr>
          <w:rFonts w:ascii="Source Sans 3" w:cs="Source Sans 3" w:eastAsia="Source Sans 3" w:hAnsi="Source Sans 3"/>
          <w:b w:val="false"/>
          <w:bCs w:val="false"/>
          <w:i w:val="false"/>
          <w:iCs w:val="false"/>
          <w:color w:val="5D6B7C"/>
          <w:sz w:val="13"/>
          <w:szCs w:val="13"/>
        </w:rPr>
        <w:t xml:space="preserve">* Расчётная оценка рынка при ориентире 3 млн ₽ за метр, а не заявление застройщика. Страница проекта: aurix-development.ru/projects/malaya-polyanka-3</w:t>
      </w:r>
    </w:p>
    <w:p>
      <w:pPr>
        <w:keepNext w:val="false"/>
        <w:spacing w:after="0" w:before="90"/>
        <w:jc w:val="center"/>
      </w:pPr>
      <w:r>
        <w:drawing>
          <wp:inline distT="0" distB="0" distL="0" distR="0">
            <wp:extent cx="59817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60" w:before="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ОПИСАНИЕ И ИСТОРИЯ ПЛОЩАДКИ</w:t>
      </w:r>
    </w:p>
    <w:p>
      <w:pPr>
        <w:keepNext/>
        <w:spacing w:after="200" w:before="0" w:line="264" w:lineRule="auto"/>
      </w:pPr>
      <w:r>
        <w:rPr>
          <w:rFonts w:ascii="Source Serif 4 Light" w:cs="Source Serif 4 Light" w:eastAsia="Source Serif 4 Light" w:hAnsi="Source Serif 4 Light"/>
          <w:b w:val="false"/>
          <w:bCs w:val="false"/>
          <w:i w:val="false"/>
          <w:iCs w:val="false"/>
          <w:color w:val="16233A"/>
          <w:sz w:val="50"/>
          <w:szCs w:val="50"/>
        </w:rPr>
        <w:t xml:space="preserve">Белая элитка с зелёными узорами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</w:tcPr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На участке стоит здание бывшей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АТС-230/238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: шестиэтажная железобетонная постройка серии XI-36-01, 1978 год, административного назначения. До последнего времени в нём сидели офисы, включая МГТС. В августе 2021 года ГЗК рассматривала изменение правил землепользования по этому адресу под размещение МФЦ — тот сценарий не реализовался.</w:t>
            </w:r>
          </w:p>
          <w:p>
            <w:pPr>
              <w:spacing w:after="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ТЭП по площадке —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всего 4,9 тыс. кв. м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. Это самый маленький объём из трёх, и экономика такого проекта держится исключительно на цене метра. При 34 резиденциях средняя площадь выходит около 144 кв. м, то есть формат здесь заметно крупнее, чем в Хамовниках.</w:t>
            </w:r>
          </w:p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Архитектура — самая заметная из всей тройки. Белые фасады из стеклофибробетона со скруглёнными углами, крупные эркеры, окна в пол и арки без импостов, аркада по первому этажу. Поверх этого —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неорусский декор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: глазурованная зелёная чешуя в цоколе, белые лепные веера в простенках и расписные полукружия с цветочным орнаментом над входами.</w:t>
            </w:r>
          </w:p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Ландшафтная концепция заявлена по мотивам живописи Врубеля и работает на контрасте с белизной здания.</w:t>
            </w:r>
          </w:p>
          <w:p>
            <w:pPr>
              <w:spacing w:after="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Слабое место продукта — паркинг: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36 мест на 34 квартиры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 средней площадью 144 кв. м. В делюксе такие лоты обычно берут по два места и больше.</w:t>
            </w:r>
          </w:p>
        </w:tc>
      </w:tr>
    </w:tbl>
    <w:p>
      <w:pPr>
        <w:pBdr>
          <w:top w:val="single" w:color="9C7C38" w:sz="4" w:space="14"/>
          <w:bottom w:val="single" w:color="9C7C38" w:sz="4" w:space="14"/>
        </w:pBdr>
        <w:spacing w:after="260" w:before="260" w:line="300" w:lineRule="auto"/>
      </w:pPr>
      <w:r>
        <w:rPr>
          <w:rFonts w:ascii="Source Serif 4" w:cs="Source Serif 4" w:eastAsia="Source Serif 4" w:hAnsi="Source Serif 4"/>
          <w:b w:val="false"/>
          <w:bCs w:val="false"/>
          <w:i/>
          <w:iCs/>
          <w:color w:val="16233A"/>
          <w:sz w:val="33"/>
          <w:szCs w:val="33"/>
        </w:rPr>
        <w:t xml:space="preserve">Белая элитка с зелёными узорами. Тренд на русскость идёт по рынку, качает умы и сознания людей.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870"/>
        <w:gridCol w:w="4550"/>
      </w:tblGrid>
      <w:tr>
        <w:tc>
          <w:tcPr>
            <w:tcW w:type="dxa" w:w="48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320"/>
            </w:tcMar>
            <w:vAlign w:val="top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2886075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 w:line="220" w:lineRule="auto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4"/>
                <w:szCs w:val="14"/>
              </w:rPr>
              <w:t xml:space="preserve">Скруглённые эркеры, аркада первого этажа, зелёный цоколь</w:t>
            </w:r>
          </w:p>
        </w:tc>
        <w:tc>
          <w:tcPr>
            <w:tcW w:type="dxa" w:w="45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2886075" cy="2305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 w:line="220" w:lineRule="auto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4"/>
                <w:szCs w:val="14"/>
              </w:rPr>
              <w:t xml:space="preserve">Уличный фронт: витрины лобби и озеленение вдоль тротуара</w:t>
            </w:r>
          </w:p>
        </w:tc>
      </w:tr>
    </w:tbl>
    <w:p>
      <w:pPr>
        <w:keepNext/>
        <w:pageBreakBefore/>
        <w:spacing w:after="60" w:before="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ЛОКАЦИЯ</w:t>
      </w:r>
    </w:p>
    <w:p>
      <w:pPr>
        <w:keepNext/>
        <w:spacing w:after="200" w:before="0" w:line="264" w:lineRule="auto"/>
      </w:pPr>
      <w:r>
        <w:rPr>
          <w:rFonts w:ascii="Source Serif 4 Light" w:cs="Source Serif 4 Light" w:eastAsia="Source Serif 4 Light" w:hAnsi="Source Serif 4 Light"/>
          <w:b w:val="false"/>
          <w:bCs w:val="false"/>
          <w:i w:val="false"/>
          <w:iCs w:val="false"/>
          <w:color w:val="16233A"/>
          <w:sz w:val="50"/>
          <w:szCs w:val="50"/>
        </w:rPr>
        <w:t xml:space="preserve">Метро через двор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</w:tcPr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Вестибюль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«Полянки»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 стоит примерно в 120 метрах от участка — буквально через двор. «Третьяковская» — в 630 метрах, «Новокузнецкая» — чуть больше километра.</w:t>
            </w:r>
          </w:p>
          <w:p>
            <w:pPr>
              <w:spacing w:after="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Любопытная деталь: маркетинговые материалы проекта апеллируют к «Третьяковской» и «Новокузнецкой» и обещают до них 5–7 минут пешком, хотя ближайшая станция — «Полянка». Видимо, дело в узнаваемости адреса: Третьяковская звучит дороже.</w:t>
            </w:r>
          </w:p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Вокруг — тихая Якиманка: Хвостовы переулки, малоэтажная застройка, Голутвинская слобода, набережная Москвы-реки и «Красный Октябрь» в пятнадцати минутах пешком.</w:t>
            </w:r>
          </w:p>
          <w:p>
            <w:pPr>
              <w:spacing w:after="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Из минусов — соседство с медицинским кластером: рядом НИИ неотложной детской хирургии и поликлиника, что даёт постоянный дневной трафик и служебный транспорт в переулках.</w:t>
            </w:r>
          </w:p>
        </w:tc>
      </w:tr>
    </w:tbl>
    <w:p>
      <w:pPr>
        <w:keepNext/>
        <w:spacing w:after="0" w:before="120"/>
        <w:jc w:val="center"/>
      </w:pPr>
      <w:r>
        <w:drawing>
          <wp:inline distT="0" distB="0" distL="0" distR="0">
            <wp:extent cx="59817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 w:line="220" w:lineRule="auto"/>
        <w:jc w:val="center"/>
      </w:pPr>
      <w:r>
        <w:rPr>
          <w:rFonts w:ascii="Source Sans 3" w:cs="Source Sans 3" w:eastAsia="Source Sans 3" w:hAnsi="Source Sans 3"/>
          <w:b w:val="false"/>
          <w:bCs w:val="false"/>
          <w:i w:val="false"/>
          <w:iCs w:val="false"/>
          <w:color w:val="5D6B7C"/>
          <w:sz w:val="14"/>
          <w:szCs w:val="14"/>
        </w:rPr>
        <w:t xml:space="preserve">Расположение участка и ближайшая станция метро. Картографическая основа: © Яндекс Карты</w:t>
      </w:r>
    </w:p>
    <w:p>
      <w:pPr>
        <w:keepNext/>
        <w:spacing w:after="60" w:before="6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ДОСТУПНОСТЬ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877"/>
              <w:gridCol w:w="2593"/>
            </w:tblGrid>
            <w:tr>
              <w:tc>
                <w:tcPr>
                  <w:tcW w:type="dxa" w:w="4470"/>
                  <w:gridSpan w:val="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C7C38"/>
                      <w:spacing w:val="20"/>
                      <w:sz w:val="13"/>
                      <w:szCs w:val="13"/>
                    </w:rPr>
                    <w:t xml:space="preserve">МЕТРО И ТРАНСПОРТ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Полянка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≈ 120 м, линия 9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Третьяковская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≈ 630 м, линии 6 и 8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Новокузнецкая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≈ 1,0 км, линия 2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Садовое кольцо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≈ 700 м</w:t>
                  </w:r>
                </w:p>
              </w:tc>
            </w:tr>
          </w:tbl>
          <w:p/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877"/>
              <w:gridCol w:w="2593"/>
            </w:tblGrid>
            <w:tr>
              <w:tc>
                <w:tcPr>
                  <w:tcW w:type="dxa" w:w="4470"/>
                  <w:gridSpan w:val="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C7C38"/>
                      <w:spacing w:val="20"/>
                      <w:sz w:val="13"/>
                      <w:szCs w:val="13"/>
                    </w:rPr>
                    <w:t xml:space="preserve">ОКРУЖЕНИЕ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Район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тихая Якиманка, Хвостовы переулки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Рядом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Голутвинская слобода, набережная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15 минут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«Красный Октябрь», Третьяковская галерея</w:t>
                  </w:r>
                </w:p>
              </w:tc>
            </w:tr>
            <w:tr>
              <w:tc>
                <w:tcPr>
                  <w:tcW w:type="dxa" w:w="1877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Минус</w:t>
                  </w:r>
                </w:p>
              </w:tc>
              <w:tc>
                <w:tcPr>
                  <w:tcW w:type="dxa" w:w="2593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9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медкластер: НИИ хирургии, поликлиника</w:t>
                  </w:r>
                </w:p>
              </w:tc>
            </w:tr>
          </w:tbl>
          <w:p/>
        </w:tc>
      </w:tr>
    </w:tbl>
    <w:p>
      <w:pPr>
        <w:keepNext/>
        <w:pageBreakBefore/>
        <w:spacing w:after="60" w:before="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ОБЪЕКТ 03 В КАДРЕ</w:t>
      </w:r>
    </w:p>
    <w:p>
      <w:pPr>
        <w:keepNext/>
        <w:spacing w:after="200" w:before="0" w:line="264" w:lineRule="auto"/>
      </w:pPr>
      <w:r>
        <w:rPr>
          <w:rFonts w:ascii="Source Serif 4 Light" w:cs="Source Serif 4 Light" w:eastAsia="Source Serif 4 Light" w:hAnsi="Source Serif 4 Light"/>
          <w:b w:val="false"/>
          <w:bCs w:val="false"/>
          <w:i w:val="false"/>
          <w:iCs w:val="false"/>
          <w:color w:val="16233A"/>
          <w:sz w:val="50"/>
          <w:szCs w:val="50"/>
        </w:rPr>
        <w:t xml:space="preserve">Малая Полянка, 3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59817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 w:line="220" w:lineRule="auto"/>
        <w:jc w:val="center"/>
      </w:pPr>
      <w:r>
        <w:rPr>
          <w:rFonts w:ascii="Source Sans 3" w:cs="Source Sans 3" w:eastAsia="Source Sans 3" w:hAnsi="Source Sans 3"/>
          <w:b w:val="false"/>
          <w:bCs w:val="false"/>
          <w:i w:val="false"/>
          <w:iCs w:val="false"/>
          <w:color w:val="5D6B7C"/>
          <w:sz w:val="14"/>
          <w:szCs w:val="14"/>
        </w:rPr>
        <w:t xml:space="preserve">Аркада первого этажа и рабочее название проекта — «Полянка 3»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870"/>
        <w:gridCol w:w="4550"/>
      </w:tblGrid>
      <w:tr>
        <w:tc>
          <w:tcPr>
            <w:tcW w:type="dxa" w:w="48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320"/>
            </w:tcMar>
            <w:vAlign w:val="top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2886075" cy="2133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 w:line="220" w:lineRule="auto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4"/>
                <w:szCs w:val="14"/>
              </w:rPr>
              <w:t xml:space="preserve">Перспектива переулка: белый объём замыкает вид вдоль Малой Полянки</w:t>
            </w:r>
          </w:p>
        </w:tc>
        <w:tc>
          <w:tcPr>
            <w:tcW w:type="dxa" w:w="45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2886075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 w:line="220" w:lineRule="auto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4"/>
                <w:szCs w:val="14"/>
              </w:rPr>
              <w:t xml:space="preserve">Входная группа: арка с росписью и зелёный цоколь</w:t>
            </w:r>
          </w:p>
        </w:tc>
      </w:tr>
    </w:tbl>
    <w:p>
      <w:pPr>
        <w:spacing w:after="280"/>
      </w:pP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220"/>
        <w:gridCol w:w="3220"/>
        <w:gridCol w:w="2980"/>
      </w:tblGrid>
      <w:tr>
        <w:tc>
          <w:tcPr>
            <w:tcW w:type="dxa" w:w="32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240"/>
            </w:tcMar>
            <w:vAlign w:val="top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1895475" cy="1457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 w:line="220" w:lineRule="auto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4"/>
                <w:szCs w:val="14"/>
              </w:rPr>
              <w:t xml:space="preserve">Деталь цоколя: глазурованная зелёная чешуя</w:t>
            </w:r>
          </w:p>
        </w:tc>
        <w:tc>
          <w:tcPr>
            <w:tcW w:type="dxa" w:w="32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240"/>
            </w:tcMar>
            <w:vAlign w:val="top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1895475" cy="1457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 w:line="220" w:lineRule="auto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4"/>
                <w:szCs w:val="14"/>
              </w:rPr>
              <w:t xml:space="preserve">Дворовый фасад и вход в лобби</w:t>
            </w:r>
          </w:p>
        </w:tc>
        <w:tc>
          <w:tcPr>
            <w:tcW w:type="dxa" w:w="29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0" w:before="0"/>
              <w:jc w:val="center"/>
            </w:pPr>
            <w:r>
              <w:drawing>
                <wp:inline distT="0" distB="0" distL="0" distR="0">
                  <wp:extent cx="1895475" cy="1457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80" w:line="220" w:lineRule="auto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5D6B7C"/>
                <w:sz w:val="14"/>
                <w:szCs w:val="14"/>
              </w:rPr>
              <w:t xml:space="preserve">Расписные веерные панно в простенках</w:t>
            </w:r>
          </w:p>
        </w:tc>
      </w:tr>
    </w:tbl>
    <w:p>
      <w:pPr>
        <w:keepNext/>
        <w:pageBreakBefore/>
        <w:spacing w:after="60" w:before="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ИТОГ</w:t>
      </w:r>
    </w:p>
    <w:p>
      <w:pPr>
        <w:keepNext/>
        <w:spacing w:after="200" w:before="0" w:line="264" w:lineRule="auto"/>
      </w:pPr>
      <w:r>
        <w:rPr>
          <w:rFonts w:ascii="Source Serif 4 Light" w:cs="Source Serif 4 Light" w:eastAsia="Source Serif 4 Light" w:hAnsi="Source Serif 4 Light"/>
          <w:b w:val="false"/>
          <w:bCs w:val="false"/>
          <w:i w:val="false"/>
          <w:iCs w:val="false"/>
          <w:color w:val="16233A"/>
          <w:sz w:val="50"/>
          <w:szCs w:val="50"/>
        </w:rPr>
        <w:t xml:space="preserve">Чем эти площадки хороши и чем рискованы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</w:tcPr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Три адреса — это не три отдельные истории, а одна. «Эталон» разбирает доставшийся ему пакет АТС и переводит группу из массового и комфорт-класса в делюкс. Вместе с «Резиденцией Омега» и двумя петербургскими проектами это уже шесть объектов премиум-класса в двух городах — скорее платформа, чем разовый выход в сегмент.</w:t>
            </w:r>
          </w:p>
          <w:p>
            <w:pPr>
              <w:spacing w:after="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Сильная сторона —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адреса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. Все три в ЦАО, все три в шаговой доступности от метро, две из трёх площадок — в первой линии узнаваемых улиц. Такие участки на рынок почти не выходят, и купить их иначе, чем оптом вместе с телефонной сетью, было нельзя.</w:t>
            </w:r>
          </w:p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4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Общий риск тоже один и он на поверхности: </w:t>
            </w:r>
            <w:r>
              <w:rPr>
                <w:rFonts w:ascii="Source Serif 4" w:cs="Source Serif 4" w:eastAsia="Source Serif 4" w:hAnsi="Source Serif 4"/>
                <w:b/>
                <w:bCs/>
                <w:i w:val="false"/>
                <w:iCs w:val="false"/>
                <w:color w:val="16233A"/>
                <w:sz w:val="19"/>
                <w:szCs w:val="19"/>
              </w:rPr>
              <w:t xml:space="preserve">малые объёмы требуют высокой цены</w:t>
            </w: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. 4,9 и 8 тыс. кв. м — это метраж, при котором экономика держится исключительно на прайсе. Ориентир в 3 млн рублей за метр для этих локаций не опция, а условие.</w:t>
            </w:r>
          </w:p>
          <w:p>
            <w:pPr>
              <w:spacing w:after="0" w:line="250" w:lineRule="auto"/>
            </w:pPr>
            <w:r>
              <w:rPr>
                <w:rFonts w:ascii="Source Serif 4" w:cs="Source Serif 4" w:eastAsia="Source Serif 4" w:hAnsi="Source Serif 4"/>
                <w:b w:val="false"/>
                <w:bCs w:val="false"/>
                <w:i w:val="false"/>
                <w:iCs w:val="false"/>
                <w:color w:val="16233A"/>
                <w:sz w:val="19"/>
                <w:szCs w:val="19"/>
              </w:rPr>
              <w:t xml:space="preserve">Второй риск — репутационный, и он весь в Ордынке. Снос первой московской АТС — здания раннего конструктивизма, к эскизам которого причастен Татлин, — тот сюжет, который в Москве уже дважды выводил людей на улицу. Перенос двенадцати мозаик на новые фасады красив, но не эквивалентен.</w:t>
            </w:r>
          </w:p>
        </w:tc>
      </w:tr>
    </w:tbl>
    <w:p>
      <w:pPr>
        <w:spacing w:after="200"/>
      </w:pPr>
    </w:p>
    <w:p>
      <w:pPr>
        <w:keepNext/>
        <w:spacing w:after="60" w:before="6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КОРОТКО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252"/>
              <w:gridCol w:w="3218"/>
            </w:tblGrid>
            <w:tr>
              <w:tc>
                <w:tcPr>
                  <w:tcW w:type="dxa" w:w="125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100"/>
                    <w:left w:type="dxa" w:w="0"/>
                    <w:bottom w:type="dxa" w:w="10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3F6B4E"/>
                      <w:sz w:val="16"/>
                      <w:szCs w:val="16"/>
                    </w:rPr>
                    <w:t xml:space="preserve">За</w:t>
                  </w:r>
                </w:p>
              </w:tc>
              <w:tc>
                <w:tcPr>
                  <w:tcW w:type="dxa" w:w="3218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три адреса в ЦАО, все у метро</w:t>
                  </w:r>
                </w:p>
              </w:tc>
            </w:tr>
            <w:tr>
              <w:tc>
                <w:tcPr>
                  <w:tcW w:type="dxa" w:w="125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100"/>
                    <w:left w:type="dxa" w:w="0"/>
                    <w:bottom w:type="dxa" w:w="10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3F6B4E"/>
                      <w:sz w:val="16"/>
                      <w:szCs w:val="16"/>
                    </w:rPr>
                    <w:t xml:space="preserve">За</w:t>
                  </w:r>
                </w:p>
              </w:tc>
              <w:tc>
                <w:tcPr>
                  <w:tcW w:type="dxa" w:w="3218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Ордынка — первая линия, 60 м до «Третьяковской»</w:t>
                  </w:r>
                </w:p>
              </w:tc>
            </w:tr>
            <w:tr>
              <w:tc>
                <w:tcPr>
                  <w:tcW w:type="dxa" w:w="125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100"/>
                    <w:left w:type="dxa" w:w="0"/>
                    <w:bottom w:type="dxa" w:w="10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3F6B4E"/>
                      <w:sz w:val="16"/>
                      <w:szCs w:val="16"/>
                    </w:rPr>
                    <w:t xml:space="preserve">За</w:t>
                  </w:r>
                </w:p>
              </w:tc>
              <w:tc>
                <w:tcPr>
                  <w:tcW w:type="dxa" w:w="3218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быстрые согласования: ГЗК за три месяца после сделки</w:t>
                  </w:r>
                </w:p>
              </w:tc>
            </w:tr>
            <w:tr>
              <w:tc>
                <w:tcPr>
                  <w:tcW w:type="dxa" w:w="125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100"/>
                    <w:left w:type="dxa" w:w="0"/>
                    <w:bottom w:type="dxa" w:w="10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3F6B4E"/>
                      <w:sz w:val="16"/>
                      <w:szCs w:val="16"/>
                    </w:rPr>
                    <w:t xml:space="preserve">За</w:t>
                  </w:r>
                </w:p>
              </w:tc>
              <w:tc>
                <w:tcPr>
                  <w:tcW w:type="dxa" w:w="3218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Полянка — самый выразительный продукт из трёх</w:t>
                  </w:r>
                </w:p>
              </w:tc>
            </w:tr>
          </w:tbl>
          <w:p/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1252"/>
              <w:gridCol w:w="3218"/>
            </w:tblGrid>
            <w:tr>
              <w:tc>
                <w:tcPr>
                  <w:tcW w:type="dxa" w:w="125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100"/>
                    <w:left w:type="dxa" w:w="0"/>
                    <w:bottom w:type="dxa" w:w="10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A4B3C"/>
                      <w:sz w:val="16"/>
                      <w:szCs w:val="16"/>
                    </w:rPr>
                    <w:t xml:space="preserve">Против</w:t>
                  </w:r>
                </w:p>
              </w:tc>
              <w:tc>
                <w:tcPr>
                  <w:tcW w:type="dxa" w:w="3218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нет деклараций, планировок и прайсов</w:t>
                  </w:r>
                </w:p>
              </w:tc>
            </w:tr>
            <w:tr>
              <w:tc>
                <w:tcPr>
                  <w:tcW w:type="dxa" w:w="125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100"/>
                    <w:left w:type="dxa" w:w="0"/>
                    <w:bottom w:type="dxa" w:w="10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A4B3C"/>
                      <w:sz w:val="16"/>
                      <w:szCs w:val="16"/>
                    </w:rPr>
                    <w:t xml:space="preserve">Против</w:t>
                  </w:r>
                </w:p>
              </w:tc>
              <w:tc>
                <w:tcPr>
                  <w:tcW w:type="dxa" w:w="3218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снос конструктивистской АТС на Ордынке</w:t>
                  </w:r>
                </w:p>
              </w:tc>
            </w:tr>
            <w:tr>
              <w:tc>
                <w:tcPr>
                  <w:tcW w:type="dxa" w:w="125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100"/>
                    <w:left w:type="dxa" w:w="0"/>
                    <w:bottom w:type="dxa" w:w="10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A4B3C"/>
                      <w:sz w:val="16"/>
                      <w:szCs w:val="16"/>
                    </w:rPr>
                    <w:t xml:space="preserve">Против</w:t>
                  </w:r>
                </w:p>
              </w:tc>
              <w:tc>
                <w:tcPr>
                  <w:tcW w:type="dxa" w:w="3218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паркинг 36 мест на 34 квартиры на Полянке</w:t>
                  </w:r>
                </w:p>
              </w:tc>
            </w:tr>
            <w:tr>
              <w:tc>
                <w:tcPr>
                  <w:tcW w:type="dxa" w:w="1252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100"/>
                    <w:left w:type="dxa" w:w="0"/>
                    <w:bottom w:type="dxa" w:w="100"/>
                    <w:right w:type="dxa" w:w="100"/>
                  </w:tcMar>
                </w:tcPr>
                <w:p>
                  <w:r>
                    <w:rPr>
                      <w:rFonts w:ascii="Source Sans 3" w:cs="Source Sans 3" w:eastAsia="Source Sans 3" w:hAnsi="Source Sans 3"/>
                      <w:b/>
                      <w:bCs/>
                      <w:i w:val="false"/>
                      <w:iCs w:val="false"/>
                      <w:color w:val="9C7C38"/>
                      <w:sz w:val="16"/>
                      <w:szCs w:val="16"/>
                    </w:rPr>
                    <w:t xml:space="preserve">Проверять</w:t>
                  </w:r>
                </w:p>
              </w:tc>
              <w:tc>
                <w:tcPr>
                  <w:tcW w:type="dxa" w:w="3218"/>
                  <w:tcBorders>
                    <w:top w:val="none" w:color="auto" w:sz="0"/>
                    <w:left w:val="none" w:color="auto" w:sz="0"/>
                    <w:bottom w:val="single" w:color="C8CBD0" w:sz="2"/>
                    <w:right w:val="none" w:color="auto" w:sz="0"/>
                  </w:tcBorders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</w:tcPr>
                <w:p>
                  <w:pPr>
                    <w:spacing w:line="230" w:lineRule="auto"/>
                  </w:pPr>
                  <w:r>
                    <w:rPr>
                      <w:rFonts w:ascii="Source Sans 3" w:cs="Source Sans 3" w:eastAsia="Source Sans 3" w:hAnsi="Source Sans 3"/>
                      <w:b w:val="false"/>
                      <w:bCs w:val="false"/>
                      <w:i w:val="false"/>
                      <w:iCs w:val="false"/>
                      <w:color w:val="16233A"/>
                      <w:sz w:val="16"/>
                      <w:szCs w:val="16"/>
                    </w:rPr>
                    <w:t xml:space="preserve">итоговый габарит по инсоляции в Земледельческом</w:t>
                  </w:r>
                </w:p>
              </w:tc>
            </w:tr>
          </w:tbl>
          <w:p/>
        </w:tc>
      </w:tr>
    </w:tbl>
    <w:p>
      <w:pPr>
        <w:keepNext/>
        <w:pageBreakBefore/>
        <w:spacing w:after="60" w:before="0"/>
      </w:pPr>
      <w:r>
        <w:rPr>
          <w:rFonts w:ascii="Source Sans 3" w:cs="Source Sans 3" w:eastAsia="Source Sans 3" w:hAnsi="Source Sans 3"/>
          <w:b/>
          <w:bCs/>
          <w:i w:val="false"/>
          <w:iCs w:val="false"/>
          <w:color w:val="9C7C38"/>
          <w:spacing w:val="24"/>
          <w:sz w:val="13"/>
          <w:szCs w:val="13"/>
        </w:rPr>
        <w:t xml:space="preserve">ИСТОЧНИКИ</w:t>
      </w:r>
    </w:p>
    <w:p>
      <w:pPr>
        <w:keepNext/>
        <w:spacing w:after="200" w:before="0" w:line="264" w:lineRule="auto"/>
      </w:pPr>
      <w:r>
        <w:rPr>
          <w:rFonts w:ascii="Source Serif 4 Light" w:cs="Source Serif 4 Light" w:eastAsia="Source Serif 4 Light" w:hAnsi="Source Serif 4 Light"/>
          <w:b w:val="false"/>
          <w:bCs w:val="false"/>
          <w:i w:val="false"/>
          <w:iCs w:val="false"/>
          <w:color w:val="16233A"/>
          <w:sz w:val="50"/>
          <w:szCs w:val="50"/>
        </w:rPr>
        <w:t xml:space="preserve">Что использовано</w:t>
      </w:r>
    </w:p>
    <w:tbl>
      <w:tblPr>
        <w:tblW w:type="dxa" w:w="94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50"/>
        <w:gridCol w:w="447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80"/>
            </w:tcMar>
          </w:tcPr>
          <w:p>
            <w:pPr>
              <w:keepNext/>
              <w:spacing w:after="80" w:before="14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4"/>
                <w:sz w:val="13"/>
                <w:szCs w:val="13"/>
              </w:rPr>
              <w:t xml:space="preserve">ПЕРВИЧНЫЕ</w:t>
            </w:r>
          </w:p>
          <w:p>
            <w:pPr>
              <w:spacing w:after="70" w:line="22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«Недвижимость инсайды» № 31831 — Малая Полянка, 3 (07.11.2025)</w:t>
            </w:r>
          </w:p>
          <w:p>
            <w:pPr>
              <w:spacing w:after="70" w:line="22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«Недвижимость инсайды» № 33421 — Большая Ордынка, 25, стр. 1 (12.03.2026)</w:t>
            </w:r>
          </w:p>
          <w:p>
            <w:pPr>
              <w:spacing w:after="70" w:line="22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«Недвижимость инсайды» № 34170 — Земледельческий, 15 (07.05.2026)</w:t>
            </w:r>
          </w:p>
          <w:p>
            <w:pPr>
              <w:spacing w:after="70" w:line="22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«Недвижимость инсайды» № 35495 — три проекта на сайте AURIX (25.08.2026)</w:t>
            </w:r>
          </w:p>
          <w:p>
            <w:pPr>
              <w:spacing w:after="70" w:line="22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aurix-development.ru — официальный сайт бренда и страницы трёх проектов</w:t>
            </w:r>
          </w:p>
          <w:p>
            <w:pPr>
              <w:spacing w:after="70" w:line="22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etalon-project.ru — архитектурная концепция Большой Ордынки, 25</w:t>
            </w:r>
          </w:p>
          <w:p>
            <w:pPr>
              <w:spacing w:after="70" w:line="22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etalongroup.com — запуск премиального бренда AURIX</w:t>
            </w:r>
          </w:p>
        </w:tc>
        <w:tc>
          <w:tcPr>
            <w:tcW w:type="dxa" w:w="44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80" w:before="14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4"/>
                <w:sz w:val="13"/>
                <w:szCs w:val="13"/>
              </w:rPr>
              <w:t xml:space="preserve">ПРОЕКТНЫЕ И БРОКЕРСКИЕ САЙТЫ</w:t>
            </w:r>
          </w:p>
          <w:p>
            <w:pPr>
              <w:spacing w:after="70" w:line="22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polyanka-3.moscow — «Полянка-3»</w:t>
            </w:r>
          </w:p>
          <w:p>
            <w:pPr>
              <w:spacing w:after="70" w:line="22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bolshayaordynka25.ru — «Большая Ордынка, 25»</w:t>
            </w:r>
          </w:p>
          <w:p>
            <w:pPr>
              <w:spacing w:after="70" w:line="22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whitewill.ru и kvartiravmoskve.ru — ТЭП и сроки до старта продаж</w:t>
            </w:r>
          </w:p>
          <w:p>
            <w:pPr>
              <w:spacing w:after="70" w:line="22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fortexgroup.ru — характеристики существующего здания в Земледельческом, 15</w:t>
            </w:r>
          </w:p>
          <w:p>
            <w:pPr>
              <w:keepNext/>
              <w:spacing w:after="80" w:before="140"/>
            </w:pPr>
            <w:r>
              <w:rPr>
                <w:rFonts w:ascii="Source Sans 3" w:cs="Source Sans 3" w:eastAsia="Source Sans 3" w:hAnsi="Source Sans 3"/>
                <w:b/>
                <w:bCs/>
                <w:i w:val="false"/>
                <w:iCs w:val="false"/>
                <w:color w:val="9C7C38"/>
                <w:spacing w:val="24"/>
                <w:sz w:val="13"/>
                <w:szCs w:val="13"/>
              </w:rPr>
              <w:t xml:space="preserve">ИСТОРИЯ, РЫНОК, СОГЛАСОВАНИЯ</w:t>
            </w:r>
          </w:p>
          <w:p>
            <w:pPr>
              <w:spacing w:after="70" w:line="22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um.mos.ru — здание АТС на Большой Ордынке, 25</w:t>
            </w:r>
          </w:p>
          <w:p>
            <w:pPr>
              <w:spacing w:after="70" w:line="22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architectstyle.livejournal.com — 12 мозаик утраченных храмов Замоскворечья</w:t>
            </w:r>
          </w:p>
          <w:p>
            <w:pPr>
              <w:spacing w:after="70" w:line="22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archi.ru — обзор проектов, согласованных ГЗК в марте 2026 года</w:t>
            </w:r>
          </w:p>
          <w:p>
            <w:pPr>
              <w:spacing w:after="70" w:line="22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fondvnimanie.ru — судьба конструктивистских АТС Москвы</w:t>
            </w:r>
          </w:p>
          <w:p>
            <w:pPr>
              <w:spacing w:after="70" w:line="220" w:lineRule="auto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i w:val="false"/>
                <w:iCs w:val="false"/>
                <w:color w:val="16233A"/>
                <w:sz w:val="16"/>
                <w:szCs w:val="16"/>
              </w:rPr>
              <w:t xml:space="preserve">interfax.ru, vedomosti.ru — сделка «Эталон» × «Бизнес-Недвижимость»</w:t>
            </w:r>
          </w:p>
        </w:tc>
      </w:tr>
    </w:tbl>
    <w:p>
      <w:pPr>
        <w:pBdr>
          <w:top w:val="single" w:color="D9D5CB" w:sz="2" w:space="10"/>
        </w:pBdr>
        <w:spacing w:before="300"/>
      </w:pPr>
      <w:r>
        <w:rPr>
          <w:rFonts w:ascii="Source Sans 3" w:cs="Source Sans 3" w:eastAsia="Source Sans 3" w:hAnsi="Source Sans 3"/>
          <w:b w:val="false"/>
          <w:bCs w:val="false"/>
          <w:i w:val="false"/>
          <w:iCs w:val="false"/>
          <w:color w:val="5D6B7C"/>
          <w:sz w:val="13"/>
          <w:szCs w:val="13"/>
        </w:rPr>
        <w:t xml:space="preserve">Справка подготовлена 27 августа 2026 года по открытым источникам. Рендеры принадлежат Группе «Эталон» / AURIX и приведены в информационных целях; картографическая основа — © Яндекс Карты. Значения, помеченные звёздочкой, застройщиком официально не подтверждены: до публикации проектных деклараций их следует считать ориентировочными.</w:t>
      </w:r>
    </w:p>
    <w:sectPr>
      <w:headerReference w:type="default" r:id="rId7"/>
      <w:footerReference w:type="default" r:id="rId8"/>
      <w:type w:val="nextPage"/>
      <w:pgSz w:w="11906" w:h="16838" w:orient="portrait"/>
      <w:pgMar w:top="1150" w:right="1240" w:bottom="1000" w:left="1240" w:header="7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ource Serif 4">
    <w:charset w:val="00"/>
    <w:family w:val="roman"/>
    <w:pitch w:val="variable"/>
    <w:sig w:usb0="20000287" w:usb1="02000003" w:usb2="00000000" w:usb3="00000000" w:csb0="2000019F" w:csb1="00000000"/>
    <w:embedRegular r:id="rFont1" w:fontKey="{A1B2C3D4-E5F6-0718-293A-4B5C6D7E0001}" w:subsetted="false"/>
    <w:embedBold r:id="rFont2" w:fontKey="{A1B2C3D4-E5F6-0718-293A-4B5C6D7E0002}" w:subsetted="false"/>
    <w:embedItalic r:id="rFont3" w:fontKey="{A1B2C3D4-E5F6-0718-293A-4B5C6D7E0003}" w:subsetted="false"/>
    <w:embedBoldItalic r:id="rFont4" w:fontKey="{A1B2C3D4-E5F6-0718-293A-4B5C6D7E0004}" w:subsetted="false"/>
  </w:font>
  <w:font w:name="Source Serif 4 Light">
    <w:charset w:val="00"/>
    <w:family w:val="roman"/>
    <w:pitch w:val="variable"/>
    <w:sig w:usb0="20000287" w:usb1="02000003" w:usb2="00000000" w:usb3="00000000" w:csb0="2000019F" w:csb1="00000000"/>
    <w:embedRegular r:id="rFont5" w:fontKey="{A1B2C3D4-E5F6-0718-293A-4B5C6D7E0005}" w:subsetted="false"/>
    <w:embedItalic r:id="rFont6" w:fontKey="{A1B2C3D4-E5F6-0718-293A-4B5C6D7E0006}" w:subsetted="false"/>
  </w:font>
  <w:font w:name="Source Sans 3">
    <w:charset w:val="00"/>
    <w:family w:val="swiss"/>
    <w:pitch w:val="variable"/>
    <w:sig w:usb0="E00002FF" w:usb1="00002003" w:usb2="00000000" w:usb3="00000000" w:csb0="2000019F" w:csb1="00000000"/>
    <w:embedRegular r:id="rFont7" w:fontKey="{A1B2C3D4-E5F6-0718-293A-4B5C6D7E0007}" w:subsetted="false"/>
    <w:embedBold r:id="rFont8" w:fontKey="{A1B2C3D4-E5F6-0718-293A-4B5C6D7E0008}" w:subsetted="false"/>
    <w:embedItalic r:id="rFont9" w:fontKey="{A1B2C3D4-E5F6-0718-293A-4B5C6D7E0009}" w:subsetted="fals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Sans 3" w:cs="Source Sans 3" w:eastAsia="Source Sans 3" w:hAnsi="Source Sans 3"/>
        <w:color w:val="5D6B7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5CB" w:sz="2" w:space="6"/>
      </w:pBdr>
      <w:tabs>
        <w:tab w:val="right" w:pos="9420"/>
      </w:tabs>
      <w:spacing w:after="60"/>
    </w:pPr>
    <w:r>
      <w:rPr>
        <w:rFonts w:ascii="Source Sans 3" w:cs="Source Sans 3" w:eastAsia="Source Sans 3" w:hAnsi="Source Sans 3"/>
        <w:b w:val="false"/>
        <w:bCs w:val="false"/>
        <w:i w:val="false"/>
        <w:iCs w:val="false"/>
        <w:color w:val="5D6B7C"/>
        <w:sz w:val="14"/>
        <w:szCs w:val="14"/>
      </w:rPr>
      <w:t xml:space="preserve">Большая Ордынка · Земледельческий · Малая Полянка — 27.08.2026</w:t>
    </w:r>
    <w:r>
      <w:rPr>
        <w:rFonts w:ascii="Source Sans 3" w:cs="Source Sans 3" w:eastAsia="Source Sans 3" w:hAnsi="Source Sans 3"/>
      </w:rPr>
      <w:t xml:space="preserve">	</w:t>
    </w:r>
    <w:r>
      <w:rPr>
        <w:rFonts w:ascii="Source Sans 3" w:cs="Source Sans 3" w:eastAsia="Source Sans 3" w:hAnsi="Source Sans 3"/>
        <w:b/>
        <w:bCs/>
        <w:i w:val="false"/>
        <w:iCs w:val="false"/>
        <w:color w:val="9C7C38"/>
        <w:sz w:val="14"/>
        <w:szCs w:val="14"/>
      </w:rPr>
      <w:t xml:space="preserve">РАЗБОР ПЛОЩАДОК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saveSubsetFonts w:val="false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erif 4" w:cs="Source Serif 4" w:eastAsia="Source Serif 4" w:hAnsi="Source Serif 4"/>
        <w:color w:val="16233A"/>
        <w:sz w:val="19"/>
        <w:szCs w:val="19"/>
      </w:rPr>
    </w:rPrDefault>
    <w:pPrDefault>
      <w:pPr>
        <w:spacing w:line="25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ca094f21536415290db4882f29320171de52d3d.jpg"/><Relationship Id="rId10" Type="http://schemas.openxmlformats.org/officeDocument/2006/relationships/image" Target="media/3fd74a9b1b3c2d117b60ea8c3ee11e1bc7fcc31e.jpg"/><Relationship Id="rId11" Type="http://schemas.openxmlformats.org/officeDocument/2006/relationships/image" Target="media/f80bad02e179d8e4a438d6fad8d95a434497d12f.jpg"/><Relationship Id="rId12" Type="http://schemas.openxmlformats.org/officeDocument/2006/relationships/image" Target="media/573e9d64b30dc7d4c12b2e4a161c446623333217.jpg"/><Relationship Id="rId13" Type="http://schemas.openxmlformats.org/officeDocument/2006/relationships/image" Target="media/c9c178f93cfac935b4a86f06565666885910eb77.jpg"/><Relationship Id="rId14" Type="http://schemas.openxmlformats.org/officeDocument/2006/relationships/image" Target="media/8577b5aab02561843f1363a8090a111d255b04d9.jpg"/><Relationship Id="rId15" Type="http://schemas.openxmlformats.org/officeDocument/2006/relationships/image" Target="media/2d5119ac11c096268e9908825b2aa7ee1cfe64f0.jpg"/><Relationship Id="rId16" Type="http://schemas.openxmlformats.org/officeDocument/2006/relationships/image" Target="media/7a61942b20ae740ee16785bce1c49b419bd897bd.jpg"/><Relationship Id="rId17" Type="http://schemas.openxmlformats.org/officeDocument/2006/relationships/image" Target="media/7bed9cd97ccebea80901af221d759b2f1de7bb56.jpg"/><Relationship Id="rId18" Type="http://schemas.openxmlformats.org/officeDocument/2006/relationships/image" Target="media/f0f2e4128f396bb26245e72072b12405db683b40.jpg"/><Relationship Id="rId19" Type="http://schemas.openxmlformats.org/officeDocument/2006/relationships/image" Target="media/46e285e920c540bdd23029142a55c2421ed6a17d.jpg"/><Relationship Id="rId20" Type="http://schemas.openxmlformats.org/officeDocument/2006/relationships/image" Target="media/a6eb7bad114d95c179f84e55b4520ac2eb20e258.jpg"/><Relationship Id="rId21" Type="http://schemas.openxmlformats.org/officeDocument/2006/relationships/image" Target="media/1088fa29b71cdd4c0d349a2e52361d33cf5c07f6.jpg"/><Relationship Id="rId22" Type="http://schemas.openxmlformats.org/officeDocument/2006/relationships/image" Target="media/d8bb76e139f50ab91259e20c250564af81201d92.jpg"/><Relationship Id="rId23" Type="http://schemas.openxmlformats.org/officeDocument/2006/relationships/image" Target="media/4c334b22b287fb3479f430e6c4787eb6a2c491a3.jpg"/><Relationship Id="rId24" Type="http://schemas.openxmlformats.org/officeDocument/2006/relationships/image" Target="media/b85bcd28096b8febe6056f60fe8167eda8927da6.jpg"/><Relationship Id="rId25" Type="http://schemas.openxmlformats.org/officeDocument/2006/relationships/image" Target="media/83291997b1593a893fb05d0bc2fd4a98b6b8a68d.jpg"/><Relationship Id="rId26" Type="http://schemas.openxmlformats.org/officeDocument/2006/relationships/image" Target="media/cfcf7ebca6ab967daeee5eb4faaaaa92b1956449.jpg"/><Relationship Id="rId27" Type="http://schemas.openxmlformats.org/officeDocument/2006/relationships/image" Target="media/1d351495f6d3d730b4c80a9562c4113884c61642.jpg"/><Relationship Id="rId28" Type="http://schemas.openxmlformats.org/officeDocument/2006/relationships/image" Target="media/a3c7286731ca6554a965e8abae33e876ca6ef594.jpg"/><Relationship Id="rId29" Type="http://schemas.openxmlformats.org/officeDocument/2006/relationships/image" Target="media/710f0a48f6c14fcb17ad4f52bd86b8af3e141fcb.jpg"/><Relationship Id="rId30" Type="http://schemas.openxmlformats.org/officeDocument/2006/relationships/image" Target="media/4b4913ce4e35828b7f6e29a3c24be0b377866478.jpg"/><Relationship Id="rId31" Type="http://schemas.openxmlformats.org/officeDocument/2006/relationships/image" Target="media/f1452529e4770f4ed84e732f2b7ae07c4400dd86.jpg"/><Relationship Id="rId32" Type="http://schemas.openxmlformats.org/officeDocument/2006/relationships/image" Target="media/1c45e8bc141ba1cf78e5125b1bc20784e0dbbb75.jpg"/><Relationship Id="rId33" Type="http://schemas.openxmlformats.org/officeDocument/2006/relationships/image" Target="media/549c0536e3fb076d74eb406c362388201a3035b9.jpg"/><Relationship Id="rId34" Type="http://schemas.openxmlformats.org/officeDocument/2006/relationships/image" Target="media/de9c2f4d7c0529276b5af70bf0420bcdd461da4d.jp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Font1" Type="http://schemas.openxmlformats.org/officeDocument/2006/relationships/font" Target="fonts/font1.odttf"/><Relationship Id="rFont2" Type="http://schemas.openxmlformats.org/officeDocument/2006/relationships/font" Target="fonts/font2.odttf"/><Relationship Id="rFont3" Type="http://schemas.openxmlformats.org/officeDocument/2006/relationships/font" Target="fonts/font3.odttf"/><Relationship Id="rFont4" Type="http://schemas.openxmlformats.org/officeDocument/2006/relationships/font" Target="fonts/font4.odttf"/><Relationship Id="rFont5" Type="http://schemas.openxmlformats.org/officeDocument/2006/relationships/font" Target="fonts/font5.odttf"/><Relationship Id="rFont6" Type="http://schemas.openxmlformats.org/officeDocument/2006/relationships/font" Target="fonts/font6.odttf"/><Relationship Id="rFont7" Type="http://schemas.openxmlformats.org/officeDocument/2006/relationships/font" Target="fonts/font7.odttf"/><Relationship Id="rFont8" Type="http://schemas.openxmlformats.org/officeDocument/2006/relationships/font" Target="fonts/font8.odttf"/><Relationship Id="rFont9" Type="http://schemas.openxmlformats.org/officeDocument/2006/relationships/font" Target="fonts/font9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АТС под клубные дома</dc:title>
  <dc:creator>Разбор площадок</dc:creator>
  <dc:description>Разбор трёх московских площадок AURIX / Группа «Эталон»</dc:description>
  <cp:lastModifiedBy>Un-named</cp:lastModifiedBy>
  <cp:revision>1</cp:revision>
  <dcterms:created xsi:type="dcterms:W3CDTF">2026-08-27T08:05:28.273Z</dcterms:created>
  <dcterms:modified xsi:type="dcterms:W3CDTF">2026-08-27T08:05:28.273Z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