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«Большие деньги двигаются: Vesteda гасит панику, Prologis торгуется за Segro, а ритейл-парки тихо обыгрывают весь рынок»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Институционалы перестали бежать из арендного жилья: Vesteda срезала выкуп паёв с 4,1 млрд до 765 млн евро, а Bouwinvest вдвое нарастил фонд для жилья пожилых — паника отступает, рынок стабилизируется.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Города ужесточают долю доступного жилья (Утрехт 80%, Роттердам ~67%), а девелоперы (BPD) лоббируют смягчение — это главное напряжение сезона, которое определит маржу будущих проектов.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Периферийные ритейл-парки — тихий чемпион недели: вакантность 4,4% против 5,5% по рынку, доходность ~7,5% брутто у Retail Estates; устойчивый высокодоходный продукт, пока центры городов страдают.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 переоценивается на корпоративной истории: оферта Prologis на Segro (~14,6 млрд евро, отклонена) задаёт тон всему сектору, Deutsche Bank срезал целевые цены REIT, но держит «покупать» — оценки считают привлекательными.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Налоги остаются тормозом для притока капитала: box 3 (реальная доходность) сдвинут на 2028, а IVBN бьётся за смягчение лимита на вычет процентов — пока нагрузка выше европейской.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Самые крупные числа недели одним взглядом.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выдалась насыщенной по всем трём сегментам. В жилье главный сюжет — институциональные деньги: фонд Bouwinvest для жилья пожилых привлёк новый капитал (committed capital вырос со 130 до 263,5 млн евро), а крупнейший жилищный фонд Vesteda договорился об ограниченном выкупе паёв (765 млн евро вместо первоначальных 4,1 млрд), предотвратив масштабную распродажу арендного жилья; параллельно Утрехт и Роттердам утвердили коалиционные соглашения с жёсткими планками доступного жилья (80% и ~67%). В коммерции CBRE и инвесторы (Retail Estates) подсветили тему недели — периферийные ритейл-парки оказались на удивление устойчивы (вакантность всего 4,4% против 5,5% в среднем по торговой недвижимости). В индустриале доминировала большая корпоративная история: предложение Prologis о покупке Segro (~14,6 млрд евро, отклонено), снижение целевых цен Deutsche Bank по четырём логистическим REIT при сохранении рекомендации «покупать», а также спекулятивная стройка Panattoni в Эммене на 150 000 м2.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(Eerste Kamer — верхняя палата парламента) 30 июня провёл пленарные дебаты по законопроекту 'Wet werkelijk rendement box 3' (закон о налогообложении фактической доходности в режиме налога на капитал физлиц 'box 3'). Для частных арендодателей это важно: вместо нынешней фиктивной доходности предлагается облагать реальный арендный доход ежегодно, а прирост стоимости недвижимости — только при продаже (vermogenswinstbelasting — налог на прирост капитала). Комиссия по финансам (FIN) 23 июня решила снова поставить закон на повестку после дебатов. Голосование может состояться не раньше начала 2027 — Сенат разделён по вопросу обложения 'бумажного' (нереализованного) прироста. Старт нового режима намечен на 1 января 2028.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держите арендное жильё как физлицо — налог переходит на реальный доход, а не фиктивный: считайте кэш-флоу заранее, но решения пока ждут — режим только с 2028.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 (wetsvoorstel 36748)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Утрехт (4-й город страны, ~370 тыс. жителей) представил коалиционное соглашение на 2026–2030 (партии PRO Utrecht и D66). По жилью: для всей новой застройки вводится обязательная доля 80% доступного жилья (betaalbare nieuwbouw — социальная плюс средняя аренда и доступная покупка), ежегодно выделяется 12 млн евро на развитие территорий и земельную политику, создаётся рабочая группа по борьбе с перегрузкой электросети (netcongestie). Это более жёсткая планка доступности, чем общенациональные ~⅔, — прямой сигнал застройщикам и арендным инвесторам о структуре будущего предложения.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 Утрехте свободно-рыночного жилья в новых проектах останется лишь 20% — закладывайте более низкую маржу и иную модель доходности на этой территории.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Роттердам (2-й город страны, ~670 тыс. жителей) представил коалиционное соглашение 2026–2030 'Vaart maken' (Набрать ход; коалиция PRO, D66, VVD, CDA, Volt). До 2030 года планируется построить 15 000 жилищ, из них 10 000 доступных (около 67% — в соответствии с Regiewet, законом о госрегулировании жилищного строительства). Создаётся строительный фонд (doorbouwfonds) на 111 млн евро, чтобы проекты не останавливались при удорожании стройки; более 1 млрд евро резервируется на жильё, территории, экономику и климат.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Роттердам держит планку строго по нацзакону (67%), но подстраховывает девелоперов фондом на 111 млн € — снижает риск заморозки проектов при удорожании.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Государственный совет (Raad van State — высший административный суд) 24 июня аннулировал план застройки (bestemmingsplan) и экологическое разрешение для жилого проекта Koggenland в Пюрмеренде из-за недостаточного обоснования расчёта парковочного спроса. При этом стройка продолжится: суд оставил в силе правовые последствия решений, поскольку муниципалитет провёл новое исследование парковки. Проект — 64 жилья (53 социальных арендных + 11 средней аренды, middenhuur). Урок для девелоперов: процедурные дефекты ведут к отмене, но устранимые недочёты не обязательно останавливают стройку.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Сигнал по процедурным рискам: слабое обоснование (например, по парковке) может отменить разрешение, но своевременное доисследование спасает проект — документируйте расчёты тщательно.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Raad van State / RegioPurmerend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На внеочередном собрании акционеров (BAVA) 26 июня фонд Vesteda — один из крупнейших в Нидерландах институциональных инвесторов в жильё (портфель ~10,8 млрд евро, около 28 000 арендных квартир) — установил итоговый объём заявок на выкуп паёв (redemptievolume) на уровне 765 млн евро. Это резкое снижение по сравнению с первоначальными заявками инвесторов (в основном пенсионных фондов) на 4,1 млрд евро от 2 марта. Теперь инвесторы могут подавать заявки на выход ежегодно (раньше — раз в семь лет), а фонд будет давать ликвидность 'по мере возможности' (best-effort) в размере 7,5% капитала в год. Сделка предотвратила масштабную распродажу арендного жилья.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Главный успокаивающий сигнал недели: распродажи ~28 000 квартир не будет — давление на цены арендного жилья снизилось, рынок стабилизируется.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NOS / FD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Bouwinvest (один из крупнейших нидерландских управляющих недвижимостью для пенсионных фондов, входит в группу bpfBOUW, под управлением ~14 млрд евро) привлёк новый капитал в фонд жилья для пожилых Dutch Senior Living Impact Fund. В фонд вошли пенсионный фонд PME (металлургия/электротехника) и ещё один нидерландский пенсионный фонд — теперь у фонда шесть институциональных инвесторов вместо четырёх. Объём обязательств (committed capital — заявленный капитал к вложению) вырос со 130 млн евро на первом закрытии до 263,5 млн евро — это более чем удвоение. Редкий позитивный сигнал притока денег в арендное жильё на фоне общего оттока капитала у институционалов; деньги идут в сегмент healthcare-жилья (жильё с уходом/для пожилых).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Деньги текут в жильё для пожилых — растущий сегмент со стабильным спросом из-за старения населения; ориентир, куда смотрят умные институционалы.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Heijmans (крупная биржевая нидерландская строительно-девелоперская компания, котируется на Euronext Amsterdam) и муниципалитет IJsselstein (под Утрехтом) подписали антериорное соглашение (anterieure overeenkomst — договор о застройке между девелопером и муниципалитетом) на 563 жилища на бывшей промплощадке Roba Metals (~6 га). Структура: 27% социальная аренда, 37% средняя аренда и доступная покупка, 36% более дорогое жильё. Решение совета ожидается в 3-4 кв. 2026, продажа первых жилищ — с 2028 года. Стройку обеспечат коллективной энергосистемой (тепловой насос, солнечные панели, аккумуляторы) на фоне перегруженной электросети.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Пример рабочей модели на фоне перегрузки сетей: редевелопмент промплощадки с автономной энергосистемой — обходной путь там, где сеть не тянет новых подключений.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Harm Janssen, гендиректор BPD (Bouwfonds Property Development — один из крупнейших девелоперов жилья в Нидерландах и Германии, дочерняя структура Rabobank), в интервью заявил: нужно просто начинать строить. Его тезис — дефицит инфраструктуры (он оценил потребность примерно в 80 млрд евро) и перегрузка электросетей не должны быть поводом годами держать крупные площадки замороженными, «сигналы зелёные». Он также призвал пересмотреть требование, по которому две трети жилья должны навсегда оставаться доступными, и сделать ставку на стандартизацию, чтобы ускорить вывод жилья на рынок.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Голос крупного девелопера за смягчение нормы доступности и стандартизацию — следите за этим лобби: его успех напрямую повлияет на маржу будущих проектов.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06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06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Заявки на выход упали с 4,1 млрд до 765 млн € (−81%) — масштабной распродажи аренды не будет.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406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uwinve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406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Заявленный к вложению капитал вырос со 130 до 263,5 млн € — редкий приток денег в аренду.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3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ijmans_mi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Структура 563 жилищ в IJsselstein: 64% соц. и средняя аренда + доступная покупка.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для жилья богата на институциональные сигналы: Vesteda удержала ситуацию с выкупом паёв и избежала распродажи, а Bouwinvest наоборот привлёк свежий капитал в жильё для пожилых — два разнонаправленных, но в сумме стабилизирующих сюжета. Города (Утрехт, Роттердам) закрепляют высокие доли доступного жилья, тогда как девелоперы (BPD) лоббируют смягчение требований доступности и ускорение строительства — это ключевое напряжение сезона. Отдельных пунктов по trends и stats на этой неделе не набралось, но новостной и законодательный поток был плотным.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Следите за исходом голосования в Сенате по box 3 (старт 2028) и за тем, уступят ли города давлению девелоперов по снижению доли доступного жилья — это определит маржу и структуру новых проектов.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26 июня отраслевая ассоциация институциональных инвесторов в недвижимость IVBN призвала правительство не откладывать до 2032 года смягчение правила ограничения вычета процентов (earningsstrippingmaatregel — лимит на вычет процентных расходов из налогооблагаемой прибыли). Поводом стало предложение Еврокомиссии от 24 июня: с 2029 года вычет процентов до 30% от налоговой EBITDA, с 2032 года — порог 3 млн евро. Нынешние нидерландские правила жёстче: лимит 24,5% EBITDA при пороге всего 1 млн евро, что непропорционально бьёт по инвесторам со структурой через BV (частную компанию). Высокая налоговая нагрузка — одна из причин ухода капитала из нидерландской недвижимости.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Если держите недвижимость через BV с заёмным финансированием — нынешний жёсткий лимит на вычет процентов режет прибыль; смягчение поможет, но пока его только лоббируют.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 Insider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CBRE (крупнейший в мире консультант, оценщик и брокер коммерческой недвижимости; в Нидерландах один из ведущих игроков) выпустил отчёт о периферийных ритейл-парках (retailparken — крупноформатные торговые парки на окраинах: мебель, товары для дома, DIY/строймаркеты). Вывод: пока центры городов под давлением e-commerce и банкротств, периферийные парки остаются устойчивыми. Вакантность (leegstand — доля пустующих площадей) на начало 2026 — всего 4,4% против 5,5% в среднем по торговой недвижимости. Из 194 обследованных парков в 73 нет ни одной пустующей единицы. Несмотря на банкротство Carpetright и проблемы Kwantum и Leen Bakker, освободившиеся помещения быстро сдаются заново. CBRE подаёт ритейл-парки как стабильный инвестиционный продукт.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Аргумент в пользу периферийных ритейл-парков как защитного актива: даже банкротства арендаторов быстро перекрываются новыми — низкий риск простоя.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CBRE (пресс-релиз 'Perifere winkelgebieden trotseren retailcrisis en blijven verrassend populair')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Retail Estates (бельгийская биржевая компания недвижимости со статусом GVV/SIR — регулируемого фонда-REIT; специализируется на периферийных ритейл-парках в Бенилюксе, Euronext Brussels) сделала первый шаг во Францию, купив ритейл-парк под Парижем. Для нидерландского рынка важно, что Нидерланды теперь дают 38% портфеля компании (Бельгия — 62%). По годовым результатам заполняемость (occupancy) выросла до 97,8%, чистый арендный доход +2,5%, стоимость портфеля +1,6%, дивиденд повышен до 5,20 евро брутто (22-й год роста подряд, доходность ~7,5% брутто). Иллюстрация тезиса недели: инвесторы воспринимают ритейл-парки как устойчивый высокодоходный сегмент. (Сама сделка во Франции закрыта в апреле 2026; обзорная статья вышла 23 июня — в окне.)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Живое доказательство доходности сегмента: заполняемость 97,8% и 22 года роста дивиденда подряд — ориентир по доходности (~7,5%) для тех, кто рассматривает ритейл-парки.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Test-Aankoop/Test-Achats (Invest)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В отраслевой прессе ритейла (vakbladmannenmode.nl) вышел материал о резком скачке готовности потребителей к покупкам (koopbereidheid — субиндекс потребительского доверия, отражающий готовность к крупным покупкам). По данным CBS (Centraal Bureau voor de Statistiek — статистическое бюро), koopbereidheid поднялась с -28 в мае до -22 в июне — крупнейшее месячное улучшение за всю историю наблюдений; общий индекс доверия вырос с -46 до -39 (сильнейший рост за 11+ лет). Но издание подчёркивает: для ритейлеров это лишь осторожно позитивный сигнал — уровни всё ещё глубоко в минусе и ниже долгосрочного среднего (-9), быстрого всплеска трат ждать не стоит. Первичный релиз CBS — 22 июня (вне окна), отраслевая интерпретация — 29 июня (в окне).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Настроение потребителей разворачивается вверх рекордными темпами — ранний сигнал к восстановлению спроса в рознице, но до реального роста трат ещё далеко.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Vakblad Mannenmode (на основе данных CBS)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Ключевая цифра из отчёта CBRE по нидерландским ритейл-паркам (retailparken — периферийные крупноформатные торговые парки): вакантность (leegstand — доля пустующих площадей) на начало 2026 — 4,4%. Это ниже фрикционного уровня (минимально неизбежная вакантность при нормальной ротации арендаторов) и существенно ниже среднего по всей торговой недвижимости страны (5,5%). Обследовано 194 парка, в 73 пустующих единиц нет вообще. Цифра подтверждена перепечаткой в отраслевых СМИ в окне отчётной недели (24 июня).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Вакантность ниже фрикционного уровня означает фактически дефицит площадей в сегменте — поддержка арендных ставок и стоимости таких объектов.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ритейл-парков 4,4% (среднее по торговой недвижимости 5,5%); 194 парка, 73 без вакантности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'Stabiliteit in Nederlandse Retailparken'; перепечатка keukenendesign.nl</w:t>
            </w:r>
            <w:hyperlink r:id="rId2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564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5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Вакантность периферийных ритейл-парков 4,4% против 5,5% по торговой недвижимости.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Главная тема недели в коммерции — устойчивость периферийных ритейл-парков: отчёт CBRE и годовые результаты Retail Estates сошлись в одном выводе — это стабильный, высокодоходный сегмент с очень низкой вакантностью (4,4%), пока центры городов страдают. Отдельный позитивный нюанс — рекордный месячный рост готовности потребителей к покупкам, хотя уровни всё ещё глубоко отрицательные. На законодательном фронте IVBN бьётся за смягчение налога на проценты как условие возврата капитала в недвижимость. По стрит-ритейлу в узком смысле (магазины в центрах городов) новых сделок на неделе почти не было — фокус сместился к периферийным форматам.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Следите, продолжит ли расти потребительское доверие (koopbereidheid) и удержат ли ритейл-парки сверхнизкую вакантность; на налоговом фронте — реакция правительства на призыв IVBN ускорить смягчение лимита на вычет процентов.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Американская Prologis (крупнейшая в мире публичная компания логистической недвижимости) сделала предложение о поглощении британской Segro примерно за 14,6 млрд евро (~12,6 млрд фунтов): 0,084 новой акции Prologis за акцию Segro, то есть 925 пенсов за бумагу — премия 24,6% к цене до объявления. Цель — создать 'крупнейшую в мире котируемую логистическую недвижимость'. Совет Segro единогласно отклонил оферту как заниженную и оппортунистическую (попытку нажиться на сниженных оценках европейской недвижимости). По британскому кодексу о поглощениях Prologis до 22 июля должна либо подтвердить твёрдое намерение, либо отказаться. Для Нидерландов значимо: у Prologis крупное присутствие в стране, а сделка задаёт тон оценкам всего европейского (и нидерландского) логистического сектора.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Крупнейший игрок готов платить премию 24,6% за логистику — рынок сигнализирует, что европейские (и нидерландские) логистические активы недооценены.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Warehouse Totaal / PropertyNL / Bloomberg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25 июня Deutsche Bank (крупный немецкий инвестбанк) понизил целевые цены (koersdoel — ориентир справедливой цены акции) для четырёх ведущих европейских компаний логистической недвижимости, активно работающих и в Нидерландах, но сохранил по всем рекомендацию 'покупать'. Цели: CTP (чешская группа, крупнейший в континентальной Европе владелец логистических парков, ~40% активов в Нидерландах) — с 22,00 до 19,00 евро; WDP (Warehouses De Pauw, бельгийско-нидерландский логистический REIT) — с 30,00 до 25,00 евро; Montea (бельгийский REIT, ~40% портфеля в Нидерландах) — с 85,00 до 73,00 евро; VGP (бельгийский девелопер логистических парков) — со 120,00 до 100,00 евро (фаворит банка). Логика: повышенные ожидания по ставкам уже в цене, оценки привлекательные, потенциал роста выше риска снижения; поддержку даёт заявка Prologis на Segro.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Целевые цены срезаны, но рекомендация осталась «покупать» — аналитики видят в логистике апсайд, несмотря на давление ставок; ориентир для держателей этих REIT.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De Aandeelhouder / IEX / The Asset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Panattoni (один из крупнейших в мире игроков рынка логистической и промышленной недвижимости, активен в Нидерландах и Бельгии) начал спекулятивную застройку (стройку без заранее найденного арендатора) комплекса Panattoni Park Emmen площадью около 150 000 м2 (как 22 футбольных поля) на промзоне De Tweeling у автострады A37 в сторону Германии. Собственные инвестиции Panattoni превышают 100 млн евро, ещё примерно столько же, как ожидается, вложат будущие арендаторы в дооснащение. Арендатор пока не объявлен: ставка на то, что крупные международные производители предпочитают готовые помещения и скорость. Сдача — март 2028. Panattoni называет это крупнейшим коммерческим зданием на севере Нидерландов.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Спекулятивная стройка на 150 000 м2 без арендатора — крупный игрок ставит на сохранение спроса; индикатор уверенности в логистическом рынке севера страны.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1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Логистический оператор Humby (провайдер, уже имеющий более 25 000 м2 складов в регионе Венло) заключил долгосрочный договор аренды на 29 779 м2 по адресу Dirk Hartogweg 8 на промзоне Trade Port в Венло. Арендодатель — фонд CCP 5 под управлением Tristan Capital Partners (крупный международный инвестор в недвижимость), asset-менеджмент ведёт ARC Real Estate Partners; ранее объект арендовала Nunner Logistics. Интересы сторон представляли Boek en Offermans Makelaars, JLL и Cushman &amp; Wakefield. Сделка показывает сохраняющийся спрос на крупные склады в лимбургском логистическом коридоре.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Быстрая пересдача почти 30 000 м2 в логистическом коридоре Венло подтверждает живой спрос на крупные склады — поддержка ставок и заполняемости в регионе.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PropertyNL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Компания Base Investments от имени международного инвестора Patron Capital купила бизнес- и офисное помещение по адресу Griftsemolenweg 38 в Ваассене у Wibra Holding (нидерландская сеть бюджетных розничных магазинов, владелец объекта). Пример того, как операторы монетизируют собственную недвижимость, а инвесторы наращивают портфели индустриальных/складских активов (структура похожа на sale-and-leaseback — продажу с обратной арендой, когда компания продаёт недвижимость и остаётся в ней арендатором; точная формулировка в открытой части не подтверждена). Площадь и сумма сделки в открытой части не раскрыты (полный текст за пейволлом).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Тренд монетизации корпоративной недвижимости: компании высвобождают капитал, продавая объекты инвесторам — возможность для покупателей нарастить портфель.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776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target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7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Целевые цены снижены на 14–17%; рекомендация «покупать» сохранена — рынок ждёт стабилизации, а не падения.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Индустриал стал самым ярким сегментом недели благодаря большой корпоративной истории: предложение Prologis о покупке Segro (~14,6 млрд евро, отклонено) переоценивает весь европейский логистический сектор, а Deutsche Bank на этом фоне срезал целевые цены четырёх ведущих REIT, но рекомендацию 'покупать' сохранил — рынок видит привлекательные оценки. На земле спрос жив: Panattoni рискнула спекулятивной стройкой на 150 000 м2 в Эммене, а Humby арендовала почти 30 000 м2 в Венло. Отдельная сделка в Ваассене (Patron Capital/Wibra) указывает на интерес к монетизации корпоративной недвижимости, хотя детали закрыты пейволлом. Законодательных и статистических пунктов по сегменту на этой неделе не набралось.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Ключевая дата — 22 июля: подтвердит ли Prologis твёрдое намерение по Segro или отступит; это переоценит весь сектор. Также следите, найдёт ли Panattoni арендатора на свои 150 000 м2 до сдачи в 2028.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 — осторожный разворот к стабилизации сразу в трёх сегментах. В жилье институциональный капитал перестал бежать: сделка Vesteda сняла угрозу распродажи, а приток денег в фонд Bouwinvest для пожилых показывает, куда смещается аппетит инвесторов — в сегменты со структурным спросом. Логистика подаёт тот же сигнал с другой стороны: готовность Prologis платить премию за Segro и сохранённая Deutsche Bank рекомендация «покупать» говорят, что профессионалы считают активы недооценёнными — это эхо того же возвращения уверенности, что и в жилье. Связующая нить всех трёх сегментов — налоги и регулирование: жёсткий box 3, лимит на вычет процентов и высокие доли доступного жилья остаются главным тормозом для притока капитала, и именно вокруг их смягчения идёт основная борьба (IVBN, BPD). Коммерция подтверждает общий вывод снизу: периферийные ритейл-парки с вакантностью 4,4% и рекордно растущим потребительским доверием — тихая зона устойчивости. Прогноз: при сохранении этих сигналов осень может принести постепенное возвращение капитала, но скорость зависит от двух развилок — решения Prologis по Segro (22 июля) и от того, уступит ли государство по налоговой нагрузке и нормам доступности.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Режим нидерландского подоходного налога на капитал физлиц (сбережения и инвестиции, включая арендную недвижимость).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Wet werkelijk rendement box 3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Законопроект о налогообложении фактической (реальной), а не фиктивной доходности капитала в режиме box 3; старт намечен на 2028.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vermogenswinstbelasting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Налог на прирост капитала — облагается прирост стоимости актива, как правило при его продаже.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Eerste Kamer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Сенат, верхняя палата парламента Нидерландов.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Tweede Kamer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Нижняя палата парламента Нидерландов.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Raad van State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Государственный совет — высший административный суд страны.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betaalbare nieuwbouw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Доступная новостройка — жильё в категориях социальной и средней аренды плюс доступная покупка.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middenhuur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Средняя аренда — сегмент жилья между социальной и свободно-рыночной арендой.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 — когда мощностей сети не хватает для всех новых подключений.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Regiewet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Закон о госрегулировании жилищного строительства, задающий обязательные доли доступного жилья.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bestemmingsplan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План застройки/зонирования территории, утверждаемый муниципалитетом.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anterieure overeenkomst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Антериорное соглашение — договор о застройке между девелопером и муниципалитетом до утверждения плана.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doorbouwfonds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Строительный фонд муниципалитета, чтобы проекты не останавливались при удорожании стройки.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redemptievolume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Объём заявок инвесторов на выкуп (погашение) своих паёв в фонде.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committed capital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Заявленный (обязательственный) капитал — деньги, которые инвесторы обязались вложить в фонд.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BAVA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Внеочередное общее собрание акционеров (buitengewone algemene vergadering van aandeelhouders).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best-effort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«По мере возможности» — обязательство приложить усилия без гарантии результата (здесь — по выкупу паёв).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leegstand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Вакантность — доля пустующих (несданных) площадей.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фрикционная вакантность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Минимально неизбежный уровень пустующих площадей при нормальной ротации арендаторов.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retailparken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Периферийные ритейл-парки — крупноформатные торговые парки на окраинах (мебель, товары для дома, DIY/строймаркеты).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koopbereidheid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Готовность к покупкам — субиндекс потребительского доверия, отражающий настрой на крупные траты.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CBS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Centraal Bureau voor de Statistiek — нидерландское статистическое бюро.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earningsstrippingmaatregel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ограничения вычета процентных расходов из налогооблагаемой прибыли.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EBITDA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Прибыль до вычета процентов, налогов и амортизации — база для расчёта лимита вычета процентов.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BV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Besloten vennootschap — нидерландская частная компания с ограниченной ответственностью (аналог ООО).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REIT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Биржевой фонд недвижимости с особым налоговым режимом, обязанный распределять большую часть дохода в дивиденды.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GVV/SIR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Бельгийский статус регулируемого фонда недвижимости (аналог REIT).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occupancy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Заполняемость — доля сданных площадей в портфеле.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koersdoel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Целевая цена акции — ориентир справедливой стоимости от аналитика/банка.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спекулятивная застройка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Стройка объекта без заранее найденного арендатора, в расчёте сдать его позже.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sale-and-leaseback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Продажа с обратной арендой — компания продаёт свою недвижимость инвестору и остаётся в ней арендатором.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IVBN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Отраслевая ассоциация институциональных инвесторов в недвижимость Нидерландов.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BPD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Bouwfonds Property Development — один из крупнейших девелоперов жилья в Нидерландах и Германии, структура Rabobank.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3PL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Логистический подрядчик, ведущий склады и доставку чужих товаров (third-party logistics).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Bouwinvest ouderenfonds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https://vastgoedjournaal.nl/news/73539/twee-pensioenfondsen-stappen-in-ouderenfonds-bouwinvest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— redemption volume  </w:t>
      </w:r>
      <w:hyperlink r:id="rId16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— coalitieakkoord Rotterdam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https://www.vastgoedmarkt.nl/209650/rotterdams-coalitieakkoord-volgt-braaf-de-regiewet-67-procent-betaalbare-woningen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coalitieakkoord Utrecht  </w:t>
      </w:r>
      <w:hyperlink r:id="rId13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https://vastgoedjournaal.nl/news/73472/coalitieakkoord-utrecht-80-procent-betaalbare-nieuwbouw-en-doorbraakteam-netcongestie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wetsvoorstel 36748 (box 3)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https://www.eerstekamer.nl/wetsvoorstel/36748_wet_werkelijk_rendement_box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RegioPurmerend / Raad van State — Koggenland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https://regiopurmerend.nl/raad-van-state-zet-streep-door-besluiten-maar-woningbouw-koggenland-gaat-toch-door/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— perifere winkelgebieden (persbericht)  </w:t>
      </w:r>
      <w:hyperlink r:id="rId24">
        <w:r>
          <w:rPr>
            <w:color w:val="1155CC"/>
            <w:sz w:val="18"/>
            <w:rFonts w:ascii="Calibri" w:hAnsi="Calibri"/>
            <w:u w:val="single"/>
          </w:rPr>
          <w:t xml:space="preserve">https://www.cbre.nl/press-releases/perifere-winkelgebieden-trotseren-retailcrisis-en-blijven-verrassend-populair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keukenendesign.nl — leegstand retailparken  </w:t>
      </w:r>
      <w:hyperlink r:id="rId27">
        <w:r>
          <w:rPr>
            <w:color w:val="1155CC"/>
            <w:sz w:val="18"/>
            <w:rFonts w:ascii="Calibri" w:hAnsi="Calibri"/>
            <w:u w:val="single"/>
          </w:rPr>
          <w:t xml:space="preserve">https://keukenendesign.nl/leegstand-retailparken-blijft-opvallend-laag/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Test-Aankoop (Invest) — Retail Estates  </w:t>
      </w:r>
      <w:hyperlink r:id="rId25">
        <w:r>
          <w:rPr>
            <w:color w:val="1155CC"/>
            <w:sz w:val="18"/>
            <w:rFonts w:ascii="Calibri" w:hAnsi="Calibri"/>
            <w:u w:val="single"/>
          </w:rPr>
          <w:t xml:space="preserve">https://www.test-aankoop.be/invest/beleggen/vastgoed/gereglementeerde-vastgoedvennootschappen/artikels/2026/06/retail-estates-eerste-stap-frankrijk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Vakblad Mannenmode — koopbereidheid (CBS)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https://www.vakbladmannenmode.nl/koopbereidheid-maakt-sprong/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Warehouse Totaal — Prologis bod op Segro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https://www.warehousetotaal.nl/warehousing/logistiek-vastgoed/prologis-doet-miljardenbod-op-segro-maar-logistieke-vastgoedreus-wijst-overname-af/144181/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De Aandeelhouder — Deutsche Bank koersdoelen logistiek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https://www.deaandeelhouder.nl/nieuws/2026/06/25/beursblik-deutsche-bank-verlaagt-koersdoelen-voor-aanbieders-van-logistiek-vastgoed/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Panattoni Park Emmen  </w:t>
      </w:r>
      <w:hyperlink r:id="rId31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https://propertynl.com/Nieuws/Panattoni-ontwikkelt-groots-multifunctioneel-bedrijvencomplex-in-Emmen/d6e9ee42-b453-4e1e-aef7-4b5a3487fa0d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PropertyNL — Humby huurt in Venlo  </w:t>
      </w:r>
      <w:hyperlink r:id="rId32">
        <w:r>
          <w:rPr>
            <w:color w:val="1155CC"/>
            <w:sz w:val="18"/>
            <w:rFonts w:ascii="Calibri" w:hAnsi="Calibri"/>
            <w:u w:val="single"/>
          </w:rPr>
          <w:t xml:space="preserve">https://propertynl.com/Nieuws/Humby-huurt-bijna-30-000-m-logistieke-ruimte-in-Venlo/63cab933-adaa-4d81-b102-bcd555b1b790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 Insider — IVBN renteaftrekbeperking  </w:t>
      </w:r>
      <w:hyperlink r:id="rId23">
        <w:r>
          <w:rPr>
            <w:color w:val="1155CC"/>
            <w:sz w:val="18"/>
            <w:rFonts w:ascii="Calibri" w:hAnsi="Calibri"/>
            <w:u w:val="single"/>
          </w:rPr>
          <w:t xml:space="preserve">https://vastgoedinsider.nl/nederland-heft-ook-in-box-2-vaak-te-veel-belasting-op-vastgoed-europese-commissie-hanteert-lichtere-regels-voor-renteaftrekbeperking/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Heijmans IJsselstein 563 woningen  </w:t>
      </w:r>
      <w:hyperlink r:id="rId18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https://vastgoedjournaal.nl/news/73515/oud-roba-metals-terrein-maakt-plaats-voor-563-woningen-van-heijmans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Vastgoedjournaal — Wibra bedrijfspand Vaassen verkocht  </w:t>
      </w:r>
      <w:hyperlink r:id="rId33">
        <w:r>
          <w:rPr>
            <w:color w:val="1155CC"/>
            <w:sz w:val="18"/>
            <w:rFonts w:ascii="Calibri" w:hAnsi="Calibri"/>
            <w:u w:val="single"/>
          </w:rPr>
          <w:t xml:space="preserve">https://vastgoedjournaal.nl/news/73504/bedrijfspand-in-vaassen-van-wibra-verkocht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eerstekamer.nl/wetsvoorstel/36748_wet_werkelijk_rendement_box" TargetMode="External"/><Relationship Id="rId13" Type="http://schemas.openxmlformats.org/officeDocument/2006/relationships/hyperlink" Target="https://vastgoedjournaal.nl/news/73472/coalitieakkoord-utrecht-80-procent-betaalbare-nieuwbouw-en-doorbraakteam-netcongestie" TargetMode="External"/><Relationship Id="rId14" Type="http://schemas.openxmlformats.org/officeDocument/2006/relationships/hyperlink" Target="https://www.vastgoedmarkt.nl/209650/rotterdams-coalitieakkoord-volgt-braaf-de-regiewet-67-procent-betaalbare-woningen" TargetMode="External"/><Relationship Id="rId15" Type="http://schemas.openxmlformats.org/officeDocument/2006/relationships/hyperlink" Target="https://regiopurmerend.nl/raad-van-state-zet-streep-door-besluiten-maar-woningbouw-koggenland-gaat-toch-door/" TargetMode="External"/><Relationship Id="rId16" Type="http://schemas.openxmlformats.org/officeDocument/2006/relationships/hyperlink" Target="https://news.vesteda.com/vesteda-redemption-volume-set-at--765-million-and-fund-terms-amended/" TargetMode="External"/><Relationship Id="rId17" Type="http://schemas.openxmlformats.org/officeDocument/2006/relationships/hyperlink" Target="https://vastgoedjournaal.nl/news/73539/twee-pensioenfondsen-stappen-in-ouderenfonds-bouwinvest" TargetMode="External"/><Relationship Id="rId18" Type="http://schemas.openxmlformats.org/officeDocument/2006/relationships/hyperlink" Target="https://vastgoedjournaal.nl/news/73515/oud-roba-metals-terrein-maakt-plaats-voor-563-woningen-van-heijmans" TargetMode="External"/><Relationship Id="rId19" Type="http://schemas.openxmlformats.org/officeDocument/2006/relationships/hyperlink" Target="https://vastgoedjournaal.nl/news/73469/harm-janssen-bpd-we-moeten-gewoon-beginnen-met-bouwen" TargetMode="External"/><Relationship Id="rId20" Type="http://schemas.openxmlformats.org/officeDocument/2006/relationships/image" Target="media/image2.png"/><Relationship Id="rId21" Type="http://schemas.openxmlformats.org/officeDocument/2006/relationships/image" Target="media/image3.png"/><Relationship Id="rId22" Type="http://schemas.openxmlformats.org/officeDocument/2006/relationships/image" Target="media/image4.png"/><Relationship Id="rId23" Type="http://schemas.openxmlformats.org/officeDocument/2006/relationships/hyperlink" Target="https://vastgoedinsider.nl/nederland-heft-ook-in-box-2-vaak-te-veel-belasting-op-vastgoed-europese-commissie-hanteert-lichtere-regels-voor-renteaftrekbeperking/" TargetMode="External"/><Relationship Id="rId24" Type="http://schemas.openxmlformats.org/officeDocument/2006/relationships/hyperlink" Target="https://www.cbre.nl/press-releases/perifere-winkelgebieden-trotseren-retailcrisis-en-blijven-verrassend-populair" TargetMode="External"/><Relationship Id="rId25" Type="http://schemas.openxmlformats.org/officeDocument/2006/relationships/hyperlink" Target="https://www.test-aankoop.be/invest/beleggen/vastgoed/gereglementeerde-vastgoedvennootschappen/artikels/2026/06/retail-estates-eerste-stap-frankrijk" TargetMode="External"/><Relationship Id="rId26" Type="http://schemas.openxmlformats.org/officeDocument/2006/relationships/hyperlink" Target="https://www.vakbladmannenmode.nl/koopbereidheid-maakt-sprong/" TargetMode="External"/><Relationship Id="rId27" Type="http://schemas.openxmlformats.org/officeDocument/2006/relationships/hyperlink" Target="https://keukenendesign.nl/leegstand-retailparken-blijft-opvallend-laag/" TargetMode="External"/><Relationship Id="rId28" Type="http://schemas.openxmlformats.org/officeDocument/2006/relationships/image" Target="media/image5.png"/><Relationship Id="rId29" Type="http://schemas.openxmlformats.org/officeDocument/2006/relationships/hyperlink" Target="https://www.warehousetotaal.nl/warehousing/logistiek-vastgoed/prologis-doet-miljardenbod-op-segro-maar-logistieke-vastgoedreus-wijst-overname-af/144181/" TargetMode="External"/><Relationship Id="rId30" Type="http://schemas.openxmlformats.org/officeDocument/2006/relationships/hyperlink" Target="https://www.deaandeelhouder.nl/nieuws/2026/06/25/beursblik-deutsche-bank-verlaagt-koersdoelen-voor-aanbieders-van-logistiek-vastgoed/" TargetMode="External"/><Relationship Id="rId31" Type="http://schemas.openxmlformats.org/officeDocument/2006/relationships/hyperlink" Target="https://propertynl.com/Nieuws/Panattoni-ontwikkelt-groots-multifunctioneel-bedrijvencomplex-in-Emmen/d6e9ee42-b453-4e1e-aef7-4b5a3487fa0d" TargetMode="External"/><Relationship Id="rId32" Type="http://schemas.openxmlformats.org/officeDocument/2006/relationships/hyperlink" Target="https://propertynl.com/Nieuws/Humby-huurt-bijna-30-000-m-logistieke-ruimte-in-Venlo/63cab933-adaa-4d81-b102-bcd555b1b790" TargetMode="External"/><Relationship Id="rId33" Type="http://schemas.openxmlformats.org/officeDocument/2006/relationships/hyperlink" Target="https://vastgoedjournaal.nl/news/73504/bedrijfspand-in-vaassen-van-wibra-verkocht" TargetMode="External"/><Relationship Id="rId3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