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69" w:lineRule="auto"/>
        <w:jc w:val="left"/>
      </w:pPr>
    </w:p>
    <w:p>
      <w:pPr>
        <w:spacing w:before="0" w:after="0" w:line="269" w:lineRule="auto"/>
        <w:jc w:val="left"/>
      </w:pPr>
    </w:p>
    <w:p>
      <w:pPr>
        <w:spacing w:before="0" w:after="40" w:line="269" w:lineRule="auto"/>
        <w:jc w:val="left"/>
      </w:pPr>
      <w:r>
        <w:rPr>
          <w:rFonts w:ascii="Calibri" w:hAnsi="Calibri" w:cs="Calibri"/>
          <w:b/>
          <w:i w:val="0"/>
          <w:color w:val="6B7785"/>
          <w:sz w:val="22"/>
          <w:spacing w:val="60"/>
        </w:rPr>
        <w:t>ЕЖЕНЕДЕЛЬНАЯ АНАЛИТИКА</w:t>
      </w:r>
    </w:p>
    <w:p>
      <w:pPr>
        <w:spacing w:before="0" w:after="40" w:line="269" w:lineRule="auto"/>
        <w:jc w:val="left"/>
      </w:pPr>
      <w:r>
        <w:rPr>
          <w:rFonts w:ascii="Calibri" w:hAnsi="Calibri" w:cs="Calibri"/>
          <w:b/>
          <w:i w:val="0"/>
          <w:color w:val="1F3A5F"/>
          <w:sz w:val="60"/>
        </w:rPr>
        <w:t>Рынок недвижимости</w:t>
      </w:r>
    </w:p>
    <w:p>
      <w:pPr>
        <w:spacing w:before="0" w:after="200" w:line="269" w:lineRule="auto"/>
        <w:jc w:val="left"/>
      </w:pPr>
      <w:r>
        <w:rPr>
          <w:rFonts w:ascii="Calibri" w:hAnsi="Calibri" w:cs="Calibri"/>
          <w:b/>
          <w:i w:val="0"/>
          <w:color w:val="1F3A5F"/>
          <w:sz w:val="60"/>
        </w:rPr>
        <w:t>Нидерландов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3324"/>
        <w:gridCol w:w="3324"/>
        <w:gridCol w:w="3324"/>
      </w:tblGrid>
      <w:tr>
        <w:tc>
          <w:tcPr>
            <w:tcW w:type="dxa" w:w="3175"/>
            <w:shd w:val="clear" w:color="auto" w:fill="16846F"/>
          </w:tcPr>
          <w:p>
            <w:pPr>
              <w:spacing w:after="0"/>
            </w:pPr>
            <w:r>
              <w:rPr>
                <w:sz w:val="6"/>
              </w:rPr>
              <w:t xml:space="preserve"> </w:t>
            </w:r>
          </w:p>
        </w:tc>
        <w:tc>
          <w:tcPr>
            <w:tcW w:type="dxa" w:w="3175"/>
            <w:shd w:val="clear" w:color="auto" w:fill="C0791C"/>
          </w:tcPr>
          <w:p>
            <w:pPr>
              <w:spacing w:after="0"/>
            </w:pPr>
            <w:r>
              <w:rPr>
                <w:sz w:val="6"/>
              </w:rPr>
              <w:t xml:space="preserve"> </w:t>
            </w:r>
          </w:p>
        </w:tc>
        <w:tc>
          <w:tcPr>
            <w:tcW w:type="dxa" w:w="3175"/>
            <w:shd w:val="clear" w:color="auto" w:fill="2C5F8A"/>
          </w:tcPr>
          <w:p>
            <w:pPr>
              <w:spacing w:after="0"/>
            </w:pPr>
            <w:r>
              <w:rPr>
                <w:sz w:val="6"/>
              </w:rPr>
              <w:t xml:space="preserve"> </w:t>
            </w:r>
          </w:p>
        </w:tc>
      </w:tr>
    </w:tbl>
    <w:p>
      <w:pPr>
        <w:spacing w:before="0" w:after="160" w:line="269" w:lineRule="auto"/>
        <w:jc w:val="left"/>
      </w:pPr>
    </w:p>
    <w:p>
      <w:pPr>
        <w:spacing w:before="0" w:after="40" w:line="269" w:lineRule="auto"/>
        <w:jc w:val="left"/>
      </w:pPr>
      <w:r>
        <w:rPr>
          <w:rFonts w:ascii="Calibri" w:hAnsi="Calibri" w:cs="Calibri"/>
          <w:b/>
          <w:i w:val="0"/>
          <w:color w:val="222B36"/>
          <w:sz w:val="26"/>
        </w:rPr>
        <w:t xml:space="preserve">Период: </w:t>
      </w:r>
      <w:r>
        <w:rPr>
          <w:rFonts w:ascii="Calibri" w:hAnsi="Calibri" w:cs="Calibri"/>
          <w:b w:val="0"/>
          <w:i w:val="0"/>
          <w:color w:val="222B36"/>
          <w:sz w:val="26"/>
        </w:rPr>
        <w:t>23–30 июня 2026 г.</w:t>
      </w:r>
    </w:p>
    <w:p>
      <w:pPr>
        <w:spacing w:before="0" w:after="40" w:line="269" w:lineRule="auto"/>
        <w:jc w:val="left"/>
      </w:pPr>
      <w:r>
        <w:rPr>
          <w:rFonts w:ascii="Calibri" w:hAnsi="Calibri" w:cs="Calibri"/>
          <w:b/>
          <w:i w:val="0"/>
          <w:color w:val="6B7785"/>
          <w:sz w:val="22"/>
        </w:rPr>
        <w:t xml:space="preserve">Сегменты: </w:t>
      </w:r>
      <w:r>
        <w:rPr>
          <w:rFonts w:ascii="Calibri" w:hAnsi="Calibri" w:cs="Calibri"/>
          <w:b w:val="0"/>
          <w:i w:val="0"/>
          <w:color w:val="6B7785"/>
          <w:sz w:val="22"/>
        </w:rPr>
        <w:t>жилая недвижимость · коммерция (стрит-ритейл) · индустриальная (склады, промзоны)</w:t>
      </w:r>
    </w:p>
    <w:p>
      <w:pPr>
        <w:spacing w:before="40" w:after="280" w:line="269" w:lineRule="auto"/>
        <w:jc w:val="left"/>
      </w:pPr>
      <w:r>
        <w:rPr>
          <w:rFonts w:ascii="Calibri" w:hAnsi="Calibri" w:cs="Calibri"/>
          <w:b w:val="0"/>
          <w:i/>
          <w:color w:val="6B7785"/>
          <w:sz w:val="19"/>
        </w:rPr>
        <w:t>Отчёт сформирован: 30 июня 2026 г.</w:t>
      </w:r>
    </w:p>
    <w:p>
      <w:pPr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1F3A5F"/>
          <w:sz w:val="23"/>
        </w:rPr>
        <w:t>Коротко о неделе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c>
          <w:tcPr>
            <w:tcW w:type="dxa" w:w="9524"/>
            <w:shd w:val="clear" w:color="auto" w:fill="EEF2F6"/>
            <w:tcMar>
              <w:top w:w="140" w:type="dxa"/>
              <w:bottom w:w="14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21"/>
              </w:rPr>
              <w:t>Неделя 23-30 июня выдалась насыщенной по всем трём сегментам. В жилье главный сюжет — институциональные деньги: фонд Bouwinvest для жилья пожилых привлёк новый капитал (committed capital вырос со 130 до 263,5 млн евро), а крупнейший жилищный фонд Vesteda договорился об ограниченном выкупе паёв (765 млн евро вместо первоначальных 4,1 млрд), предотвратив масштабную распродажу арендного жилья; параллельно Утрехт и Роттердам утвердили коалиционные соглашения с жёсткими планками доступного жилья (80% и ~67%). В коммерции CBRE и инвесторы (Retail Estates) подсветили тему недели — периферийные ритейл-парки оказались на удивление устойчивы (вакантность всего 4,4% против 5,5% в среднем по торговой недвижимости). В индустриале доминировала большая корпоративная история: предложение Prologis о покупке Segro (~14,6 млрд евро, отклонено), снижение целевых цен Deutsche Bank по четырём логистическим REIT при сохранении рекомендации «покупать», а также спекулятивная стройка Panattoni в Эммене на 150 000 м2.</w:t>
            </w:r>
          </w:p>
        </w:tc>
      </w:tr>
    </w:tbl>
    <w:p>
      <w:pPr>
        <w:spacing w:before="0" w:after="12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c>
          <w:tcPr>
            <w:tcW w:type="dxa" w:w="9524"/>
            <w:shd w:val="clear" w:color="auto" w:fill="16846F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🏠  Жилая недвижимость</w:t>
            </w:r>
          </w:p>
        </w:tc>
      </w:tr>
    </w:tbl>
    <w:p>
      <w:pPr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105A4C"/>
          <w:sz w:val="23"/>
        </w:rPr>
        <w:t>Изменения в законах и регулировании</w:t>
      </w:r>
    </w:p>
    <w:p>
      <w:pPr>
        <w:spacing w:before="40" w:after="40" w:line="264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6B7785"/>
          <w:sz w:val="21"/>
        </w:rPr>
        <w:t xml:space="preserve">▪  </w:t>
      </w:r>
      <w:r>
        <w:rPr>
          <w:rFonts w:ascii="Calibri" w:hAnsi="Calibri" w:cs="Calibri"/>
          <w:b w:val="0"/>
          <w:i w:val="0"/>
          <w:color w:val="222B36"/>
          <w:sz w:val="21"/>
        </w:rPr>
        <w:t>Сенат (Eerste Kamer — верхняя палата парламента) 30 июня провёл пленарные дебаты по законопроекту 'Wet werkelijk rendement box 3' (закон о налогообложении фактической доходности в режиме налога на капитал физлиц 'box 3'). Для частных арендодателей это важно: вместо нынешней фиктивной доходности предлагается облагать реальный арендный доход ежегодно, а прирост стоимости недвижимости — только при продаже (vermogenswinstbelasting — налог на прирост капитала). Комиссия по финансам (FIN) 23 июня решила снова поставить закон на повестку после дебатов. Голосование может состояться не раньше начала 2027 — Сенат разделён по вопросу обложения 'бумажного' (нереализованного) прироста. Старт нового режима намечен на 1 января 2028.</w:t>
      </w:r>
    </w:p>
    <w:p>
      <w:pPr>
        <w:spacing w:before="0" w:after="8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2026-06-30   •   Источник: Eerste Kamer der Staten-Generaal (wetsvoorstel 36748)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11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40" w:after="40" w:line="264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6B7785"/>
          <w:sz w:val="21"/>
        </w:rPr>
        <w:t xml:space="preserve">▪  </w:t>
      </w:r>
      <w:r>
        <w:rPr>
          <w:rFonts w:ascii="Calibri" w:hAnsi="Calibri" w:cs="Calibri"/>
          <w:b w:val="0"/>
          <w:i w:val="0"/>
          <w:color w:val="222B36"/>
          <w:sz w:val="21"/>
        </w:rPr>
        <w:t>Утрехт (4-й город страны, ~370 тыс. жителей) представил коалиционное соглашение на 2026–2030 (партии PRO Utrecht и D66). По жилью: для всей новой застройки вводится обязательная доля 80% доступного жилья (betaalbare nieuwbouw — социальная плюс средняя аренда и доступная покупка), ежегодно выделяется 12 млн евро на развитие территорий и земельную политику, создаётся рабочая группа по борьбе с перегрузкой электросети (netcongestie). Это более жёсткая планка доступности, чем общенациональные ~⅔, — прямой сигнал застройщикам и арендным инвесторам о структуре будущего предложения.</w:t>
      </w:r>
    </w:p>
    <w:p>
      <w:pPr>
        <w:spacing w:before="0" w:after="8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2026-06-24   •   Источник: Vastgoedjournaal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12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40" w:after="40" w:line="264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6B7785"/>
          <w:sz w:val="21"/>
        </w:rPr>
        <w:t xml:space="preserve">▪  </w:t>
      </w:r>
      <w:r>
        <w:rPr>
          <w:rFonts w:ascii="Calibri" w:hAnsi="Calibri" w:cs="Calibri"/>
          <w:b w:val="0"/>
          <w:i w:val="0"/>
          <w:color w:val="222B36"/>
          <w:sz w:val="21"/>
        </w:rPr>
        <w:t>Роттердам (2-й город страны, ~670 тыс. жителей) представил коалиционное соглашение 2026–2030 'Vaart maken' (Набрать ход; коалиция PRO, D66, VVD, CDA, Volt). До 2030 года планируется построить 15 000 жилищ, из них 10 000 доступных (около 67% — в соответствии с Regiewet, законом о госрегулировании жилищного строительства). Создаётся строительный фонд (doorbouwfonds) на 111 млн евро, чтобы проекты не останавливались при удорожании стройки; более 1 млрд евро резервируется на жильё, территории, экономику и климат.</w:t>
      </w:r>
    </w:p>
    <w:p>
      <w:pPr>
        <w:spacing w:before="0" w:after="8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2026-06-26   •   Источник: Vastgoedmarkt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13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40" w:after="40" w:line="264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6B7785"/>
          <w:sz w:val="21"/>
        </w:rPr>
        <w:t xml:space="preserve">▪  </w:t>
      </w:r>
      <w:r>
        <w:rPr>
          <w:rFonts w:ascii="Calibri" w:hAnsi="Calibri" w:cs="Calibri"/>
          <w:b w:val="0"/>
          <w:i w:val="0"/>
          <w:color w:val="222B36"/>
          <w:sz w:val="21"/>
        </w:rPr>
        <w:t>Государственный совет (Raad van State — высший административный суд) 24 июня аннулировал план застройки (bestemmingsplan) и экологическое разрешение для жилого проекта Koggenland в Пюрмеренде из-за недостаточного обоснования расчёта парковочного спроса. При этом стройка продолжится: суд оставил в силе правовые последствия решений, поскольку муниципалитет провёл новое исследование парковки. Проект — 64 жилья (53 социальных арендных + 11 средней аренды, middenhuur). Урок для девелоперов: процедурные дефекты ведут к отмене, но устранимые недочёты не обязательно останавливают стройку.</w:t>
      </w:r>
    </w:p>
    <w:p>
      <w:pPr>
        <w:spacing w:before="0" w:after="8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2026-06-25   •   Источник: Raad van State / RegioPurmerend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14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105A4C"/>
          <w:sz w:val="23"/>
        </w:rPr>
        <w:t>Новости</w:t>
      </w:r>
    </w:p>
    <w:p>
      <w:pPr>
        <w:spacing w:before="40" w:after="40" w:line="264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6B7785"/>
          <w:sz w:val="21"/>
        </w:rPr>
        <w:t xml:space="preserve">▪  </w:t>
      </w:r>
      <w:r>
        <w:rPr>
          <w:rFonts w:ascii="Calibri" w:hAnsi="Calibri" w:cs="Calibri"/>
          <w:b w:val="0"/>
          <w:i w:val="0"/>
          <w:color w:val="222B36"/>
          <w:sz w:val="21"/>
        </w:rPr>
        <w:t>На внеочередном собрании акционеров (BAVA) 26 июня фонд Vesteda — один из крупнейших в Нидерландах институциональных инвесторов в жильё (портфель ~10,8 млрд евро, около 28 000 арендных квартир) — установил итоговый объём заявок на выкуп паёв (redemptievolume) на уровне 765 млн евро. Это резкое снижение по сравнению с первоначальными заявками инвесторов (в основном пенсионных фондов) на 4,1 млрд евро от 2 марта. Теперь инвесторы могут подавать заявки на выход ежегодно (раньше — раз в семь лет), а фонд будет давать ликвидность 'по мере возможности' (best-effort) в размере 7,5% капитала в год. Сделка предотвратила масштабную распродажу арендного жилья.</w:t>
      </w:r>
    </w:p>
    <w:p>
      <w:pPr>
        <w:spacing w:before="0" w:after="8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2026-06-26   •   Источник: Vesteda Newsroom / NOS / FD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15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40" w:after="40" w:line="264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6B7785"/>
          <w:sz w:val="21"/>
        </w:rPr>
        <w:t xml:space="preserve">▪  </w:t>
      </w:r>
      <w:r>
        <w:rPr>
          <w:rFonts w:ascii="Calibri" w:hAnsi="Calibri" w:cs="Calibri"/>
          <w:b w:val="0"/>
          <w:i w:val="0"/>
          <w:color w:val="222B36"/>
          <w:sz w:val="21"/>
        </w:rPr>
        <w:t>Bouwinvest (один из крупнейших нидерландских управляющих недвижимостью для пенсионных фондов, входит в группу bpfBOUW, под управлением ~14 млрд евро) привлёк новый капитал в фонд жилья для пожилых Dutch Senior Living Impact Fund. В фонд вошли пенсионный фонд PME (металлургия/электротехника) и ещё один нидерландский пенсионный фонд — теперь у фонда шесть институциональных инвесторов вместо четырёх. Объём обязательств (committed capital — заявленный капитал к вложению) вырос со 130 млн евро на первом закрытии до 263,5 млн евро — это более чем удвоение. Редкий позитивный сигнал притока денег в арендное жильё на фоне общего оттока капитала у институционалов; деньги идут в сегмент healthcare-жилья (жильё с уходом/для пожилых).</w:t>
      </w:r>
    </w:p>
    <w:p>
      <w:pPr>
        <w:spacing w:before="0" w:after="8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2026-06-30   •   Источник: Vastgoedjournaal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16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40" w:after="40" w:line="264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6B7785"/>
          <w:sz w:val="21"/>
        </w:rPr>
        <w:t xml:space="preserve">▪  </w:t>
      </w:r>
      <w:r>
        <w:rPr>
          <w:rFonts w:ascii="Calibri" w:hAnsi="Calibri" w:cs="Calibri"/>
          <w:b w:val="0"/>
          <w:i w:val="0"/>
          <w:color w:val="222B36"/>
          <w:sz w:val="21"/>
        </w:rPr>
        <w:t>Девелопер Heijmans (крупная биржевая нидерландская строительно-девелоперская компания, котируется на Euronext Amsterdam) и муниципалитет IJsselstein (под Утрехтом) подписали антериорное соглашение (anterieure overeenkomst — договор о застройке между девелопером и муниципалитетом) на 563 жилища на бывшей промплощадке Roba Metals (~6 га). Структура: 27% социальная аренда, 37% средняя аренда и доступная покупка, 36% более дорогое жильё. Решение совета ожидается в 3-4 кв. 2026, продажа первых жилищ — с 2028 года. Стройку обеспечат коллективной энергосистемой (тепловой насос, солнечные панели, аккумуляторы) на фоне перегруженной электросети.</w:t>
      </w:r>
    </w:p>
    <w:p>
      <w:pPr>
        <w:spacing w:before="0" w:after="8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2026-06-29   •   Источник: Vastgoedjournaal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17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40" w:after="40" w:line="264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6B7785"/>
          <w:sz w:val="21"/>
        </w:rPr>
        <w:t xml:space="preserve">▪  </w:t>
      </w:r>
      <w:r>
        <w:rPr>
          <w:rFonts w:ascii="Calibri" w:hAnsi="Calibri" w:cs="Calibri"/>
          <w:b w:val="0"/>
          <w:i w:val="0"/>
          <w:color w:val="222B36"/>
          <w:sz w:val="21"/>
        </w:rPr>
        <w:t>Harm Janssen, гендиректор BPD (Bouwfonds Property Development — один из крупнейших девелоперов жилья в Нидерландах и Германии, дочерняя структура Rabobank), в интервью заявил: нужно просто начинать строить. Его тезис — дефицит инфраструктуры (он оценил потребность примерно в 80 млрд евро) и перегрузка электросетей не должны быть поводом годами держать крупные площадки замороженными, «сигналы зелёные». Он также призвал пересмотреть требование, по которому две трети жилья должны навсегда оставаться доступными, и сделать ставку на стандартизацию, чтобы ускорить вывод жилья на рынок.</w:t>
      </w:r>
    </w:p>
    <w:p>
      <w:pPr>
        <w:spacing w:before="0" w:after="8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2026-06-24   •   Источник: Vastgoedjournaal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18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c>
          <w:tcPr>
            <w:tcW w:type="dxa" w:w="9524"/>
            <w:shd w:val="clear" w:color="auto" w:fill="EAF3EE"/>
            <w:tcMar>
              <w:top w:w="140" w:type="dxa"/>
              <w:bottom w:w="140" w:type="dxa"/>
              <w:start w:w="220" w:type="dxa"/>
              <w:end w:w="220" w:type="dxa"/>
              <w:left w:w="220" w:type="dxa"/>
              <w:right w:w="220" w:type="dxa"/>
            </w:tcMar>
            <w:tcBorders>
              <w:left w:val="single" w:sz="36" w:space="0" w:color="16846F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/>
                <w:i w:val="0"/>
                <w:color w:val="105A4C"/>
                <w:sz w:val="18"/>
              </w:rPr>
              <w:t>ВЫВОД</w:t>
            </w:r>
          </w:p>
          <w:p>
            <w:pPr>
              <w:spacing w:after="0" w:line="269" w:lineRule="auto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21"/>
              </w:rPr>
              <w:t>Неделя для жилья богата на институциональные сигналы: Vesteda удержала ситуацию с выкупом паёв и избежала распродажи, а Bouwinvest наоборот привлёк свежий капитал в жильё для пожилых — два разнонаправленных, но в сумме стабилизирующих сюжета. Города (Утрехт, Роттердам) закрепляют высокие доли доступного жилья, тогда как девелоперы (BPD) лоббируют смягчение требований доступности и ускорение строительства — это ключевое напряжение сезона. Отдельных пунктов по trends и stats на этой неделе не набралось, но новостной и законодательный поток был плотным.</w:t>
            </w:r>
          </w:p>
        </w:tc>
      </w:tr>
    </w:tbl>
    <w:p>
      <w:pPr>
        <w:spacing w:before="0" w:after="12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c>
          <w:tcPr>
            <w:tcW w:type="dxa" w:w="9524"/>
            <w:shd w:val="clear" w:color="auto" w:fill="C0791C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🏪  Коммерция (стрит-ритейл)</w:t>
            </w:r>
          </w:p>
        </w:tc>
      </w:tr>
    </w:tbl>
    <w:p>
      <w:pPr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8A5510"/>
          <w:sz w:val="23"/>
        </w:rPr>
        <w:t>Изменения в законах и регулировании</w:t>
      </w:r>
    </w:p>
    <w:p>
      <w:pPr>
        <w:spacing w:before="40" w:after="40" w:line="264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6B7785"/>
          <w:sz w:val="21"/>
        </w:rPr>
        <w:t xml:space="preserve">▪  </w:t>
      </w:r>
      <w:r>
        <w:rPr>
          <w:rFonts w:ascii="Calibri" w:hAnsi="Calibri" w:cs="Calibri"/>
          <w:b w:val="0"/>
          <w:i w:val="0"/>
          <w:color w:val="222B36"/>
          <w:sz w:val="21"/>
        </w:rPr>
        <w:t>26 июня отраслевая ассоциация институциональных инвесторов в недвижимость IVBN призвала правительство не откладывать до 2032 года смягчение правила ограничения вычета процентов (earningsstrippingmaatregel — лимит на вычет процентных расходов из налогооблагаемой прибыли). Поводом стало предложение Еврокомиссии от 24 июня: с 2029 года вычет процентов до 30% от налоговой EBITDA, с 2032 года — порог 3 млн евро. Нынешние нидерландские правила жёстче: лимит 24,5% EBITDA при пороге всего 1 млн евро, что непропорционально бьёт по инвесторам со структурой через BV (частную компанию). Высокая налоговая нагрузка — одна из причин ухода капитала из нидерландской недвижимости.</w:t>
      </w:r>
    </w:p>
    <w:p>
      <w:pPr>
        <w:spacing w:before="0" w:after="8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2026-06-26   •   Источник: Vastgoed Insider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19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8A5510"/>
          <w:sz w:val="23"/>
        </w:rPr>
        <w:t>Новости</w:t>
      </w:r>
    </w:p>
    <w:p>
      <w:pPr>
        <w:spacing w:before="40" w:after="40" w:line="264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6B7785"/>
          <w:sz w:val="21"/>
        </w:rPr>
        <w:t xml:space="preserve">▪  </w:t>
      </w:r>
      <w:r>
        <w:rPr>
          <w:rFonts w:ascii="Calibri" w:hAnsi="Calibri" w:cs="Calibri"/>
          <w:b w:val="0"/>
          <w:i w:val="0"/>
          <w:color w:val="222B36"/>
          <w:sz w:val="21"/>
        </w:rPr>
        <w:t>CBRE (крупнейший в мире консультант, оценщик и брокер коммерческой недвижимости; в Нидерландах один из ведущих игроков) выпустил отчёт о периферийных ритейл-парках (retailparken — крупноформатные торговые парки на окраинах: мебель, товары для дома, DIY/строймаркеты). Вывод: пока центры городов под давлением e-commerce и банкротств, периферийные парки остаются устойчивыми. Вакантность (leegstand — доля пустующих площадей) на начало 2026 — всего 4,4% против 5,5% в среднем по торговой недвижимости. Из 194 обследованных парков в 73 нет ни одной пустующей единицы. Несмотря на банкротство Carpetright и проблемы Kwantum и Leen Bakker, освободившиеся помещения быстро сдаются заново. CBRE подаёт ритейл-парки как стабильный инвестиционный продукт.</w:t>
      </w:r>
    </w:p>
    <w:p>
      <w:pPr>
        <w:spacing w:before="0" w:after="8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2026-06-23   •   Источник: CBRE (пресс-релиз 'Perifere winkelgebieden trotseren retailcrisis en blijven verrassend populair')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20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40" w:after="40" w:line="264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6B7785"/>
          <w:sz w:val="21"/>
        </w:rPr>
        <w:t xml:space="preserve">▪  </w:t>
      </w:r>
      <w:r>
        <w:rPr>
          <w:rFonts w:ascii="Calibri" w:hAnsi="Calibri" w:cs="Calibri"/>
          <w:b w:val="0"/>
          <w:i w:val="0"/>
          <w:color w:val="222B36"/>
          <w:sz w:val="21"/>
        </w:rPr>
        <w:t>Retail Estates (бельгийская биржевая компания недвижимости со статусом GVV/SIR — регулируемого фонда-REIT; специализируется на периферийных ритейл-парках в Бенилюксе, Euronext Brussels) сделала первый шаг во Францию, купив ритейл-парк под Парижем. Для нидерландского рынка важно, что Нидерланды теперь дают 38% портфеля компании (Бельгия — 62%). По годовым результатам заполняемость (occupancy) выросла до 97,8%, чистый арендный доход +2,5%, стоимость портфеля +1,6%, дивиденд повышен до 5,20 евро брутто (22-й год роста подряд, доходность ~7,5% брутто). Иллюстрация тезиса недели: инвесторы воспринимают ритейл-парки как устойчивый высокодоходный сегмент. (Сама сделка во Франции закрыта в апреле 2026; обзорная статья вышла 23 июня — в окне.)</w:t>
      </w:r>
    </w:p>
    <w:p>
      <w:pPr>
        <w:spacing w:before="0" w:after="8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2026-06-23   •   Источник: Test-Aankoop/Test-Achats (Invest)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21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8A5510"/>
          <w:sz w:val="23"/>
        </w:rPr>
        <w:t>Тренды</w:t>
      </w:r>
    </w:p>
    <w:p>
      <w:pPr>
        <w:spacing w:before="40" w:after="40" w:line="264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6B7785"/>
          <w:sz w:val="21"/>
        </w:rPr>
        <w:t xml:space="preserve">▪  </w:t>
      </w:r>
      <w:r>
        <w:rPr>
          <w:rFonts w:ascii="Calibri" w:hAnsi="Calibri" w:cs="Calibri"/>
          <w:b w:val="0"/>
          <w:i w:val="0"/>
          <w:color w:val="222B36"/>
          <w:sz w:val="21"/>
        </w:rPr>
        <w:t>В отраслевой прессе ритейла (vakbladmannenmode.nl) вышел материал о резком скачке готовности потребителей к покупкам (koopbereidheid — субиндекс потребительского доверия, отражающий готовность к крупным покупкам). По данным CBS (Centraal Bureau voor de Statistiek — статистическое бюро), koopbereidheid поднялась с -28 в мае до -22 в июне — крупнейшее месячное улучшение за всю историю наблюдений; общий индекс доверия вырос с -46 до -39 (сильнейший рост за 11+ лет). Но издание подчёркивает: для ритейлеров это лишь осторожно позитивный сигнал — уровни всё ещё глубоко в минусе и ниже долгосрочного среднего (-9), быстрого всплеска трат ждать не стоит. Первичный релиз CBS — 22 июня (вне окна), отраслевая интерпретация — 29 июня (в окне).</w:t>
      </w:r>
    </w:p>
    <w:p>
      <w:pPr>
        <w:spacing w:before="0" w:after="8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2026-06-29   •   Источник: Vakblad Mannenmode (на основе данных CBS)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22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8A5510"/>
          <w:sz w:val="23"/>
        </w:rPr>
        <w:t>Статистика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5669"/>
        <w:gridCol w:w="3855"/>
      </w:tblGrid>
      <w:tr>
        <w:tc>
          <w:tcPr>
            <w:tcW w:type="dxa" w:w="4762"/>
            <w:shd w:val="clear" w:color="auto" w:fill="1F3A5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Показатель</w:t>
            </w:r>
          </w:p>
        </w:tc>
        <w:tc>
          <w:tcPr>
            <w:tcW w:type="dxa" w:w="4762"/>
            <w:shd w:val="clear" w:color="auto" w:fill="1F3A5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Значение / динамика</w:t>
            </w:r>
          </w:p>
        </w:tc>
      </w:tr>
      <w:tr>
        <w:tc>
          <w:tcPr>
            <w:tcW w:type="dxa" w:w="5669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Ключевая цифра из отчёта CBRE по нидерландским ритейл-паркам (retailparken — периферийные крупноформатные торговые парки): вакантность (leegstand — доля пустующих площадей) на начало 2026 — 4,4%. Это ниже фрикционного уровня (минимально неизбежная вакантность при нормальной ротации арендаторов) и существенно ниже среднего по всей торговой недвижимости страны (5,5%). Обследовано 194 парка, в 73 пустующих единиц нет вообще. Цифра подтверждена перепечаткой в отраслевых СМИ в окне отчётной недели (24 июня).</w:t>
            </w:r>
          </w:p>
        </w:tc>
        <w:tc>
          <w:tcPr>
            <w:tcW w:type="dxa" w:w="3855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вакантность ритейл-парков 4,4% (среднее по торговой недвижимости 5,5%); 194 парка, 73 без вакантности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5"/>
              </w:rPr>
              <w:t>CBRE 'Stabiliteit in Nederlandse Retailparken'; перепечатка keukenendesign.nl</w:t>
            </w:r>
            <w:hyperlink r:id="rId23">
              <w:r>
                <w:rPr>
                  <w:color w:val="1155CC"/>
                  <w:sz w:val="15.0"/>
                  <w:rFonts w:ascii="Calibri" w:hAnsi="Calibri"/>
                  <w:u w:val="single"/>
                </w:rPr>
                <w:t xml:space="preserve">  ↗</w:t>
              </w:r>
            </w:hyperlink>
          </w:p>
        </w:tc>
      </w:tr>
    </w:tbl>
    <w:p>
      <w:pPr>
        <w:spacing w:before="0" w:after="4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c>
          <w:tcPr>
            <w:tcW w:type="dxa" w:w="9524"/>
            <w:shd w:val="clear" w:color="auto" w:fill="EAF3EE"/>
            <w:tcMar>
              <w:top w:w="140" w:type="dxa"/>
              <w:bottom w:w="140" w:type="dxa"/>
              <w:start w:w="220" w:type="dxa"/>
              <w:end w:w="220" w:type="dxa"/>
              <w:left w:w="220" w:type="dxa"/>
              <w:right w:w="220" w:type="dxa"/>
            </w:tcMar>
            <w:tcBorders>
              <w:left w:val="single" w:sz="36" w:space="0" w:color="16846F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/>
                <w:i w:val="0"/>
                <w:color w:val="105A4C"/>
                <w:sz w:val="18"/>
              </w:rPr>
              <w:t>ВЫВОД</w:t>
            </w:r>
          </w:p>
          <w:p>
            <w:pPr>
              <w:spacing w:after="0" w:line="269" w:lineRule="auto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21"/>
              </w:rPr>
              <w:t>Главная тема недели в коммерции — устойчивость периферийных ритейл-парков: отчёт CBRE и годовые результаты Retail Estates сошлись в одном выводе — это стабильный, высокодоходный сегмент с очень низкой вакантностью (4,4%), пока центры городов страдают. Отдельный позитивный нюанс — рекордный месячный рост готовности потребителей к покупкам, хотя уровни всё ещё глубоко отрицательные. На законодательном фронте IVBN бьётся за смягчение налога на проценты как условие возврата капитала в недвижимость. По стрит-ритейлу в узком смысле (магазины в центрах городов) новых сделок на неделе почти не было — фокус сместился к периферийным форматам.</w:t>
            </w:r>
          </w:p>
        </w:tc>
      </w:tr>
    </w:tbl>
    <w:p>
      <w:pPr>
        <w:spacing w:before="0" w:after="12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c>
          <w:tcPr>
            <w:tcW w:type="dxa" w:w="9524"/>
            <w:shd w:val="clear" w:color="auto" w:fill="2C5F8A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🏭  Индустриал (склады, промзоны)</w:t>
            </w:r>
          </w:p>
        </w:tc>
      </w:tr>
    </w:tbl>
    <w:p>
      <w:pPr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1E4466"/>
          <w:sz w:val="23"/>
        </w:rPr>
        <w:t>Новости</w:t>
      </w:r>
    </w:p>
    <w:p>
      <w:pPr>
        <w:spacing w:before="40" w:after="40" w:line="264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6B7785"/>
          <w:sz w:val="21"/>
        </w:rPr>
        <w:t xml:space="preserve">▪  </w:t>
      </w:r>
      <w:r>
        <w:rPr>
          <w:rFonts w:ascii="Calibri" w:hAnsi="Calibri" w:cs="Calibri"/>
          <w:b w:val="0"/>
          <w:i w:val="0"/>
          <w:color w:val="222B36"/>
          <w:sz w:val="21"/>
        </w:rPr>
        <w:t>Американская Prologis (крупнейшая в мире публичная компания логистической недвижимости) сделала предложение о поглощении британской Segro примерно за 14,6 млрд евро (~12,6 млрд фунтов): 0,084 новой акции Prologis за акцию Segro, то есть 925 пенсов за бумагу — премия 24,6% к цене до объявления. Цель — создать 'крупнейшую в мире котируемую логистическую недвижимость'. Совет Segro единогласно отклонил оферту как заниженную и оппортунистическую (попытку нажиться на сниженных оценках европейской недвижимости). По британскому кодексу о поглощениях Prologis до 22 июля должна либо подтвердить твёрдое намерение, либо отказаться. Для Нидерландов значимо: у Prologis крупное присутствие в стране, а сделка задаёт тон оценкам всего европейского (и нидерландского) логистического сектора.</w:t>
      </w:r>
    </w:p>
    <w:p>
      <w:pPr>
        <w:spacing w:before="0" w:after="8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2026-06-25   •   Источник: Warehouse Totaal / PropertyNL / Bloomberg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24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40" w:after="40" w:line="264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6B7785"/>
          <w:sz w:val="21"/>
        </w:rPr>
        <w:t xml:space="preserve">▪  </w:t>
      </w:r>
      <w:r>
        <w:rPr>
          <w:rFonts w:ascii="Calibri" w:hAnsi="Calibri" w:cs="Calibri"/>
          <w:b w:val="0"/>
          <w:i w:val="0"/>
          <w:color w:val="222B36"/>
          <w:sz w:val="21"/>
        </w:rPr>
        <w:t>25 июня Deutsche Bank (крупный немецкий инвестбанк) понизил целевые цены (koersdoel — ориентир справедливой цены акции) для четырёх ведущих европейских компаний логистической недвижимости, активно работающих и в Нидерландах, но сохранил по всем рекомендацию 'покупать'. Цели: CTP (чешская группа, крупнейший в континентальной Европе владелец логистических парков, ~40% активов в Нидерландах) — с 22,00 до 19,00 евро; WDP (Warehouses De Pauw, бельгийско-нидерландский логистический REIT) — с 30,00 до 25,00 евро; Montea (бельгийский REIT, ~40% портфеля в Нидерландах) — с 85,00 до 73,00 евро; VGP (бельгийский девелопер логистических парков) — со 120,00 до 100,00 евро (фаворит банка). Логика: повышенные ожидания по ставкам уже в цене, оценки привлекательные, потенциал роста выше риска снижения; поддержку даёт заявка Prologis на Segro.</w:t>
      </w:r>
    </w:p>
    <w:p>
      <w:pPr>
        <w:spacing w:before="0" w:after="8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2026-06-25   •   Источник: De Aandeelhouder / IEX / The Asset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25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40" w:after="40" w:line="264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6B7785"/>
          <w:sz w:val="21"/>
        </w:rPr>
        <w:t xml:space="preserve">▪  </w:t>
      </w:r>
      <w:r>
        <w:rPr>
          <w:rFonts w:ascii="Calibri" w:hAnsi="Calibri" w:cs="Calibri"/>
          <w:b w:val="0"/>
          <w:i w:val="0"/>
          <w:color w:val="222B36"/>
          <w:sz w:val="21"/>
        </w:rPr>
        <w:t>Девелопер Panattoni (один из крупнейших в мире игроков рынка логистической и промышленной недвижимости, активен в Нидерландах и Бельгии) начал спекулятивную застройку (стройку без заранее найденного арендатора) комплекса Panattoni Park Emmen площадью около 150 000 м2 (как 22 футбольных поля) на промзоне De Tweeling у автострады A37 в сторону Германии. Собственные инвестиции Panattoni превышают 100 млн евро, ещё примерно столько же, как ожидается, вложат будущие арендаторы в дооснащение. Арендатор пока не объявлен: ставка на то, что крупные международные производители предпочитают готовые помещения и скорость. Сдача — март 2028. Panattoni называет это крупнейшим коммерческим зданием на севере Нидерландов.</w:t>
      </w:r>
    </w:p>
    <w:p>
      <w:pPr>
        <w:spacing w:before="0" w:after="8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2026-06-23   •   Источник: PropertyNL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26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40" w:after="40" w:line="264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6B7785"/>
          <w:sz w:val="21"/>
        </w:rPr>
        <w:t xml:space="preserve">▪  </w:t>
      </w:r>
      <w:r>
        <w:rPr>
          <w:rFonts w:ascii="Calibri" w:hAnsi="Calibri" w:cs="Calibri"/>
          <w:b w:val="0"/>
          <w:i w:val="0"/>
          <w:color w:val="222B36"/>
          <w:sz w:val="21"/>
        </w:rPr>
        <w:t>Логистический оператор Humby (провайдер, уже имеющий более 25 000 м2 складов в регионе Венло) заключил долгосрочный договор аренды на 29 779 м2 по адресу Dirk Hartogweg 8 на промзоне Trade Port в Венло. Арендодатель — фонд CCP 5 под управлением Tristan Capital Partners (крупный международный инвестор в недвижимость), asset-менеджмент ведёт ARC Real Estate Partners; ранее объект арендовала Nunner Logistics. Интересы сторон представляли Boek en Offermans Makelaars, JLL и Cushman &amp; Wakefield. Сделка показывает сохраняющийся спрос на крупные склады в лимбургском логистическом коридоре.</w:t>
      </w:r>
    </w:p>
    <w:p>
      <w:pPr>
        <w:spacing w:before="0" w:after="8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2026-06-26   •   Источник: PropertyNL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27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40" w:after="40" w:line="264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6B7785"/>
          <w:sz w:val="21"/>
        </w:rPr>
        <w:t xml:space="preserve">▪  </w:t>
      </w:r>
      <w:r>
        <w:rPr>
          <w:rFonts w:ascii="Calibri" w:hAnsi="Calibri" w:cs="Calibri"/>
          <w:b w:val="0"/>
          <w:i w:val="0"/>
          <w:color w:val="222B36"/>
          <w:sz w:val="21"/>
        </w:rPr>
        <w:t>Компания Base Investments от имени международного инвестора Patron Capital купила бизнес- и офисное помещение по адресу Griftsemolenweg 38 в Ваассене у Wibra Holding (нидерландская сеть бюджетных розничных магазинов, владелец объекта). Пример того, как операторы монетизируют собственную недвижимость, а инвесторы наращивают портфели индустриальных/складских активов (структура похожа на sale-and-leaseback — продажу с обратной арендой, когда компания продаёт недвижимость и остаётся в ней арендатором; точная формулировка в открытой части не подтверждена). Площадь и сумма сделки в открытой части не раскрыты (полный текст за пейволлом).</w:t>
      </w:r>
    </w:p>
    <w:p>
      <w:pPr>
        <w:spacing w:before="0" w:after="8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2026-06-26   •   Источник: Vastgoedjournaal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28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c>
          <w:tcPr>
            <w:tcW w:type="dxa" w:w="9524"/>
            <w:shd w:val="clear" w:color="auto" w:fill="EAF3EE"/>
            <w:tcMar>
              <w:top w:w="140" w:type="dxa"/>
              <w:bottom w:w="140" w:type="dxa"/>
              <w:start w:w="220" w:type="dxa"/>
              <w:end w:w="220" w:type="dxa"/>
              <w:left w:w="220" w:type="dxa"/>
              <w:right w:w="220" w:type="dxa"/>
            </w:tcMar>
            <w:tcBorders>
              <w:left w:val="single" w:sz="36" w:space="0" w:color="16846F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/>
                <w:i w:val="0"/>
                <w:color w:val="105A4C"/>
                <w:sz w:val="18"/>
              </w:rPr>
              <w:t>ВЫВОД</w:t>
            </w:r>
          </w:p>
          <w:p>
            <w:pPr>
              <w:spacing w:after="0" w:line="269" w:lineRule="auto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21"/>
              </w:rPr>
              <w:t>Индустриал стал самым ярким сегментом недели благодаря большой корпоративной истории: предложение Prologis о покупке Segro (~14,6 млрд евро, отклонено) переоценивает весь европейский логистический сектор, а Deutsche Bank на этом фоне срезал целевые цены четырёх ведущих REIT, но рекомендацию 'покупать' сохранил — рынок видит привлекательные оценки. На земле спрос жив: Panattoni рискнула спекулятивной стройкой на 150 000 м2 в Эммене, а Humby арендовала почти 30 000 м2 в Венло. Отдельная сделка в Ваассене (Patron Capital/Wibra) указывает на интерес к монетизации корпоративной недвижимости, хотя детали закрыты пейволлом. Законодательных и статистических пунктов по сегменту на этой неделе не набралось.</w:t>
            </w:r>
          </w:p>
        </w:tc>
      </w:tr>
    </w:tbl>
    <w:p>
      <w:pPr>
        <w:spacing w:before="0" w:after="12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c>
          <w:tcPr>
            <w:tcW w:type="dxa" w:w="9524"/>
            <w:shd w:val="clear" w:color="auto" w:fill="5D6D7E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🔗  Источники</w:t>
            </w:r>
          </w:p>
        </w:tc>
      </w:tr>
    </w:tbl>
    <w:p>
      <w:pPr>
        <w:spacing w:before="0" w:after="40" w:line="269" w:lineRule="auto"/>
        <w:jc w:val="left"/>
      </w:pPr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Vastgoedjournaal — Bouwinvest ouderenfonds  </w:t>
      </w:r>
      <w:hyperlink r:id="rId16">
        <w:r>
          <w:rPr>
            <w:color w:val="1155CC"/>
            <w:sz w:val="18"/>
            <w:rFonts w:ascii="Calibri" w:hAnsi="Calibri"/>
            <w:u w:val="single"/>
          </w:rPr>
          <w:t xml:space="preserve">https://vastgoedjournaal.nl/news/73539/twee-pensioenfondsen-stappen-in-ouderenfonds-bouwinvest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Vesteda Newsroom — redemption volume  </w:t>
      </w:r>
      <w:hyperlink r:id="rId15">
        <w:r>
          <w:rPr>
            <w:color w:val="1155CC"/>
            <w:sz w:val="18"/>
            <w:rFonts w:ascii="Calibri" w:hAnsi="Calibri"/>
            <w:u w:val="single"/>
          </w:rPr>
          <w:t xml:space="preserve">https://news.vesteda.com/vesteda-redemption-volume-set-at--765-million-and-fund-terms-amended/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Vastgoedmarkt — coalitieakkoord Rotterdam  </w:t>
      </w:r>
      <w:hyperlink r:id="rId13">
        <w:r>
          <w:rPr>
            <w:color w:val="1155CC"/>
            <w:sz w:val="18"/>
            <w:rFonts w:ascii="Calibri" w:hAnsi="Calibri"/>
            <w:u w:val="single"/>
          </w:rPr>
          <w:t xml:space="preserve">https://www.vastgoedmarkt.nl/209650/rotterdams-coalitieakkoord-volgt-braaf-de-regiewet-67-procent-betaalbare-woningen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Vastgoedjournaal — coalitieakkoord Utrecht  </w:t>
      </w:r>
      <w:hyperlink r:id="rId12">
        <w:r>
          <w:rPr>
            <w:color w:val="1155CC"/>
            <w:sz w:val="18"/>
            <w:rFonts w:ascii="Calibri" w:hAnsi="Calibri"/>
            <w:u w:val="single"/>
          </w:rPr>
          <w:t xml:space="preserve">https://vastgoedjournaal.nl/news/73472/coalitieakkoord-utrecht-80-procent-betaalbare-nieuwbouw-en-doorbraakteam-netcongestie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Eerste Kamer — wetsvoorstel 36748 (box 3)  </w:t>
      </w:r>
      <w:hyperlink r:id="rId11">
        <w:r>
          <w:rPr>
            <w:color w:val="1155CC"/>
            <w:sz w:val="18"/>
            <w:rFonts w:ascii="Calibri" w:hAnsi="Calibri"/>
            <w:u w:val="single"/>
          </w:rPr>
          <w:t xml:space="preserve">https://www.eerstekamer.nl/wetsvoorstel/36748_wet_werkelijk_rendement_box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RegioPurmerend / Raad van State — Koggenland  </w:t>
      </w:r>
      <w:hyperlink r:id="rId14">
        <w:r>
          <w:rPr>
            <w:color w:val="1155CC"/>
            <w:sz w:val="18"/>
            <w:rFonts w:ascii="Calibri" w:hAnsi="Calibri"/>
            <w:u w:val="single"/>
          </w:rPr>
          <w:t xml:space="preserve">https://regiopurmerend.nl/raad-van-state-zet-streep-door-besluiten-maar-woningbouw-koggenland-gaat-toch-door/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CBRE — perifere winkelgebieden (persbericht)  </w:t>
      </w:r>
      <w:hyperlink r:id="rId20">
        <w:r>
          <w:rPr>
            <w:color w:val="1155CC"/>
            <w:sz w:val="18"/>
            <w:rFonts w:ascii="Calibri" w:hAnsi="Calibri"/>
            <w:u w:val="single"/>
          </w:rPr>
          <w:t xml:space="preserve">https://www.cbre.nl/press-releases/perifere-winkelgebieden-trotseren-retailcrisis-en-blijven-verrassend-populair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keukenendesign.nl — leegstand retailparken  </w:t>
      </w:r>
      <w:hyperlink r:id="rId23">
        <w:r>
          <w:rPr>
            <w:color w:val="1155CC"/>
            <w:sz w:val="18"/>
            <w:rFonts w:ascii="Calibri" w:hAnsi="Calibri"/>
            <w:u w:val="single"/>
          </w:rPr>
          <w:t xml:space="preserve">https://keukenendesign.nl/leegstand-retailparken-blijft-opvallend-laag/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Test-Aankoop (Invest) — Retail Estates  </w:t>
      </w:r>
      <w:hyperlink r:id="rId21">
        <w:r>
          <w:rPr>
            <w:color w:val="1155CC"/>
            <w:sz w:val="18"/>
            <w:rFonts w:ascii="Calibri" w:hAnsi="Calibri"/>
            <w:u w:val="single"/>
          </w:rPr>
          <w:t xml:space="preserve">https://www.test-aankoop.be/invest/beleggen/vastgoed/gereglementeerde-vastgoedvennootschappen/artikels/2026/06/retail-estates-eerste-stap-frankrijk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Vakblad Mannenmode — koopbereidheid (CBS)  </w:t>
      </w:r>
      <w:hyperlink r:id="rId22">
        <w:r>
          <w:rPr>
            <w:color w:val="1155CC"/>
            <w:sz w:val="18"/>
            <w:rFonts w:ascii="Calibri" w:hAnsi="Calibri"/>
            <w:u w:val="single"/>
          </w:rPr>
          <w:t xml:space="preserve">https://www.vakbladmannenmode.nl/koopbereidheid-maakt-sprong/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Warehouse Totaal — Prologis bod op Segro  </w:t>
      </w:r>
      <w:hyperlink r:id="rId24">
        <w:r>
          <w:rPr>
            <w:color w:val="1155CC"/>
            <w:sz w:val="18"/>
            <w:rFonts w:ascii="Calibri" w:hAnsi="Calibri"/>
            <w:u w:val="single"/>
          </w:rPr>
          <w:t xml:space="preserve">https://www.warehousetotaal.nl/warehousing/logistiek-vastgoed/prologis-doet-miljardenbod-op-segro-maar-logistieke-vastgoedreus-wijst-overname-af/144181/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De Aandeelhouder — Deutsche Bank koersdoelen logistiek  </w:t>
      </w:r>
      <w:hyperlink r:id="rId25">
        <w:r>
          <w:rPr>
            <w:color w:val="1155CC"/>
            <w:sz w:val="18"/>
            <w:rFonts w:ascii="Calibri" w:hAnsi="Calibri"/>
            <w:u w:val="single"/>
          </w:rPr>
          <w:t xml:space="preserve">https://www.deaandeelhouder.nl/nieuws/2026/06/25/beursblik-deutsche-bank-verlaagt-koersdoelen-voor-aanbieders-van-logistiek-vastgoed/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PropertyNL — Panattoni Park Emmen  </w:t>
      </w:r>
      <w:hyperlink r:id="rId26">
        <w:r>
          <w:rPr>
            <w:color w:val="1155CC"/>
            <w:sz w:val="18"/>
            <w:rFonts w:ascii="Calibri" w:hAnsi="Calibri"/>
            <w:u w:val="single"/>
          </w:rPr>
          <w:t xml:space="preserve">https://propertynl.com/Nieuws/Panattoni-ontwikkelt-groots-multifunctioneel-bedrijvencomplex-in-Emmen/d6e9ee42-b453-4e1e-aef7-4b5a3487fa0d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PropertyNL — Humby huurt in Venlo  </w:t>
      </w:r>
      <w:hyperlink r:id="rId27">
        <w:r>
          <w:rPr>
            <w:color w:val="1155CC"/>
            <w:sz w:val="18"/>
            <w:rFonts w:ascii="Calibri" w:hAnsi="Calibri"/>
            <w:u w:val="single"/>
          </w:rPr>
          <w:t xml:space="preserve">https://propertynl.com/Nieuws/Humby-huurt-bijna-30-000-m-logistieke-ruimte-in-Venlo/63cab933-adaa-4d81-b102-bcd555b1b790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Vastgoed Insider — IVBN renteaftrekbeperking  </w:t>
      </w:r>
      <w:hyperlink r:id="rId19">
        <w:r>
          <w:rPr>
            <w:color w:val="1155CC"/>
            <w:sz w:val="18"/>
            <w:rFonts w:ascii="Calibri" w:hAnsi="Calibri"/>
            <w:u w:val="single"/>
          </w:rPr>
          <w:t xml:space="preserve">https://vastgoedinsider.nl/nederland-heft-ook-in-box-2-vaak-te-veel-belasting-op-vastgoed-europese-commissie-hanteert-lichtere-regels-voor-renteaftrekbeperking/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Vastgoedjournaal — Heijmans IJsselstein 563 woningen  </w:t>
      </w:r>
      <w:hyperlink r:id="rId17">
        <w:r>
          <w:rPr>
            <w:color w:val="1155CC"/>
            <w:sz w:val="18"/>
            <w:rFonts w:ascii="Calibri" w:hAnsi="Calibri"/>
            <w:u w:val="single"/>
          </w:rPr>
          <w:t xml:space="preserve">https://vastgoedjournaal.nl/news/73515/oud-roba-metals-terrein-maakt-plaats-voor-563-woningen-van-heijmans</w:t>
        </w:r>
      </w:hyperlink>
    </w:p>
    <w:p>
      <w:pPr>
        <w:spacing w:before="200" w:after="0" w:line="269" w:lineRule="auto"/>
        <w:jc w:val="left"/>
      </w:pPr>
    </w:p>
    <w:p>
      <w:pPr>
        <w:spacing w:before="120" w:after="0" w:line="269" w:lineRule="auto"/>
        <w:jc w:val="left"/>
        <w:pBdr>
          <w:top w:val="single" w:sz="6" w:space="4" w:color="D7DEE6"/>
        </w:pBdr>
      </w:pPr>
      <w:r>
        <w:rPr>
          <w:rFonts w:ascii="Calibri" w:hAnsi="Calibri" w:cs="Calibri"/>
          <w:b w:val="0"/>
          <w:i/>
          <w:color w:val="6B7785"/>
          <w:sz w:val="16"/>
        </w:rPr>
        <w:t>Дисклеймер: материал носит информационно-аналитический характер, подготовлен на основе открытых источников и не является инвестиционной рекомендацией. Проверяйте данные по первоисточникам перед принятием решений.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B7785"/>
        <w:sz w:val="16"/>
      </w:rPr>
      <w:t xml:space="preserve">Стр. </w:t>
      <w:fldChar w:fldCharType="begin"/>
      <w:instrText xml:space="preserve">PAGE</w:instrText>
      <w:fldChar w:fldCharType="end"/>
    </w:r>
    <w:r>
      <w:rPr>
        <w:rFonts w:ascii="Calibri" w:hAnsi="Calibri"/>
        <w:color w:val="6B7785"/>
        <w:sz w:val="16"/>
      </w:rPr>
      <w:t xml:space="preserve"> из </w:t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cs="Calibri"/>
        <w:b w:val="0"/>
        <w:i w:val="0"/>
        <w:color w:val="6B7785"/>
        <w:sz w:val="16"/>
      </w:rPr>
      <w:t>Недвижимость Нидерландов · 23–30 июня 2026 г.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cs="Calibri"/>
      <w:color w:val="222B3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www.eerstekamer.nl/wetsvoorstel/36748_wet_werkelijk_rendement_box" TargetMode="External"/><Relationship Id="rId12" Type="http://schemas.openxmlformats.org/officeDocument/2006/relationships/hyperlink" Target="https://vastgoedjournaal.nl/news/73472/coalitieakkoord-utrecht-80-procent-betaalbare-nieuwbouw-en-doorbraakteam-netcongestie" TargetMode="External"/><Relationship Id="rId13" Type="http://schemas.openxmlformats.org/officeDocument/2006/relationships/hyperlink" Target="https://www.vastgoedmarkt.nl/209650/rotterdams-coalitieakkoord-volgt-braaf-de-regiewet-67-procent-betaalbare-woningen" TargetMode="External"/><Relationship Id="rId14" Type="http://schemas.openxmlformats.org/officeDocument/2006/relationships/hyperlink" Target="https://regiopurmerend.nl/raad-van-state-zet-streep-door-besluiten-maar-woningbouw-koggenland-gaat-toch-door/" TargetMode="External"/><Relationship Id="rId15" Type="http://schemas.openxmlformats.org/officeDocument/2006/relationships/hyperlink" Target="https://news.vesteda.com/vesteda-redemption-volume-set-at--765-million-and-fund-terms-amended/" TargetMode="External"/><Relationship Id="rId16" Type="http://schemas.openxmlformats.org/officeDocument/2006/relationships/hyperlink" Target="https://vastgoedjournaal.nl/news/73539/twee-pensioenfondsen-stappen-in-ouderenfonds-bouwinvest" TargetMode="External"/><Relationship Id="rId17" Type="http://schemas.openxmlformats.org/officeDocument/2006/relationships/hyperlink" Target="https://vastgoedjournaal.nl/news/73515/oud-roba-metals-terrein-maakt-plaats-voor-563-woningen-van-heijmans" TargetMode="External"/><Relationship Id="rId18" Type="http://schemas.openxmlformats.org/officeDocument/2006/relationships/hyperlink" Target="https://vastgoedjournaal.nl/news/73469/harm-janssen-bpd-we-moeten-gewoon-beginnen-met-bouwen" TargetMode="External"/><Relationship Id="rId19" Type="http://schemas.openxmlformats.org/officeDocument/2006/relationships/hyperlink" Target="https://vastgoedinsider.nl/nederland-heft-ook-in-box-2-vaak-te-veel-belasting-op-vastgoed-europese-commissie-hanteert-lichtere-regels-voor-renteaftrekbeperking/" TargetMode="External"/><Relationship Id="rId20" Type="http://schemas.openxmlformats.org/officeDocument/2006/relationships/hyperlink" Target="https://www.cbre.nl/press-releases/perifere-winkelgebieden-trotseren-retailcrisis-en-blijven-verrassend-populair" TargetMode="External"/><Relationship Id="rId21" Type="http://schemas.openxmlformats.org/officeDocument/2006/relationships/hyperlink" Target="https://www.test-aankoop.be/invest/beleggen/vastgoed/gereglementeerde-vastgoedvennootschappen/artikels/2026/06/retail-estates-eerste-stap-frankrijk" TargetMode="External"/><Relationship Id="rId22" Type="http://schemas.openxmlformats.org/officeDocument/2006/relationships/hyperlink" Target="https://www.vakbladmannenmode.nl/koopbereidheid-maakt-sprong/" TargetMode="External"/><Relationship Id="rId23" Type="http://schemas.openxmlformats.org/officeDocument/2006/relationships/hyperlink" Target="https://keukenendesign.nl/leegstand-retailparken-blijft-opvallend-laag/" TargetMode="External"/><Relationship Id="rId24" Type="http://schemas.openxmlformats.org/officeDocument/2006/relationships/hyperlink" Target="https://www.warehousetotaal.nl/warehousing/logistiek-vastgoed/prologis-doet-miljardenbod-op-segro-maar-logistieke-vastgoedreus-wijst-overname-af/144181/" TargetMode="External"/><Relationship Id="rId25" Type="http://schemas.openxmlformats.org/officeDocument/2006/relationships/hyperlink" Target="https://www.deaandeelhouder.nl/nieuws/2026/06/25/beursblik-deutsche-bank-verlaagt-koersdoelen-voor-aanbieders-van-logistiek-vastgoed/" TargetMode="External"/><Relationship Id="rId26" Type="http://schemas.openxmlformats.org/officeDocument/2006/relationships/hyperlink" Target="https://propertynl.com/Nieuws/Panattoni-ontwikkelt-groots-multifunctioneel-bedrijvencomplex-in-Emmen/d6e9ee42-b453-4e1e-aef7-4b5a3487fa0d" TargetMode="External"/><Relationship Id="rId27" Type="http://schemas.openxmlformats.org/officeDocument/2006/relationships/hyperlink" Target="https://propertynl.com/Nieuws/Humby-huurt-bijna-30-000-m-logistieke-ruimte-in-Venlo/63cab933-adaa-4d81-b102-bcd555b1b790" TargetMode="External"/><Relationship Id="rId28" Type="http://schemas.openxmlformats.org/officeDocument/2006/relationships/hyperlink" Target="https://vastgoedjournaal.nl/news/73504/bedrijfspand-in-vaassen-van-wibra-verkoch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