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pBdr>
          <w:bottom w:val="single" w:sz="16" w:space="1" w:color="C9A961"/>
        </w:pBdr>
        <w:spacing w:before="0" w:after="280" w:line="240" w:lineRule="auto"/>
      </w:pPr>
    </w:p>
    <w:p>
      <w:pPr>
        <w:spacing w:before="0" w:after="200"/>
        <w:jc w:val="center"/>
      </w:pPr>
      <w:r>
        <w:rPr>
          <w:rFonts w:ascii="Calibri" w:hAnsi="Calibri" w:cs="Calibri" w:eastAsia="Calibri"/>
          <w:b/>
          <w:i w:val="0"/>
          <w:color w:val="1A3A5C"/>
          <w:spacing w:val="70"/>
          <w:sz w:val="44"/>
        </w:rPr>
        <w:t>ОБЪЕКТЫ НЕДВИЖИМОСТИ</w:t>
      </w:r>
    </w:p>
    <w:p>
      <w:pPr>
        <w:spacing w:before="0" w:after="280"/>
        <w:jc w:val="center"/>
      </w:pPr>
      <w:r>
        <w:rPr>
          <w:rFonts w:ascii="Calibri" w:hAnsi="Calibri" w:cs="Calibri" w:eastAsia="Calibri"/>
          <w:b w:val="0"/>
          <w:i/>
          <w:color w:val="5A6E80"/>
          <w:sz w:val="28"/>
        </w:rPr>
        <w:t>Нидерланды</w:t>
      </w:r>
    </w:p>
    <w:p>
      <w:pPr>
        <w:pBdr>
          <w:bottom w:val="single" w:sz="12" w:space="1" w:color="C9A961"/>
        </w:pBdr>
        <w:spacing w:before="0" w:after="440" w:line="240" w:lineRule="auto"/>
      </w:pPr>
    </w:p>
    <w:p>
      <w:pPr>
        <w:spacing w:before="0" w:after="200"/>
        <w:jc w:val="center"/>
      </w:pPr>
      <w:r>
        <w:rPr>
          <w:rFonts w:ascii="Calibri" w:hAnsi="Calibri" w:cs="Calibri" w:eastAsia="Calibri"/>
          <w:b w:val="0"/>
          <w:i w:val="0"/>
          <w:color w:val="5A6E80"/>
          <w:sz w:val="22"/>
        </w:rPr>
        <w:t>В подборку входят:</w:t>
      </w:r>
    </w:p>
    <w:p>
      <w:pPr>
        <w:spacing w:before="0" w:after="120"/>
        <w:jc w:val="center"/>
      </w:pPr>
      <w:r>
        <w:rPr>
          <w:rFonts w:ascii="Calibri" w:hAnsi="Calibri" w:cs="Calibri" w:eastAsia="Calibri"/>
          <w:b/>
          <w:i w:val="0"/>
          <w:color w:val="C9A961"/>
          <w:sz w:val="24"/>
        </w:rPr>
        <w:t xml:space="preserve">1. </w:t>
      </w:r>
      <w:r>
        <w:rPr>
          <w:rFonts w:ascii="Calibri" w:hAnsi="Calibri" w:cs="Calibri" w:eastAsia="Calibri"/>
          <w:b/>
          <w:i w:val="0"/>
          <w:color w:val="1A3A5C"/>
          <w:sz w:val="24"/>
        </w:rPr>
        <w:t xml:space="preserve">Steenovenweg 11-13, </w:t>
      </w:r>
      <w:r>
        <w:rPr>
          <w:rFonts w:ascii="Calibri" w:hAnsi="Calibri" w:cs="Calibri" w:eastAsia="Calibri"/>
          <w:b w:val="0"/>
          <w:i w:val="0"/>
          <w:color w:val="2C2C2C"/>
          <w:sz w:val="24"/>
        </w:rPr>
        <w:t>Montfoort — € 975.000</w:t>
      </w:r>
    </w:p>
    <w:p>
      <w:pPr>
        <w:spacing w:before="0" w:after="120"/>
        <w:jc w:val="center"/>
      </w:pPr>
      <w:r>
        <w:rPr>
          <w:rFonts w:ascii="Calibri" w:hAnsi="Calibri" w:cs="Calibri" w:eastAsia="Calibri"/>
          <w:b/>
          <w:i w:val="0"/>
          <w:color w:val="C9A961"/>
          <w:sz w:val="24"/>
        </w:rPr>
        <w:t xml:space="preserve">2. </w:t>
      </w:r>
      <w:r>
        <w:rPr>
          <w:rFonts w:ascii="Calibri" w:hAnsi="Calibri" w:cs="Calibri" w:eastAsia="Calibri"/>
          <w:b/>
          <w:i w:val="0"/>
          <w:color w:val="1A3A5C"/>
          <w:sz w:val="24"/>
        </w:rPr>
        <w:t xml:space="preserve">Decimalaan 3-9, </w:t>
      </w:r>
      <w:r>
        <w:rPr>
          <w:rFonts w:ascii="Calibri" w:hAnsi="Calibri" w:cs="Calibri" w:eastAsia="Calibri"/>
          <w:b w:val="0"/>
          <w:i w:val="0"/>
          <w:color w:val="2C2C2C"/>
          <w:sz w:val="24"/>
        </w:rPr>
        <w:t>Utrecht — € 2.975.000</w:t>
      </w:r>
    </w:p>
    <w:p>
      <w:pPr>
        <w:spacing w:before="0" w:after="120"/>
        <w:jc w:val="center"/>
      </w:pPr>
      <w:r>
        <w:rPr>
          <w:rFonts w:ascii="Calibri" w:hAnsi="Calibri" w:cs="Calibri" w:eastAsia="Calibri"/>
          <w:b/>
          <w:i w:val="0"/>
          <w:color w:val="C9A961"/>
          <w:sz w:val="24"/>
        </w:rPr>
        <w:t xml:space="preserve">3. </w:t>
      </w:r>
      <w:r>
        <w:rPr>
          <w:rFonts w:ascii="Calibri" w:hAnsi="Calibri" w:cs="Calibri" w:eastAsia="Calibri"/>
          <w:b/>
          <w:i w:val="0"/>
          <w:color w:val="1A3A5C"/>
          <w:sz w:val="24"/>
        </w:rPr>
        <w:t xml:space="preserve">Archimedesbaan 11, </w:t>
      </w:r>
      <w:r>
        <w:rPr>
          <w:rFonts w:ascii="Calibri" w:hAnsi="Calibri" w:cs="Calibri" w:eastAsia="Calibri"/>
          <w:b w:val="0"/>
          <w:i w:val="0"/>
          <w:color w:val="2C2C2C"/>
          <w:sz w:val="24"/>
        </w:rPr>
        <w:t>Nieuwegein — € 1.750.000</w:t>
      </w:r>
    </w:p>
    <w:p>
      <w:pPr>
        <w:spacing w:before="0" w:after="0"/>
      </w:pPr>
    </w:p>
    <w:p>
      <w:pPr>
        <w:spacing w:before="360" w:after="0"/>
        <w:jc w:val="center"/>
      </w:pPr>
      <w:r>
        <w:rPr>
          <w:rFonts w:ascii="Calibri" w:hAnsi="Calibri" w:cs="Calibri" w:eastAsia="Calibri"/>
          <w:b w:val="0"/>
          <w:i/>
          <w:color w:val="5A6E80"/>
          <w:sz w:val="18"/>
        </w:rPr>
        <w:t>Данные по объектам приведены по публикациям funda in business по состоянию на 27.07.2026</w:t>
      </w:r>
    </w:p>
    <w:p>
      <w:pPr>
        <w:spacing w:before="0" w:after="0"/>
      </w:pPr>
      <w:r>
        <w:br w:type="page"/>
      </w:r>
    </w:p>
    <w:p>
      <w:pPr>
        <w:pBdr>
          <w:bottom w:val="single" w:sz="16" w:space="1" w:color="C9A961"/>
        </w:pBdr>
        <w:spacing w:before="0" w:after="200" w:line="240" w:lineRule="auto"/>
      </w:pPr>
    </w:p>
    <w:p>
      <w:pPr>
        <w:spacing w:before="0" w:after="80"/>
      </w:pPr>
      <w:r>
        <w:rPr>
          <w:rFonts w:ascii="Calibri" w:hAnsi="Calibri" w:cs="Calibri" w:eastAsia="Calibri"/>
          <w:b/>
          <w:i w:val="0"/>
          <w:color w:val="1A3A5C"/>
          <w:sz w:val="32"/>
        </w:rPr>
        <w:t>Steenovenweg 11-13, Montfoort</w:t>
      </w:r>
    </w:p>
    <w:p>
      <w:pPr>
        <w:spacing w:before="0" w:after="240"/>
      </w:pPr>
      <w:r>
        <w:rPr>
          <w:rFonts w:ascii="Calibri" w:hAnsi="Calibri" w:cs="Calibri" w:eastAsia="Calibri"/>
          <w:b w:val="0"/>
          <w:i/>
          <w:color w:val="5A6E80"/>
          <w:sz w:val="20"/>
        </w:rPr>
        <w:t>3417 XR • Промышленный парк IJsselveld • Провинция Утрехт</w:t>
      </w:r>
    </w:p>
    <w:tbl>
      <w:tblPr>
        <w:tblW w:type="auto" w:w="0"/>
        <w:jc w:val="left"/>
        <w:tblBorders>
          <w:top w:val="single" w:sz="2" w:space="0" w:color="D8D8D8"/>
          <w:start w:val="none" w:sz="0" w:space="0" w:color="auto"/>
          <w:bottom w:val="single" w:sz="2" w:space="0" w:color="D8D8D8"/>
          <w:end w:val="none" w:sz="0" w:space="0" w:color="auto"/>
          <w:insideH w:val="single" w:sz="2" w:space="0" w:color="D8D8D8"/>
          <w:insideV w:val="none" w:sz="0" w:space="0" w:color="auto"/>
        </w:tblBorders>
        <w:tblLayout w:type="fixed"/>
        <w:tblLook w:firstColumn="1" w:firstRow="1" w:lastColumn="0" w:lastRow="0" w:noHBand="0" w:noVBand="1" w:val="04A0"/>
      </w:tblPr>
      <w:tblGrid>
        <w:gridCol w:w="4779"/>
        <w:gridCol w:w="4779"/>
      </w:tblGrid>
      <w:tr>
        <w:tc>
          <w:tcPr>
            <w:tcW w:type="dxa" w:w="2600"/>
            <w:shd w:val="clear" w:color="auto" w:fill="FAFAFA"/>
            <w:tcMar>
              <w:top w:w="100" w:type="dxa"/>
              <w:start w:w="16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/>
                <w:i w:val="0"/>
                <w:color w:val="1A3A5C"/>
                <w:sz w:val="19"/>
              </w:rPr>
              <w:t>Цена</w:t>
            </w:r>
          </w:p>
        </w:tc>
        <w:tc>
          <w:tcPr>
            <w:tcW w:type="dxa" w:w="6428"/>
            <w:tcMar>
              <w:top w:w="100" w:type="dxa"/>
              <w:start w:w="10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 w:val="0"/>
                <w:i w:val="0"/>
                <w:color w:val="2C2C2C"/>
                <w:sz w:val="19"/>
              </w:rPr>
              <w:t>€ 975.000 k.k. (при 10-летнем договоре аренды)</w:t>
            </w:r>
          </w:p>
        </w:tc>
      </w:tr>
      <w:tr>
        <w:tc>
          <w:tcPr>
            <w:tcW w:type="dxa" w:w="2600"/>
            <w:shd w:val="clear" w:color="auto" w:fill="FAFAFA"/>
            <w:tcMar>
              <w:top w:w="100" w:type="dxa"/>
              <w:start w:w="16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/>
                <w:i w:val="0"/>
                <w:color w:val="1A3A5C"/>
                <w:sz w:val="19"/>
              </w:rPr>
              <w:t>Доход от аренды</w:t>
            </w:r>
          </w:p>
        </w:tc>
        <w:tc>
          <w:tcPr>
            <w:tcW w:type="dxa" w:w="6428"/>
            <w:tcMar>
              <w:top w:w="100" w:type="dxa"/>
              <w:start w:w="10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 w:val="0"/>
                <w:i w:val="0"/>
                <w:color w:val="2C2C2C"/>
                <w:sz w:val="19"/>
              </w:rPr>
              <w:t>€ 73.300 в год + НДС</w:t>
            </w:r>
          </w:p>
        </w:tc>
      </w:tr>
      <w:tr>
        <w:tc>
          <w:tcPr>
            <w:tcW w:type="dxa" w:w="2600"/>
            <w:shd w:val="clear" w:color="auto" w:fill="FAFAFA"/>
            <w:tcMar>
              <w:top w:w="100" w:type="dxa"/>
              <w:start w:w="16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/>
                <w:i w:val="0"/>
                <w:color w:val="1A3A5C"/>
                <w:sz w:val="19"/>
              </w:rPr>
              <w:t>Доходность (BAR)</w:t>
            </w:r>
          </w:p>
        </w:tc>
        <w:tc>
          <w:tcPr>
            <w:tcW w:type="dxa" w:w="6428"/>
            <w:tcMar>
              <w:top w:w="100" w:type="dxa"/>
              <w:start w:w="10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 w:val="0"/>
                <w:i w:val="0"/>
                <w:color w:val="2C2C2C"/>
                <w:sz w:val="19"/>
              </w:rPr>
              <w:t>≈ 7,5 % годовых брутто</w:t>
            </w:r>
          </w:p>
        </w:tc>
      </w:tr>
      <w:tr>
        <w:tc>
          <w:tcPr>
            <w:tcW w:type="dxa" w:w="2600"/>
            <w:shd w:val="clear" w:color="auto" w:fill="FAFAFA"/>
            <w:tcMar>
              <w:top w:w="100" w:type="dxa"/>
              <w:start w:w="16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/>
                <w:i w:val="0"/>
                <w:color w:val="1A3A5C"/>
                <w:sz w:val="19"/>
              </w:rPr>
              <w:t>Общая площадь</w:t>
            </w:r>
          </w:p>
        </w:tc>
        <w:tc>
          <w:tcPr>
            <w:tcW w:type="dxa" w:w="6428"/>
            <w:tcMar>
              <w:top w:w="100" w:type="dxa"/>
              <w:start w:w="10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 w:val="0"/>
                <w:i w:val="0"/>
                <w:color w:val="2C2C2C"/>
                <w:sz w:val="19"/>
              </w:rPr>
              <w:t>≈ 616 м² v.v.o. (368 м² офис + 248 м² производство)</w:t>
            </w:r>
          </w:p>
        </w:tc>
      </w:tr>
      <w:tr>
        <w:tc>
          <w:tcPr>
            <w:tcW w:type="dxa" w:w="2600"/>
            <w:shd w:val="clear" w:color="auto" w:fill="FAFAFA"/>
            <w:tcMar>
              <w:top w:w="100" w:type="dxa"/>
              <w:start w:w="16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/>
                <w:i w:val="0"/>
                <w:color w:val="1A3A5C"/>
                <w:sz w:val="19"/>
              </w:rPr>
              <w:t>Цена за м²</w:t>
            </w:r>
          </w:p>
        </w:tc>
        <w:tc>
          <w:tcPr>
            <w:tcW w:type="dxa" w:w="6428"/>
            <w:tcMar>
              <w:top w:w="100" w:type="dxa"/>
              <w:start w:w="10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 w:val="0"/>
                <w:i w:val="0"/>
                <w:color w:val="2C2C2C"/>
                <w:sz w:val="19"/>
              </w:rPr>
              <w:t>≈ € 1.583/м²</w:t>
            </w:r>
          </w:p>
        </w:tc>
      </w:tr>
      <w:tr>
        <w:tc>
          <w:tcPr>
            <w:tcW w:type="dxa" w:w="2600"/>
            <w:shd w:val="clear" w:color="auto" w:fill="FAFAFA"/>
            <w:tcMar>
              <w:top w:w="100" w:type="dxa"/>
              <w:start w:w="16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/>
                <w:i w:val="0"/>
                <w:color w:val="1A3A5C"/>
                <w:sz w:val="19"/>
              </w:rPr>
              <w:t>Площадь участка</w:t>
            </w:r>
          </w:p>
        </w:tc>
        <w:tc>
          <w:tcPr>
            <w:tcW w:type="dxa" w:w="6428"/>
            <w:tcMar>
              <w:top w:w="100" w:type="dxa"/>
              <w:start w:w="10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 w:val="0"/>
                <w:i w:val="0"/>
                <w:color w:val="2C2C2C"/>
                <w:sz w:val="19"/>
              </w:rPr>
              <w:t>964 м² (собственная земля)</w:t>
            </w:r>
          </w:p>
        </w:tc>
      </w:tr>
      <w:tr>
        <w:tc>
          <w:tcPr>
            <w:tcW w:type="dxa" w:w="2600"/>
            <w:shd w:val="clear" w:color="auto" w:fill="FAFAFA"/>
            <w:tcMar>
              <w:top w:w="100" w:type="dxa"/>
              <w:start w:w="16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/>
                <w:i w:val="0"/>
                <w:color w:val="1A3A5C"/>
                <w:sz w:val="19"/>
              </w:rPr>
              <w:t>Тип объекта</w:t>
            </w:r>
          </w:p>
        </w:tc>
        <w:tc>
          <w:tcPr>
            <w:tcW w:type="dxa" w:w="6428"/>
            <w:tcMar>
              <w:top w:w="100" w:type="dxa"/>
              <w:start w:w="10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 w:val="0"/>
                <w:i w:val="0"/>
                <w:color w:val="2C2C2C"/>
                <w:sz w:val="19"/>
              </w:rPr>
              <w:t>инвестиционный: офисное здание и отдельно стоящий производственный цех, сдан в аренду</w:t>
            </w:r>
          </w:p>
        </w:tc>
      </w:tr>
      <w:tr>
        <w:tc>
          <w:tcPr>
            <w:tcW w:type="dxa" w:w="2600"/>
            <w:shd w:val="clear" w:color="auto" w:fill="FAFAFA"/>
            <w:tcMar>
              <w:top w:w="100" w:type="dxa"/>
              <w:start w:w="16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/>
                <w:i w:val="0"/>
                <w:color w:val="1A3A5C"/>
                <w:sz w:val="19"/>
              </w:rPr>
              <w:t>Год постройки</w:t>
            </w:r>
          </w:p>
        </w:tc>
        <w:tc>
          <w:tcPr>
            <w:tcW w:type="dxa" w:w="6428"/>
            <w:tcMar>
              <w:top w:w="100" w:type="dxa"/>
              <w:start w:w="10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 w:val="0"/>
                <w:i w:val="0"/>
                <w:color w:val="2C2C2C"/>
                <w:sz w:val="19"/>
              </w:rPr>
              <w:t>офис — 1979, производственный цех — 2019</w:t>
            </w:r>
          </w:p>
        </w:tc>
      </w:tr>
      <w:tr>
        <w:tc>
          <w:tcPr>
            <w:tcW w:type="dxa" w:w="2600"/>
            <w:shd w:val="clear" w:color="auto" w:fill="FAFAFA"/>
            <w:tcMar>
              <w:top w:w="100" w:type="dxa"/>
              <w:start w:w="16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/>
                <w:i w:val="0"/>
                <w:color w:val="1A3A5C"/>
                <w:sz w:val="19"/>
              </w:rPr>
              <w:t>Энергетический класс</w:t>
            </w:r>
          </w:p>
        </w:tc>
        <w:tc>
          <w:tcPr>
            <w:tcW w:type="dxa" w:w="6428"/>
            <w:tcMar>
              <w:top w:w="100" w:type="dxa"/>
              <w:start w:w="10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 w:val="0"/>
                <w:i w:val="0"/>
                <w:color w:val="2C2C2C"/>
                <w:sz w:val="19"/>
              </w:rPr>
              <w:t>B (действителен до 24-06-2036)</w:t>
            </w:r>
          </w:p>
        </w:tc>
      </w:tr>
      <w:tr>
        <w:tc>
          <w:tcPr>
            <w:tcW w:type="dxa" w:w="2600"/>
            <w:shd w:val="clear" w:color="auto" w:fill="FAFAFA"/>
            <w:tcMar>
              <w:top w:w="100" w:type="dxa"/>
              <w:start w:w="16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/>
                <w:i w:val="0"/>
                <w:color w:val="1A3A5C"/>
                <w:sz w:val="19"/>
              </w:rPr>
              <w:t>Право на землю</w:t>
            </w:r>
          </w:p>
        </w:tc>
        <w:tc>
          <w:tcPr>
            <w:tcW w:type="dxa" w:w="6428"/>
            <w:tcMar>
              <w:top w:w="100" w:type="dxa"/>
              <w:start w:w="10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 w:val="0"/>
                <w:i w:val="0"/>
                <w:color w:val="2C2C2C"/>
                <w:sz w:val="19"/>
              </w:rPr>
              <w:t>100 % собственность (volle eigendom)</w:t>
            </w:r>
          </w:p>
        </w:tc>
      </w:tr>
      <w:tr>
        <w:tc>
          <w:tcPr>
            <w:tcW w:type="dxa" w:w="2600"/>
            <w:shd w:val="clear" w:color="auto" w:fill="FAFAFA"/>
            <w:tcMar>
              <w:top w:w="100" w:type="dxa"/>
              <w:start w:w="16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/>
                <w:i w:val="0"/>
                <w:color w:val="1A3A5C"/>
                <w:sz w:val="19"/>
              </w:rPr>
              <w:t>Свободная высота</w:t>
            </w:r>
          </w:p>
        </w:tc>
        <w:tc>
          <w:tcPr>
            <w:tcW w:type="dxa" w:w="6428"/>
            <w:tcMar>
              <w:top w:w="100" w:type="dxa"/>
              <w:start w:w="10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 w:val="0"/>
                <w:i w:val="0"/>
                <w:color w:val="2C2C2C"/>
                <w:sz w:val="19"/>
              </w:rPr>
              <w:t>цех ≈ 6,04 м (до антресоли ≈ 2,08 м, на антресоли ≈ 3,14 м)</w:t>
            </w:r>
          </w:p>
        </w:tc>
      </w:tr>
      <w:tr>
        <w:tc>
          <w:tcPr>
            <w:tcW w:type="dxa" w:w="2600"/>
            <w:shd w:val="clear" w:color="auto" w:fill="FAFAFA"/>
            <w:tcMar>
              <w:top w:w="100" w:type="dxa"/>
              <w:start w:w="16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/>
                <w:i w:val="0"/>
                <w:color w:val="1A3A5C"/>
                <w:sz w:val="19"/>
              </w:rPr>
              <w:t>Парковка</w:t>
            </w:r>
          </w:p>
        </w:tc>
        <w:tc>
          <w:tcPr>
            <w:tcW w:type="dxa" w:w="6428"/>
            <w:tcMar>
              <w:top w:w="100" w:type="dxa"/>
              <w:start w:w="10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 w:val="0"/>
                <w:i w:val="0"/>
                <w:color w:val="2C2C2C"/>
                <w:sz w:val="19"/>
              </w:rPr>
              <w:t>15 мест на собственной территории (1 с зарядной станцией)</w:t>
            </w:r>
          </w:p>
        </w:tc>
      </w:tr>
      <w:tr>
        <w:tc>
          <w:tcPr>
            <w:tcW w:type="dxa" w:w="2600"/>
            <w:shd w:val="clear" w:color="auto" w:fill="FAFAFA"/>
            <w:tcMar>
              <w:top w:w="100" w:type="dxa"/>
              <w:start w:w="16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/>
                <w:i w:val="0"/>
                <w:color w:val="1A3A5C"/>
                <w:sz w:val="19"/>
              </w:rPr>
              <w:t>Арендатор</w:t>
            </w:r>
          </w:p>
        </w:tc>
        <w:tc>
          <w:tcPr>
            <w:tcW w:type="dxa" w:w="6428"/>
            <w:tcMar>
              <w:top w:w="100" w:type="dxa"/>
              <w:start w:w="10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 w:val="0"/>
                <w:i w:val="0"/>
                <w:color w:val="2C2C2C"/>
                <w:sz w:val="19"/>
              </w:rPr>
              <w:t>PixioDigital NL B.V. — заполняемость 100 %</w:t>
            </w:r>
          </w:p>
        </w:tc>
      </w:tr>
      <w:tr>
        <w:tc>
          <w:tcPr>
            <w:tcW w:type="dxa" w:w="2600"/>
            <w:shd w:val="clear" w:color="auto" w:fill="FAFAFA"/>
            <w:tcMar>
              <w:top w:w="100" w:type="dxa"/>
              <w:start w:w="16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/>
                <w:i w:val="0"/>
                <w:color w:val="1A3A5C"/>
                <w:sz w:val="19"/>
              </w:rPr>
              <w:t>Передача</w:t>
            </w:r>
          </w:p>
        </w:tc>
        <w:tc>
          <w:tcPr>
            <w:tcW w:type="dxa" w:w="6428"/>
            <w:tcMar>
              <w:top w:w="100" w:type="dxa"/>
              <w:start w:w="10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 w:val="0"/>
                <w:i w:val="0"/>
                <w:color w:val="2C2C2C"/>
                <w:sz w:val="19"/>
              </w:rPr>
              <w:t>сразу, в арендованном состоянии («as is, where is»)</w:t>
            </w:r>
          </w:p>
        </w:tc>
      </w:tr>
      <w:tr>
        <w:tc>
          <w:tcPr>
            <w:tcW w:type="dxa" w:w="2600"/>
            <w:shd w:val="clear" w:color="auto" w:fill="FAFAFA"/>
            <w:tcMar>
              <w:top w:w="100" w:type="dxa"/>
              <w:start w:w="16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/>
                <w:i w:val="0"/>
                <w:color w:val="1A3A5C"/>
                <w:sz w:val="19"/>
              </w:rPr>
              <w:t>Ссылка</w:t>
            </w:r>
          </w:p>
        </w:tc>
        <w:tc>
          <w:tcPr>
            <w:tcW w:type="dxa" w:w="6428"/>
            <w:tcMar>
              <w:top w:w="100" w:type="dxa"/>
              <w:start w:w="10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 w:val="0"/>
                <w:i w:val="0"/>
                <w:color w:val="2C2C2C"/>
                <w:sz w:val="19"/>
              </w:rPr>
              <w:t>https://www.fundainbusiness.nl/en/belegging/montfoort/object-44425433-steenovenweg-11-13/</w:t>
            </w:r>
          </w:p>
        </w:tc>
      </w:tr>
    </w:tbl>
    <w:p>
      <w:pPr>
        <w:spacing w:before="0" w:after="0"/>
      </w:pPr>
    </w:p>
    <w:p>
      <w:pPr>
        <w:keepNext w:val="1"/>
        <w:pBdr>
          <w:bottom w:val="single" w:sz="8" w:space="4" w:color="1A3A5C"/>
        </w:pBdr>
        <w:spacing w:before="320" w:after="160"/>
      </w:pPr>
      <w:r>
        <w:rPr>
          <w:rFonts w:ascii="Calibri" w:hAnsi="Calibri" w:cs="Calibri" w:eastAsia="Calibri"/>
          <w:b/>
          <w:i w:val="0"/>
          <w:color w:val="1A3A5C"/>
          <w:spacing w:val="24"/>
          <w:sz w:val="22"/>
        </w:rPr>
        <w:t>О ГОРОДЕ И РАЙОНЕ</w:t>
      </w:r>
    </w:p>
    <w:tbl>
      <w:tblPr>
        <w:tblW w:type="auto" w:w="0"/>
        <w:tblBorders>
          <w:top w:val="single" w:sz="4" w:space="0" w:color="C9A961"/>
          <w:start w:val="single" w:sz="4" w:space="0" w:color="C9A961"/>
          <w:bottom w:val="single" w:sz="4" w:space="0" w:color="C9A961"/>
          <w:end w:val="single" w:sz="4" w:space="0" w:color="C9A961"/>
          <w:insideH w:val="none" w:sz="0" w:space="0" w:color="auto"/>
          <w:insideV w:val="none" w:sz="0" w:space="0" w:color="auto"/>
        </w:tblBorders>
        <w:tblLayout w:type="fixed"/>
        <w:tblLook w:firstColumn="1" w:firstRow="1" w:lastColumn="0" w:lastRow="0" w:noHBand="0" w:noVBand="1" w:val="04A0"/>
      </w:tblPr>
      <w:tblGrid>
        <w:gridCol w:w="9558"/>
      </w:tblGrid>
      <w:tr>
        <w:tc>
          <w:tcPr>
            <w:tcW w:type="dxa" w:w="9038"/>
            <w:shd w:val="clear" w:color="auto" w:fill="F5F1E8"/>
            <w:tcMar>
              <w:top w:w="200" w:type="dxa"/>
              <w:start w:w="240" w:type="dxa"/>
              <w:bottom w:w="200" w:type="dxa"/>
              <w:end w:w="240" w:type="dxa"/>
            </w:tcMar>
          </w:tcPr>
          <w:p>
            <w:pPr>
              <w:spacing w:after="120"/>
            </w:pPr>
            <w:r>
              <w:rPr>
                <w:rFonts w:ascii="Calibri" w:hAnsi="Calibri" w:cs="Calibri" w:eastAsia="Calibri"/>
                <w:b w:val="0"/>
                <w:i w:val="0"/>
                <w:color w:val="2C2C2C"/>
                <w:sz w:val="22"/>
              </w:rPr>
              <w:t xml:space="preserve">📍  </w:t>
            </w:r>
            <w:r>
              <w:rPr>
                <w:rFonts w:ascii="Calibri" w:hAnsi="Calibri" w:cs="Calibri" w:eastAsia="Calibri"/>
                <w:b/>
                <w:i w:val="0"/>
                <w:color w:val="1A3A5C"/>
                <w:sz w:val="22"/>
              </w:rPr>
              <w:t>Montfoort — промышленный парк IJsselveld</w:t>
            </w:r>
          </w:p>
          <w:p>
            <w:pPr>
              <w:spacing w:after="120"/>
              <w:jc w:val="both"/>
            </w:pPr>
            <w:r>
              <w:rPr>
                <w:rFonts w:ascii="Calibri" w:hAnsi="Calibri" w:cs="Calibri" w:eastAsia="Calibri"/>
                <w:b w:val="0"/>
                <w:i w:val="0"/>
                <w:color w:val="2C2C2C"/>
                <w:sz w:val="20"/>
              </w:rPr>
              <w:t>Монтфорт (Montfoort) — город и муниципалитет в провинции Утрехт с населением около 13.800 человек (2026), расположенный в самом центре Нидерландов между Утрехтом и Роттердамом. Несмотря на небольшой размер, город обладает хорошей автомобильной доступностью: съезды на федеральную трассу A12 находятся в 5 и 8 км по провинциальным дорогам N204/N205 и N228, время в пути — примерно 7 и 12 минут соответственно.</w:t>
            </w:r>
          </w:p>
          <w:p>
            <w:pPr>
              <w:spacing w:after="0"/>
              <w:jc w:val="both"/>
            </w:pPr>
            <w:r>
              <w:rPr>
                <w:rFonts w:ascii="Calibri" w:hAnsi="Calibri" w:cs="Calibri" w:eastAsia="Calibri"/>
                <w:b w:val="0"/>
                <w:i w:val="0"/>
                <w:color w:val="2C2C2C"/>
                <w:sz w:val="20"/>
              </w:rPr>
              <w:t>Объект расположен на промышленном парке IJsselveld общей площадью около 50 гектаров — крупнейшей бизнес-зоне муниципалитета. Территория имеет смешанный характер: автомобильные предприятия, компании из сфер строительства, металлообработки, услуг и оптовой торговли. Парк граничит с рекой Холландсе-Эйссел (Hollandsche IJssel). Центр Монтфорта с магазинами и заведениями общественного питания находится в нескольких минутах езды (≈ 5 минут на автомобиле).</w:t>
            </w:r>
          </w:p>
        </w:tc>
      </w:tr>
    </w:tbl>
    <w:p>
      <w:pPr>
        <w:keepNext w:val="1"/>
        <w:pBdr>
          <w:bottom w:val="single" w:sz="8" w:space="4" w:color="1A3A5C"/>
        </w:pBdr>
        <w:spacing w:before="320" w:after="160"/>
      </w:pPr>
      <w:r>
        <w:rPr>
          <w:rFonts w:ascii="Calibri" w:hAnsi="Calibri" w:cs="Calibri" w:eastAsia="Calibri"/>
          <w:b/>
          <w:i w:val="0"/>
          <w:color w:val="1A3A5C"/>
          <w:spacing w:val="24"/>
          <w:sz w:val="22"/>
        </w:rPr>
        <w:t>ОПИСАНИЕ ОБЪЕКТА</w:t>
      </w:r>
    </w:p>
    <w:p>
      <w:pPr>
        <w:spacing w:before="0" w:after="120"/>
        <w:jc w:val="both"/>
      </w:pPr>
      <w:r>
        <w:rPr>
          <w:rFonts w:ascii="Calibri" w:hAnsi="Calibri" w:cs="Calibri" w:eastAsia="Calibri"/>
          <w:b w:val="0"/>
          <w:i w:val="0"/>
          <w:color w:val="2C2C2C"/>
          <w:sz w:val="20"/>
        </w:rPr>
        <w:t>Инвестиционный объект: участок земли с офисным зданием и отдельно стоящим производственным цехом, парковочной площадкой и прочими принадлежностями, известный как Steenovenweg 11-11A-11B-13 в Монтфорте. Объект полностью сдан в аренду по схеме sale-and-lease-back единственному арендатору — компании PixioDigital NL B.V., заполняемость 100 %.</w:t>
      </w:r>
    </w:p>
    <w:p>
      <w:pPr>
        <w:spacing w:before="0" w:after="120"/>
        <w:jc w:val="both"/>
      </w:pPr>
      <w:r>
        <w:rPr>
          <w:rFonts w:ascii="Calibri" w:hAnsi="Calibri" w:cs="Calibri" w:eastAsia="Calibri"/>
          <w:b w:val="0"/>
          <w:i w:val="0"/>
          <w:color w:val="2C2C2C"/>
          <w:sz w:val="20"/>
        </w:rPr>
        <w:t>Двухэтажное офисное здание 1979 года постройки возведено по традиционной технологии: бетонный свайный фундамент, кирпичная кладка с частичной облицовкой панелями Trespa, бетонные перекрытия, деревянные оконные рамы из твёрдых пород с двойным остеклением, плоская кровля с битумно-гравийным покрытием. Около двух лет назад кровля была полностью отремонтирована и частично заменена, на крыше офиса смонтирована солнечная электростанция.</w:t>
      </w:r>
    </w:p>
    <w:p>
      <w:pPr>
        <w:spacing w:before="0" w:after="120"/>
        <w:jc w:val="both"/>
      </w:pPr>
      <w:r>
        <w:rPr>
          <w:rFonts w:ascii="Calibri" w:hAnsi="Calibri" w:cs="Calibri" w:eastAsia="Calibri"/>
          <w:b w:val="0"/>
          <w:i w:val="0"/>
          <w:color w:val="2C2C2C"/>
          <w:sz w:val="20"/>
        </w:rPr>
        <w:t>Позади офиса в 2019 году построен отдельно стоящий производственный цех: стальной каркас с бетонным полом, ограждающие конструкции из металлических сэндвич-панелей, плоская кровля. Внутри устроена антресоль для (лёгкого) хранения, оборудованы рабочее место, мини-кухня с холодной водой и туалет; в цехе обеспечено хорошее охлаждение.</w:t>
      </w:r>
    </w:p>
    <w:p>
      <w:pPr>
        <w:spacing w:before="0" w:after="120"/>
        <w:jc w:val="both"/>
      </w:pPr>
      <w:r>
        <w:rPr>
          <w:rFonts w:ascii="Calibri" w:hAnsi="Calibri" w:cs="Calibri" w:eastAsia="Calibri"/>
          <w:b w:val="0"/>
          <w:i w:val="0"/>
          <w:color w:val="2C2C2C"/>
          <w:sz w:val="20"/>
        </w:rPr>
        <w:t>Передача — «as is, where is», в арендованном состоянии. Запрашиваемая цена € 975.000 k.k. указана при заключении 10-летнего договора аренды.</w:t>
      </w:r>
    </w:p>
    <w:p>
      <w:pPr>
        <w:keepNext w:val="1"/>
        <w:pBdr>
          <w:bottom w:val="single" w:sz="8" w:space="4" w:color="1A3A5C"/>
        </w:pBdr>
        <w:spacing w:before="320" w:after="160"/>
      </w:pPr>
      <w:r>
        <w:rPr>
          <w:rFonts w:ascii="Calibri" w:hAnsi="Calibri" w:cs="Calibri" w:eastAsia="Calibri"/>
          <w:b/>
          <w:i w:val="0"/>
          <w:color w:val="1A3A5C"/>
          <w:spacing w:val="24"/>
          <w:sz w:val="22"/>
        </w:rPr>
        <w:t>ПЛАНИРОВКА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Офисное здание (два этажа): ≈ 368 м² v.v.o.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Производственный цех (2019): ≈ 248 м² v.v.o.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Антресольный этаж в цехе — для лёгкого хранения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Все офисные помещения доступны через главный вход в передней части здания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Второй этаж дополнительно доступен через отдельный вход с левой стороны здания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Одно помещение в задней части имеет собственную входную дверь</w:t>
      </w:r>
    </w:p>
    <w:p>
      <w:pPr>
        <w:keepNext w:val="1"/>
        <w:pBdr>
          <w:bottom w:val="single" w:sz="8" w:space="4" w:color="1A3A5C"/>
        </w:pBdr>
        <w:spacing w:before="320" w:after="160"/>
      </w:pPr>
      <w:r>
        <w:rPr>
          <w:rFonts w:ascii="Calibri" w:hAnsi="Calibri" w:cs="Calibri" w:eastAsia="Calibri"/>
          <w:b/>
          <w:i w:val="0"/>
          <w:color w:val="1A3A5C"/>
          <w:spacing w:val="24"/>
          <w:sz w:val="22"/>
        </w:rPr>
        <w:t>ТЕХНИЧЕСКИЕ ХАРАКТЕРИСТИКИ — ОФИСНОЕ ЗДАНИЕ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Бетонный свайный фундамент (betonnen paalfundering)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Кирпичная кладка с частичной облицовкой панелями Trespa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Бетонные перекрытия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Деревянные оконные рамы из твёрдых пород с двойным остеклением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Плоская кровля с битумно-гравийным покрытием, отремонтирована ≈ 2 года назад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Солнечные панели на крыше офисного здания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Энергетический класс B (действителен до 24-06-2036)</w:t>
      </w:r>
    </w:p>
    <w:p>
      <w:pPr>
        <w:keepNext w:val="1"/>
        <w:pBdr>
          <w:bottom w:val="single" w:sz="8" w:space="4" w:color="1A3A5C"/>
        </w:pBdr>
        <w:spacing w:before="320" w:after="160"/>
      </w:pPr>
      <w:r>
        <w:rPr>
          <w:rFonts w:ascii="Calibri" w:hAnsi="Calibri" w:cs="Calibri" w:eastAsia="Calibri"/>
          <w:b/>
          <w:i w:val="0"/>
          <w:color w:val="1A3A5C"/>
          <w:spacing w:val="24"/>
          <w:sz w:val="22"/>
        </w:rPr>
        <w:t>ТЕХНИЧЕСКИЕ ХАРАКТЕРИСТИКИ — ПРОИЗВОДСТВЕННЫЙ ЦЕХ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Год постройки: 2019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Стальная конструкция с бетонным полом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Металлические сэндвич-панели, плоская кровля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Два пластиковых оконных блока с двойным остеклением на фасаде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Электрические секционные ворота (overheaddeur) и отдельная входная дверь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Антресольный этаж для лёгкого хранения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Рабочее место, пантри с холодной водой, туалет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Хорошее охлаждение помещения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Свободная высота ≈ 6,04 м; до антресоли ≈ 2,08 м; на антресоли ≈ 3,14 м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Несущая способность пола официально не установлена, оценочно ≈ 1.000 кг/м²</w:t>
      </w:r>
    </w:p>
    <w:p>
      <w:pPr>
        <w:keepNext w:val="1"/>
        <w:pBdr>
          <w:bottom w:val="single" w:sz="8" w:space="4" w:color="1A3A5C"/>
        </w:pBdr>
        <w:spacing w:before="320" w:after="160"/>
      </w:pPr>
      <w:r>
        <w:rPr>
          <w:rFonts w:ascii="Calibri" w:hAnsi="Calibri" w:cs="Calibri" w:eastAsia="Calibri"/>
          <w:b/>
          <w:i w:val="0"/>
          <w:color w:val="1A3A5C"/>
          <w:spacing w:val="24"/>
          <w:sz w:val="22"/>
        </w:rPr>
        <w:t>АРЕНДА И ДОХОДНОСТЬ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Арендная плата: € 73.300 в год плюс НДС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Схема: sale-and-lease-back, объект целиком сдан компании PixioDigital NL B.V.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Заполняемость: 100 %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Срок договора аренды: 10 лет (цена указана при 10-летнем договоре)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Валовая начальная доходность (BAR): ≈ 7,5 % годовых от запрашиваемой цены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Передача: в арендованном состоянии, «as is, where is»</w:t>
      </w:r>
    </w:p>
    <w:p>
      <w:pPr>
        <w:keepNext w:val="1"/>
        <w:pBdr>
          <w:bottom w:val="single" w:sz="8" w:space="4" w:color="1A3A5C"/>
        </w:pBdr>
        <w:spacing w:before="320" w:after="160"/>
      </w:pPr>
      <w:r>
        <w:rPr>
          <w:rFonts w:ascii="Calibri" w:hAnsi="Calibri" w:cs="Calibri" w:eastAsia="Calibri"/>
          <w:b/>
          <w:i w:val="0"/>
          <w:color w:val="1A3A5C"/>
          <w:spacing w:val="24"/>
          <w:sz w:val="22"/>
        </w:rPr>
        <w:t>УЧАСТОК И ПАРКОВКА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Площадь участка: 964 м² собственной земли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Кадастровые данные: муниципалитет Montfoort, секция A, номер 3741, площадь 964 м²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Кадастровое описание: bedrijvigheid (kantoor) — предпринимательская деятельность (офис)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15 парковочных мест на собственной территории, одно из них оборудовано зарядной станцией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Форма собственности: 100 % (volle eigendom)</w:t>
      </w:r>
    </w:p>
    <w:p>
      <w:pPr>
        <w:keepNext w:val="1"/>
        <w:pBdr>
          <w:bottom w:val="single" w:sz="8" w:space="4" w:color="1A3A5C"/>
        </w:pBdr>
        <w:spacing w:before="320" w:after="160"/>
      </w:pPr>
      <w:r>
        <w:rPr>
          <w:rFonts w:ascii="Calibri" w:hAnsi="Calibri" w:cs="Calibri" w:eastAsia="Calibri"/>
          <w:b/>
          <w:i w:val="0"/>
          <w:color w:val="1A3A5C"/>
          <w:spacing w:val="24"/>
          <w:sz w:val="22"/>
        </w:rPr>
        <w:t>РАСПОЛОЖЕНИЕ И ДОСТУПНОСТЬ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Промышленный парк IJsselveld (≈ 50 га), примыкающий к реке Холландсе-Эйссел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Федеральная трасса A12 — ≈ 5 км через N205, съезд 14 (Woerden), ≈ 7 минут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Федеральная трасса A12 через N228 — съезд 15 (De Meern, Утрехт), ≈ 8 км, ≈ 12 минут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Центр Монтфорта с магазинами и общественным питанием — ≈ 5 минут на автомобиле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Автобусная остановка «Kasteelplein Montfoort» — ≈ 11 минут пешком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Ж/д станция Woerden — ≈ 30 минут в пути с учётом пешей части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В часы пик автобусы ходят 2 раза в час, вне часов пик — 1 раз в час</w:t>
      </w:r>
    </w:p>
    <w:p>
      <w:pPr>
        <w:keepNext w:val="1"/>
        <w:pBdr>
          <w:bottom w:val="single" w:sz="8" w:space="4" w:color="1A3A5C"/>
        </w:pBdr>
        <w:spacing w:before="320" w:after="160"/>
      </w:pPr>
      <w:r>
        <w:rPr>
          <w:rFonts w:ascii="Calibri" w:hAnsi="Calibri" w:cs="Calibri" w:eastAsia="Calibri"/>
          <w:b/>
          <w:i w:val="0"/>
          <w:color w:val="1A3A5C"/>
          <w:spacing w:val="24"/>
          <w:sz w:val="22"/>
        </w:rPr>
        <w:t>ОСОБЕННОСТИ И СТАТУС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Полная собственность земли (100 % eigendom)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Назначение (bestemming): «Bedrijventerrein» — предприятия, офисы, услуги и служебное жильё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Объект полностью сдан в аренду, заполняемость 100 %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Продажа по схеме sale-and-lease-back с действующим арендатором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Передача: сразу (per direct beschikbaar), в арендованном состоянии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Брокер: Ans de Wijn Bedrijfshuisvesting B.V., тел. 030-23 22 303</w:t>
      </w:r>
    </w:p>
    <w:p>
      <w:pPr>
        <w:spacing w:before="0" w:after="0"/>
      </w:pPr>
      <w:r>
        <w:br w:type="page"/>
      </w:r>
    </w:p>
    <w:p>
      <w:pPr>
        <w:spacing w:before="0" w:after="0"/>
        <w:jc w:val="center"/>
      </w:pPr>
      <w:r>
        <w:drawing>
          <wp:inline xmlns:a="http://schemas.openxmlformats.org/drawingml/2006/main" xmlns:pic="http://schemas.openxmlformats.org/drawingml/2006/picture">
            <wp:extent cx="6033600" cy="33184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eenovenweg-11-13-montfoort-z12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033600" cy="33184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80" w:after="0"/>
      </w:pPr>
    </w:p>
    <w:p>
      <w:pPr>
        <w:spacing w:before="0" w:after="0"/>
        <w:jc w:val="center"/>
      </w:pPr>
      <w:r>
        <w:drawing>
          <wp:inline xmlns:a="http://schemas.openxmlformats.org/drawingml/2006/main" xmlns:pic="http://schemas.openxmlformats.org/drawingml/2006/picture">
            <wp:extent cx="6033600" cy="40224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007ae76f8cf6957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033600" cy="4022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</w:pPr>
      <w:r>
        <w:br w:type="page"/>
      </w:r>
    </w:p>
    <w:p>
      <w:pPr>
        <w:spacing w:before="0" w:after="0"/>
        <w:jc w:val="center"/>
      </w:pPr>
      <w:r>
        <w:drawing>
          <wp:inline xmlns:a="http://schemas.openxmlformats.org/drawingml/2006/main" xmlns:pic="http://schemas.openxmlformats.org/drawingml/2006/picture">
            <wp:extent cx="6033600" cy="40224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9986579a8a46ab6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033600" cy="4022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80" w:after="0"/>
      </w:pPr>
    </w:p>
    <w:p>
      <w:pPr>
        <w:spacing w:before="0" w:after="0"/>
        <w:jc w:val="center"/>
      </w:pPr>
      <w:r>
        <w:drawing>
          <wp:inline xmlns:a="http://schemas.openxmlformats.org/drawingml/2006/main" xmlns:pic="http://schemas.openxmlformats.org/drawingml/2006/picture">
            <wp:extent cx="6033600" cy="40224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2ce42b4ee225565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033600" cy="4022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</w:pPr>
      <w:r>
        <w:br w:type="page"/>
      </w:r>
    </w:p>
    <w:p>
      <w:pPr>
        <w:spacing w:before="0" w:after="0"/>
        <w:jc w:val="center"/>
      </w:pPr>
      <w:r>
        <w:drawing>
          <wp:inline xmlns:a="http://schemas.openxmlformats.org/drawingml/2006/main" xmlns:pic="http://schemas.openxmlformats.org/drawingml/2006/picture">
            <wp:extent cx="6033600" cy="40224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baaa923b6d34b59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33600" cy="4022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80" w:after="0"/>
      </w:pPr>
    </w:p>
    <w:p>
      <w:pPr>
        <w:spacing w:before="0" w:after="0"/>
        <w:jc w:val="center"/>
      </w:pPr>
      <w:r>
        <w:drawing>
          <wp:inline xmlns:a="http://schemas.openxmlformats.org/drawingml/2006/main" xmlns:pic="http://schemas.openxmlformats.org/drawingml/2006/picture">
            <wp:extent cx="6033600" cy="40224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6d90a1d2f3a2bdc9.jp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033600" cy="4022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</w:pPr>
      <w:r>
        <w:br w:type="page"/>
      </w:r>
    </w:p>
    <w:p>
      <w:pPr>
        <w:spacing w:before="0" w:after="0"/>
        <w:jc w:val="center"/>
      </w:pPr>
      <w:r>
        <w:drawing>
          <wp:inline xmlns:a="http://schemas.openxmlformats.org/drawingml/2006/main" xmlns:pic="http://schemas.openxmlformats.org/drawingml/2006/picture">
            <wp:extent cx="6033600" cy="40224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45bbf9a8637bf9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033600" cy="4022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80" w:after="0"/>
      </w:pPr>
    </w:p>
    <w:p>
      <w:pPr>
        <w:spacing w:before="0" w:after="0"/>
        <w:jc w:val="center"/>
      </w:pPr>
      <w:r>
        <w:drawing>
          <wp:inline xmlns:a="http://schemas.openxmlformats.org/drawingml/2006/main" xmlns:pic="http://schemas.openxmlformats.org/drawingml/2006/picture">
            <wp:extent cx="6033600" cy="40224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84cc6d8681e11f0.jp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033600" cy="4022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</w:pPr>
      <w:r>
        <w:br w:type="page"/>
      </w:r>
    </w:p>
    <w:p>
      <w:pPr>
        <w:spacing w:before="0" w:after="0"/>
        <w:jc w:val="center"/>
      </w:pPr>
      <w:r>
        <w:drawing>
          <wp:inline xmlns:a="http://schemas.openxmlformats.org/drawingml/2006/main" xmlns:pic="http://schemas.openxmlformats.org/drawingml/2006/picture">
            <wp:extent cx="6033600" cy="40224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744f7e9e9b30823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033600" cy="4022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80" w:after="0"/>
      </w:pPr>
    </w:p>
    <w:p>
      <w:pPr>
        <w:spacing w:before="0" w:after="0"/>
        <w:jc w:val="center"/>
      </w:pPr>
      <w:r>
        <w:drawing>
          <wp:inline xmlns:a="http://schemas.openxmlformats.org/drawingml/2006/main" xmlns:pic="http://schemas.openxmlformats.org/drawingml/2006/picture">
            <wp:extent cx="6033600" cy="40224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917b9a31d6e9dd6.jp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033600" cy="4022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</w:pPr>
      <w:r>
        <w:br w:type="page"/>
      </w:r>
    </w:p>
    <w:p>
      <w:pPr>
        <w:spacing w:before="0" w:after="0"/>
        <w:jc w:val="center"/>
      </w:pPr>
      <w:r>
        <w:drawing>
          <wp:inline xmlns:a="http://schemas.openxmlformats.org/drawingml/2006/main" xmlns:pic="http://schemas.openxmlformats.org/drawingml/2006/picture">
            <wp:extent cx="6033600" cy="40224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89b19f8951f519c0.jp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033600" cy="4022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80" w:after="0"/>
      </w:pPr>
    </w:p>
    <w:p>
      <w:pPr>
        <w:spacing w:before="0" w:after="0"/>
        <w:jc w:val="center"/>
      </w:pPr>
      <w:r>
        <w:drawing>
          <wp:inline xmlns:a="http://schemas.openxmlformats.org/drawingml/2006/main" xmlns:pic="http://schemas.openxmlformats.org/drawingml/2006/picture">
            <wp:extent cx="6033600" cy="402240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99022bf6d152b0.jp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033600" cy="4022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</w:pPr>
      <w:r>
        <w:br w:type="page"/>
      </w:r>
    </w:p>
    <w:p>
      <w:pPr>
        <w:spacing w:before="0" w:after="0"/>
        <w:jc w:val="center"/>
      </w:pPr>
      <w:r>
        <w:drawing>
          <wp:inline xmlns:a="http://schemas.openxmlformats.org/drawingml/2006/main" xmlns:pic="http://schemas.openxmlformats.org/drawingml/2006/picture">
            <wp:extent cx="6033600" cy="402240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79068d5385e7b32a.jp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033600" cy="4022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80" w:after="0"/>
      </w:pPr>
    </w:p>
    <w:p>
      <w:pPr>
        <w:spacing w:before="0" w:after="0"/>
        <w:jc w:val="center"/>
      </w:pPr>
      <w:r>
        <w:drawing>
          <wp:inline xmlns:a="http://schemas.openxmlformats.org/drawingml/2006/main" xmlns:pic="http://schemas.openxmlformats.org/drawingml/2006/picture">
            <wp:extent cx="6033600" cy="402240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99f67d4e85488bb.jp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033600" cy="4022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</w:pPr>
      <w:r>
        <w:br w:type="page"/>
      </w:r>
    </w:p>
    <w:p>
      <w:pPr>
        <w:spacing w:before="0" w:after="0"/>
        <w:jc w:val="center"/>
      </w:pPr>
      <w:r>
        <w:drawing>
          <wp:inline xmlns:a="http://schemas.openxmlformats.org/drawingml/2006/main" xmlns:pic="http://schemas.openxmlformats.org/drawingml/2006/picture">
            <wp:extent cx="6033600" cy="402240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cbc88930853c2c4.jp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033600" cy="4022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80" w:after="0"/>
      </w:pPr>
    </w:p>
    <w:p>
      <w:pPr>
        <w:spacing w:before="0" w:after="0"/>
        <w:jc w:val="center"/>
      </w:pPr>
      <w:r>
        <w:drawing>
          <wp:inline xmlns:a="http://schemas.openxmlformats.org/drawingml/2006/main" xmlns:pic="http://schemas.openxmlformats.org/drawingml/2006/picture">
            <wp:extent cx="6033600" cy="4022400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5fb29c5b21c04e.jp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033600" cy="4022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</w:pPr>
      <w:r>
        <w:br w:type="page"/>
      </w:r>
    </w:p>
    <w:p>
      <w:pPr>
        <w:pBdr>
          <w:bottom w:val="single" w:sz="16" w:space="1" w:color="C9A961"/>
        </w:pBdr>
        <w:spacing w:before="0" w:after="200" w:line="240" w:lineRule="auto"/>
      </w:pPr>
    </w:p>
    <w:p>
      <w:pPr>
        <w:spacing w:before="0" w:after="80"/>
      </w:pPr>
      <w:r>
        <w:rPr>
          <w:rFonts w:ascii="Calibri" w:hAnsi="Calibri" w:cs="Calibri" w:eastAsia="Calibri"/>
          <w:b/>
          <w:i w:val="0"/>
          <w:color w:val="1A3A5C"/>
          <w:sz w:val="32"/>
        </w:rPr>
        <w:t>Decimalaan 3-5-7-9 и Nieuw-Amsterdamlaan 4-6, Utrecht</w:t>
      </w:r>
    </w:p>
    <w:p>
      <w:pPr>
        <w:spacing w:before="0" w:after="240"/>
      </w:pPr>
      <w:r>
        <w:rPr>
          <w:rFonts w:ascii="Calibri" w:hAnsi="Calibri" w:cs="Calibri" w:eastAsia="Calibri"/>
          <w:b w:val="0"/>
          <w:i/>
          <w:color w:val="5A6E80"/>
          <w:sz w:val="20"/>
        </w:rPr>
        <w:t>3526 AH • Бизнес-зона Kanaleneiland • Провинция Утрехт</w:t>
      </w:r>
    </w:p>
    <w:tbl>
      <w:tblPr>
        <w:tblW w:type="auto" w:w="0"/>
        <w:jc w:val="left"/>
        <w:tblBorders>
          <w:top w:val="single" w:sz="2" w:space="0" w:color="D8D8D8"/>
          <w:start w:val="none" w:sz="0" w:space="0" w:color="auto"/>
          <w:bottom w:val="single" w:sz="2" w:space="0" w:color="D8D8D8"/>
          <w:end w:val="none" w:sz="0" w:space="0" w:color="auto"/>
          <w:insideH w:val="single" w:sz="2" w:space="0" w:color="D8D8D8"/>
          <w:insideV w:val="none" w:sz="0" w:space="0" w:color="auto"/>
        </w:tblBorders>
        <w:tblLayout w:type="fixed"/>
        <w:tblLook w:firstColumn="1" w:firstRow="1" w:lastColumn="0" w:lastRow="0" w:noHBand="0" w:noVBand="1" w:val="04A0"/>
      </w:tblPr>
      <w:tblGrid>
        <w:gridCol w:w="4779"/>
        <w:gridCol w:w="4779"/>
      </w:tblGrid>
      <w:tr>
        <w:tc>
          <w:tcPr>
            <w:tcW w:type="dxa" w:w="2600"/>
            <w:shd w:val="clear" w:color="auto" w:fill="FAFAFA"/>
            <w:tcMar>
              <w:top w:w="100" w:type="dxa"/>
              <w:start w:w="16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/>
                <w:i w:val="0"/>
                <w:color w:val="1A3A5C"/>
                <w:sz w:val="19"/>
              </w:rPr>
              <w:t>Цена</w:t>
            </w:r>
          </w:p>
        </w:tc>
        <w:tc>
          <w:tcPr>
            <w:tcW w:type="dxa" w:w="6428"/>
            <w:tcMar>
              <w:top w:w="100" w:type="dxa"/>
              <w:start w:w="10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 w:val="0"/>
                <w:i w:val="0"/>
                <w:color w:val="2C2C2C"/>
                <w:sz w:val="19"/>
              </w:rPr>
              <w:t>€ 2.975.000 k.k.</w:t>
            </w:r>
          </w:p>
        </w:tc>
      </w:tr>
      <w:tr>
        <w:tc>
          <w:tcPr>
            <w:tcW w:type="dxa" w:w="2600"/>
            <w:shd w:val="clear" w:color="auto" w:fill="FAFAFA"/>
            <w:tcMar>
              <w:top w:w="100" w:type="dxa"/>
              <w:start w:w="16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/>
                <w:i w:val="0"/>
                <w:color w:val="1A3A5C"/>
                <w:sz w:val="19"/>
              </w:rPr>
              <w:t>Доход от аренды</w:t>
            </w:r>
          </w:p>
        </w:tc>
        <w:tc>
          <w:tcPr>
            <w:tcW w:type="dxa" w:w="6428"/>
            <w:tcMar>
              <w:top w:w="100" w:type="dxa"/>
              <w:start w:w="10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 w:val="0"/>
                <w:i w:val="0"/>
                <w:color w:val="2C2C2C"/>
                <w:sz w:val="19"/>
              </w:rPr>
              <w:t>€ 139.164 в год (без НДС и эксплуатационных расходов)</w:t>
            </w:r>
          </w:p>
        </w:tc>
      </w:tr>
      <w:tr>
        <w:tc>
          <w:tcPr>
            <w:tcW w:type="dxa" w:w="2600"/>
            <w:shd w:val="clear" w:color="auto" w:fill="FAFAFA"/>
            <w:tcMar>
              <w:top w:w="100" w:type="dxa"/>
              <w:start w:w="16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/>
                <w:i w:val="0"/>
                <w:color w:val="1A3A5C"/>
                <w:sz w:val="19"/>
              </w:rPr>
              <w:t>Арендная стоимость (рыночная)</w:t>
            </w:r>
          </w:p>
        </w:tc>
        <w:tc>
          <w:tcPr>
            <w:tcW w:type="dxa" w:w="6428"/>
            <w:tcMar>
              <w:top w:w="100" w:type="dxa"/>
              <w:start w:w="10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 w:val="0"/>
                <w:i w:val="0"/>
                <w:color w:val="2C2C2C"/>
                <w:sz w:val="19"/>
              </w:rPr>
              <w:t>€ 225.000 в год</w:t>
            </w:r>
          </w:p>
        </w:tc>
      </w:tr>
      <w:tr>
        <w:tc>
          <w:tcPr>
            <w:tcW w:type="dxa" w:w="2600"/>
            <w:shd w:val="clear" w:color="auto" w:fill="FAFAFA"/>
            <w:tcMar>
              <w:top w:w="100" w:type="dxa"/>
              <w:start w:w="16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/>
                <w:i w:val="0"/>
                <w:color w:val="1A3A5C"/>
                <w:sz w:val="19"/>
              </w:rPr>
              <w:t>Доходность (BAR)</w:t>
            </w:r>
          </w:p>
        </w:tc>
        <w:tc>
          <w:tcPr>
            <w:tcW w:type="dxa" w:w="6428"/>
            <w:tcMar>
              <w:top w:w="100" w:type="dxa"/>
              <w:start w:w="10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 w:val="0"/>
                <w:i w:val="0"/>
                <w:color w:val="2C2C2C"/>
                <w:sz w:val="19"/>
              </w:rPr>
              <w:t>7,5 % — валовая начальная доходность по рыночной арендной стоимости (текущая ≈ 4,7 %)</w:t>
            </w:r>
          </w:p>
        </w:tc>
      </w:tr>
      <w:tr>
        <w:tc>
          <w:tcPr>
            <w:tcW w:type="dxa" w:w="2600"/>
            <w:shd w:val="clear" w:color="auto" w:fill="FAFAFA"/>
            <w:tcMar>
              <w:top w:w="100" w:type="dxa"/>
              <w:start w:w="16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/>
                <w:i w:val="0"/>
                <w:color w:val="1A3A5C"/>
                <w:sz w:val="19"/>
              </w:rPr>
              <w:t>Общая площадь</w:t>
            </w:r>
          </w:p>
        </w:tc>
        <w:tc>
          <w:tcPr>
            <w:tcW w:type="dxa" w:w="6428"/>
            <w:tcMar>
              <w:top w:w="100" w:type="dxa"/>
              <w:start w:w="10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 w:val="0"/>
                <w:i w:val="0"/>
                <w:color w:val="2C2C2C"/>
                <w:sz w:val="19"/>
              </w:rPr>
              <w:t>≈ 2.935 м² (сдано 100 %)</w:t>
            </w:r>
          </w:p>
        </w:tc>
      </w:tr>
      <w:tr>
        <w:tc>
          <w:tcPr>
            <w:tcW w:type="dxa" w:w="2600"/>
            <w:shd w:val="clear" w:color="auto" w:fill="FAFAFA"/>
            <w:tcMar>
              <w:top w:w="100" w:type="dxa"/>
              <w:start w:w="16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/>
                <w:i w:val="0"/>
                <w:color w:val="1A3A5C"/>
                <w:sz w:val="19"/>
              </w:rPr>
              <w:t>Цена за м²</w:t>
            </w:r>
          </w:p>
        </w:tc>
        <w:tc>
          <w:tcPr>
            <w:tcW w:type="dxa" w:w="6428"/>
            <w:tcMar>
              <w:top w:w="100" w:type="dxa"/>
              <w:start w:w="10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 w:val="0"/>
                <w:i w:val="0"/>
                <w:color w:val="2C2C2C"/>
                <w:sz w:val="19"/>
              </w:rPr>
              <w:t>≈ € 1.014/м²</w:t>
            </w:r>
          </w:p>
        </w:tc>
      </w:tr>
      <w:tr>
        <w:tc>
          <w:tcPr>
            <w:tcW w:type="dxa" w:w="2600"/>
            <w:shd w:val="clear" w:color="auto" w:fill="FAFAFA"/>
            <w:tcMar>
              <w:top w:w="100" w:type="dxa"/>
              <w:start w:w="16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/>
                <w:i w:val="0"/>
                <w:color w:val="1A3A5C"/>
                <w:sz w:val="19"/>
              </w:rPr>
              <w:t>Площадь участка</w:t>
            </w:r>
          </w:p>
        </w:tc>
        <w:tc>
          <w:tcPr>
            <w:tcW w:type="dxa" w:w="6428"/>
            <w:tcMar>
              <w:top w:w="100" w:type="dxa"/>
              <w:start w:w="10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 w:val="0"/>
                <w:i w:val="0"/>
                <w:color w:val="2C2C2C"/>
                <w:sz w:val="19"/>
              </w:rPr>
              <w:t>2.597 м² (собственная земля)</w:t>
            </w:r>
          </w:p>
        </w:tc>
      </w:tr>
      <w:tr>
        <w:tc>
          <w:tcPr>
            <w:tcW w:type="dxa" w:w="2600"/>
            <w:shd w:val="clear" w:color="auto" w:fill="FAFAFA"/>
            <w:tcMar>
              <w:top w:w="100" w:type="dxa"/>
              <w:start w:w="16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/>
                <w:i w:val="0"/>
                <w:color w:val="1A3A5C"/>
                <w:sz w:val="19"/>
              </w:rPr>
              <w:t>Тип объекта</w:t>
            </w:r>
          </w:p>
        </w:tc>
        <w:tc>
          <w:tcPr>
            <w:tcW w:type="dxa" w:w="6428"/>
            <w:tcMar>
              <w:top w:w="100" w:type="dxa"/>
              <w:start w:w="10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 w:val="0"/>
                <w:i w:val="0"/>
                <w:color w:val="2C2C2C"/>
                <w:sz w:val="19"/>
              </w:rPr>
              <w:t>инвестиционный: несколько производственно-складских блоков и служебное жильё</w:t>
            </w:r>
          </w:p>
        </w:tc>
      </w:tr>
      <w:tr>
        <w:tc>
          <w:tcPr>
            <w:tcW w:type="dxa" w:w="2600"/>
            <w:shd w:val="clear" w:color="auto" w:fill="FAFAFA"/>
            <w:tcMar>
              <w:top w:w="100" w:type="dxa"/>
              <w:start w:w="16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/>
                <w:i w:val="0"/>
                <w:color w:val="1A3A5C"/>
                <w:sz w:val="19"/>
              </w:rPr>
              <w:t>Год постройки</w:t>
            </w:r>
          </w:p>
        </w:tc>
        <w:tc>
          <w:tcPr>
            <w:tcW w:type="dxa" w:w="6428"/>
            <w:tcMar>
              <w:top w:w="100" w:type="dxa"/>
              <w:start w:w="10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 w:val="0"/>
                <w:i w:val="0"/>
                <w:color w:val="2C2C2C"/>
                <w:sz w:val="19"/>
              </w:rPr>
              <w:t>1965</w:t>
            </w:r>
          </w:p>
        </w:tc>
      </w:tr>
      <w:tr>
        <w:tc>
          <w:tcPr>
            <w:tcW w:type="dxa" w:w="2600"/>
            <w:shd w:val="clear" w:color="auto" w:fill="FAFAFA"/>
            <w:tcMar>
              <w:top w:w="100" w:type="dxa"/>
              <w:start w:w="16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/>
                <w:i w:val="0"/>
                <w:color w:val="1A3A5C"/>
                <w:sz w:val="19"/>
              </w:rPr>
              <w:t>Энергетический класс</w:t>
            </w:r>
          </w:p>
        </w:tc>
        <w:tc>
          <w:tcPr>
            <w:tcW w:type="dxa" w:w="6428"/>
            <w:tcMar>
              <w:top w:w="100" w:type="dxa"/>
              <w:start w:w="10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 w:val="0"/>
                <w:i w:val="0"/>
                <w:color w:val="2C2C2C"/>
                <w:sz w:val="19"/>
              </w:rPr>
              <w:t>не предоставлен (niet beschikbaar)</w:t>
            </w:r>
          </w:p>
        </w:tc>
      </w:tr>
      <w:tr>
        <w:tc>
          <w:tcPr>
            <w:tcW w:type="dxa" w:w="2600"/>
            <w:shd w:val="clear" w:color="auto" w:fill="FAFAFA"/>
            <w:tcMar>
              <w:top w:w="100" w:type="dxa"/>
              <w:start w:w="16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/>
                <w:i w:val="0"/>
                <w:color w:val="1A3A5C"/>
                <w:sz w:val="19"/>
              </w:rPr>
              <w:t>Право на землю</w:t>
            </w:r>
          </w:p>
        </w:tc>
        <w:tc>
          <w:tcPr>
            <w:tcW w:type="dxa" w:w="6428"/>
            <w:tcMar>
              <w:top w:w="100" w:type="dxa"/>
              <w:start w:w="10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 w:val="0"/>
                <w:i w:val="0"/>
                <w:color w:val="2C2C2C"/>
                <w:sz w:val="19"/>
              </w:rPr>
              <w:t>полная собственность (volledig eigendom)</w:t>
            </w:r>
          </w:p>
        </w:tc>
      </w:tr>
      <w:tr>
        <w:tc>
          <w:tcPr>
            <w:tcW w:type="dxa" w:w="2600"/>
            <w:shd w:val="clear" w:color="auto" w:fill="FAFAFA"/>
            <w:tcMar>
              <w:top w:w="100" w:type="dxa"/>
              <w:start w:w="16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/>
                <w:i w:val="0"/>
                <w:color w:val="1A3A5C"/>
                <w:sz w:val="19"/>
              </w:rPr>
              <w:t>Арендаторы</w:t>
            </w:r>
          </w:p>
        </w:tc>
        <w:tc>
          <w:tcPr>
            <w:tcW w:type="dxa" w:w="6428"/>
            <w:tcMar>
              <w:top w:w="100" w:type="dxa"/>
              <w:start w:w="10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 w:val="0"/>
                <w:i w:val="0"/>
                <w:color w:val="2C2C2C"/>
                <w:sz w:val="19"/>
              </w:rPr>
              <w:t>7 арендаторов, WALT ≈ 2,4 года, заполняемость 100 %</w:t>
            </w:r>
          </w:p>
        </w:tc>
      </w:tr>
      <w:tr>
        <w:tc>
          <w:tcPr>
            <w:tcW w:type="dxa" w:w="2600"/>
            <w:shd w:val="clear" w:color="auto" w:fill="FAFAFA"/>
            <w:tcMar>
              <w:top w:w="100" w:type="dxa"/>
              <w:start w:w="16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/>
                <w:i w:val="0"/>
                <w:color w:val="1A3A5C"/>
                <w:sz w:val="19"/>
              </w:rPr>
              <w:t>Назначение</w:t>
            </w:r>
          </w:p>
        </w:tc>
        <w:tc>
          <w:tcPr>
            <w:tcW w:type="dxa" w:w="6428"/>
            <w:tcMar>
              <w:top w:w="100" w:type="dxa"/>
              <w:start w:w="10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 w:val="0"/>
                <w:i w:val="0"/>
                <w:color w:val="2C2C2C"/>
                <w:sz w:val="19"/>
              </w:rPr>
              <w:t>Bedrijventerrein-2, экологические категории 1–3.1</w:t>
            </w:r>
          </w:p>
        </w:tc>
      </w:tr>
      <w:tr>
        <w:tc>
          <w:tcPr>
            <w:tcW w:type="dxa" w:w="2600"/>
            <w:shd w:val="clear" w:color="auto" w:fill="FAFAFA"/>
            <w:tcMar>
              <w:top w:w="100" w:type="dxa"/>
              <w:start w:w="16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/>
                <w:i w:val="0"/>
                <w:color w:val="1A3A5C"/>
                <w:sz w:val="19"/>
              </w:rPr>
              <w:t>Передача</w:t>
            </w:r>
          </w:p>
        </w:tc>
        <w:tc>
          <w:tcPr>
            <w:tcW w:type="dxa" w:w="6428"/>
            <w:tcMar>
              <w:top w:w="100" w:type="dxa"/>
              <w:start w:w="10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 w:val="0"/>
                <w:i w:val="0"/>
                <w:color w:val="2C2C2C"/>
                <w:sz w:val="19"/>
              </w:rPr>
              <w:t>по согласованию (in overleg)</w:t>
            </w:r>
          </w:p>
        </w:tc>
      </w:tr>
      <w:tr>
        <w:tc>
          <w:tcPr>
            <w:tcW w:type="dxa" w:w="2600"/>
            <w:shd w:val="clear" w:color="auto" w:fill="FAFAFA"/>
            <w:tcMar>
              <w:top w:w="100" w:type="dxa"/>
              <w:start w:w="16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/>
                <w:i w:val="0"/>
                <w:color w:val="1A3A5C"/>
                <w:sz w:val="19"/>
              </w:rPr>
              <w:t>Ссылка</w:t>
            </w:r>
          </w:p>
        </w:tc>
        <w:tc>
          <w:tcPr>
            <w:tcW w:type="dxa" w:w="6428"/>
            <w:tcMar>
              <w:top w:w="100" w:type="dxa"/>
              <w:start w:w="10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 w:val="0"/>
                <w:i w:val="0"/>
                <w:color w:val="2C2C2C"/>
                <w:sz w:val="19"/>
              </w:rPr>
              <w:t>https://www.fundainbusiness.nl/en/belegging/utrecht/object-43068622-decimalaan-3/</w:t>
            </w:r>
          </w:p>
        </w:tc>
      </w:tr>
    </w:tbl>
    <w:p>
      <w:pPr>
        <w:spacing w:before="0" w:after="0"/>
      </w:pPr>
    </w:p>
    <w:p>
      <w:pPr>
        <w:keepNext w:val="1"/>
        <w:pBdr>
          <w:bottom w:val="single" w:sz="8" w:space="4" w:color="1A3A5C"/>
        </w:pBdr>
        <w:spacing w:before="320" w:after="160"/>
      </w:pPr>
      <w:r>
        <w:rPr>
          <w:rFonts w:ascii="Calibri" w:hAnsi="Calibri" w:cs="Calibri" w:eastAsia="Calibri"/>
          <w:b/>
          <w:i w:val="0"/>
          <w:color w:val="1A3A5C"/>
          <w:spacing w:val="24"/>
          <w:sz w:val="22"/>
        </w:rPr>
        <w:t>О ГОРОДЕ И РАЙОНЕ</w:t>
      </w:r>
    </w:p>
    <w:tbl>
      <w:tblPr>
        <w:tblW w:type="auto" w:w="0"/>
        <w:tblBorders>
          <w:top w:val="single" w:sz="4" w:space="0" w:color="C9A961"/>
          <w:start w:val="single" w:sz="4" w:space="0" w:color="C9A961"/>
          <w:bottom w:val="single" w:sz="4" w:space="0" w:color="C9A961"/>
          <w:end w:val="single" w:sz="4" w:space="0" w:color="C9A961"/>
          <w:insideH w:val="none" w:sz="0" w:space="0" w:color="auto"/>
          <w:insideV w:val="none" w:sz="0" w:space="0" w:color="auto"/>
        </w:tblBorders>
        <w:tblLayout w:type="fixed"/>
        <w:tblLook w:firstColumn="1" w:firstRow="1" w:lastColumn="0" w:lastRow="0" w:noHBand="0" w:noVBand="1" w:val="04A0"/>
      </w:tblPr>
      <w:tblGrid>
        <w:gridCol w:w="9558"/>
      </w:tblGrid>
      <w:tr>
        <w:tc>
          <w:tcPr>
            <w:tcW w:type="dxa" w:w="9038"/>
            <w:shd w:val="clear" w:color="auto" w:fill="F5F1E8"/>
            <w:tcMar>
              <w:top w:w="200" w:type="dxa"/>
              <w:start w:w="240" w:type="dxa"/>
              <w:bottom w:w="200" w:type="dxa"/>
              <w:end w:w="240" w:type="dxa"/>
            </w:tcMar>
          </w:tcPr>
          <w:p>
            <w:pPr>
              <w:spacing w:after="120"/>
            </w:pPr>
            <w:r>
              <w:rPr>
                <w:rFonts w:ascii="Calibri" w:hAnsi="Calibri" w:cs="Calibri" w:eastAsia="Calibri"/>
                <w:b w:val="0"/>
                <w:i w:val="0"/>
                <w:color w:val="2C2C2C"/>
                <w:sz w:val="22"/>
              </w:rPr>
              <w:t xml:space="preserve">📍  </w:t>
            </w:r>
            <w:r>
              <w:rPr>
                <w:rFonts w:ascii="Calibri" w:hAnsi="Calibri" w:cs="Calibri" w:eastAsia="Calibri"/>
                <w:b/>
                <w:i w:val="0"/>
                <w:color w:val="1A3A5C"/>
                <w:sz w:val="22"/>
              </w:rPr>
              <w:t>Utrecht — бизнес-зона Kanaleneiland</w:t>
            </w:r>
          </w:p>
          <w:p>
            <w:pPr>
              <w:spacing w:after="120"/>
              <w:jc w:val="both"/>
            </w:pPr>
            <w:r>
              <w:rPr>
                <w:rFonts w:ascii="Calibri" w:hAnsi="Calibri" w:cs="Calibri" w:eastAsia="Calibri"/>
                <w:b w:val="0"/>
                <w:i w:val="0"/>
                <w:color w:val="2C2C2C"/>
                <w:sz w:val="20"/>
              </w:rPr>
              <w:t>Утрехт (Utrecht) — четвёртый по величине город Нидерландов и административный центр одноимённой провинции; население муниципалитета на 1 января 2026 года составляет около 378.100 человек. Город расположен в географическом центре страны и является ключевым транспортным узлом: здесь сходятся федеральные трассы A2, A12, A27 и A28, а центральный вокзал Utrecht Centraal — крупнейший железнодорожный хаб Нидерландов.</w:t>
            </w:r>
          </w:p>
          <w:p>
            <w:pPr>
              <w:spacing w:after="0"/>
              <w:jc w:val="both"/>
            </w:pPr>
            <w:r>
              <w:rPr>
                <w:rFonts w:ascii="Calibri" w:hAnsi="Calibri" w:cs="Calibri" w:eastAsia="Calibri"/>
                <w:b w:val="0"/>
                <w:i w:val="0"/>
                <w:color w:val="2C2C2C"/>
                <w:sz w:val="20"/>
              </w:rPr>
              <w:t>Объект находится в бизнес-зоне Kanaleneiland (Bedrijvengebied Kanaleneiland) на юго-западе города — территории смешанного использования с производственными предприятиями и объектами периферийной розничной торговли (PDV). Комплекс расположен непосредственно у Woonboulevard Utrecht — крупнейшего мебельного бульвара страны, где на расстоянии пешей доступности работают около 69 магазинов, включая IKEA, Trendhopper, CarpetRight, KVIK и Auping Plaza. Локация обладает высокой видимостью, находится рядом со съездами с A2 и A12 и имеет отличную связь с центром Утрехта; поблизости — остановки общественного транспорта и супермаркеты.</w:t>
            </w:r>
          </w:p>
        </w:tc>
      </w:tr>
    </w:tbl>
    <w:p>
      <w:pPr>
        <w:keepNext w:val="1"/>
        <w:pBdr>
          <w:bottom w:val="single" w:sz="8" w:space="4" w:color="1A3A5C"/>
        </w:pBdr>
        <w:spacing w:before="320" w:after="160"/>
      </w:pPr>
      <w:r>
        <w:rPr>
          <w:rFonts w:ascii="Calibri" w:hAnsi="Calibri" w:cs="Calibri" w:eastAsia="Calibri"/>
          <w:b/>
          <w:i w:val="0"/>
          <w:color w:val="1A3A5C"/>
          <w:spacing w:val="24"/>
          <w:sz w:val="22"/>
        </w:rPr>
        <w:t>ОПИСАНИЕ ОБЪЕКТА</w:t>
      </w:r>
    </w:p>
    <w:p>
      <w:pPr>
        <w:spacing w:before="0" w:after="120"/>
        <w:jc w:val="both"/>
      </w:pPr>
      <w:r>
        <w:rPr>
          <w:rFonts w:ascii="Calibri" w:hAnsi="Calibri" w:cs="Calibri" w:eastAsia="Calibri"/>
          <w:b w:val="0"/>
          <w:i w:val="0"/>
          <w:color w:val="2C2C2C"/>
          <w:sz w:val="20"/>
        </w:rPr>
        <w:t>Инвестиционный комплекс из сданных в аренду коммерческих объектов с потенциалом редевелопмента, расположенный на видовой, хорошо доступной локации непосредственно у Woonboulevard Utrecht. В состав входят адреса Decimalaan 3, 5, 7 и 9, а также Nieuw-Amsterdamlaan 4 и 6.</w:t>
      </w:r>
    </w:p>
    <w:p>
      <w:pPr>
        <w:spacing w:before="0" w:after="120"/>
        <w:jc w:val="both"/>
      </w:pPr>
      <w:r>
        <w:rPr>
          <w:rFonts w:ascii="Calibri" w:hAnsi="Calibri" w:cs="Calibri" w:eastAsia="Calibri"/>
          <w:b w:val="0"/>
          <w:i w:val="0"/>
          <w:color w:val="2C2C2C"/>
          <w:sz w:val="20"/>
        </w:rPr>
        <w:t>Комплекс состоит из нескольких производственно-складских блоков и одного служебного жилого помещения (bedrijfswoning) общей площадью около 2.935 м² на участке 2.597 м². Здание построено в 1965 году; объект полностью сдан в аренду семи арендаторам, договоры аренды заключены преимущественно в письменной форме.</w:t>
      </w:r>
    </w:p>
    <w:p>
      <w:pPr>
        <w:spacing w:before="0" w:after="120"/>
        <w:jc w:val="both"/>
      </w:pPr>
      <w:r>
        <w:rPr>
          <w:rFonts w:ascii="Calibri" w:hAnsi="Calibri" w:cs="Calibri" w:eastAsia="Calibri"/>
          <w:b w:val="0"/>
          <w:i w:val="0"/>
          <w:color w:val="2C2C2C"/>
          <w:sz w:val="20"/>
        </w:rPr>
        <w:t>Текущий арендный доход существенно ниже рыночного уровня: € 139.164 в год против рыночной арендной стоимости € 225.000 в год. Именно на рыночной арендной стоимости основана заявленная валовая начальная доходность (BAR) 7,5 %; доходность по фактическому арендному потоку составляет около 4,7 %. Небольшой средневзвешенный срок аренды (WALT ≈ 2,4 года) даёт инвестору возможность в короткой перспективе привести ставки к рыночному уровню либо приступить к редевелопменту участка.</w:t>
      </w:r>
    </w:p>
    <w:p>
      <w:pPr>
        <w:keepNext w:val="1"/>
        <w:pBdr>
          <w:bottom w:val="single" w:sz="8" w:space="4" w:color="1A3A5C"/>
        </w:pBdr>
        <w:spacing w:before="320" w:after="160"/>
      </w:pPr>
      <w:r>
        <w:rPr>
          <w:rFonts w:ascii="Calibri" w:hAnsi="Calibri" w:cs="Calibri" w:eastAsia="Calibri"/>
          <w:b/>
          <w:i w:val="0"/>
          <w:color w:val="1A3A5C"/>
          <w:spacing w:val="24"/>
          <w:sz w:val="22"/>
        </w:rPr>
        <w:t>СОСТАВ ОБЪЕКТА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Decimalaan 3, 5, 7, 9 — производственно-складские и коммерческие блоки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Nieuw-Amsterdamlaan 4, 6 — дополнительные помещения комплекса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Служебное жилое помещение (bedrijfswoning) в составе объекта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Общая арендуемая площадь: ≈ 2.935 м², сдано 2.935 м² (100 %)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Площадь участка: 2.597 м² (кадастровая)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Разбивка площадей по отдельным адресам в листинге не приводится — предоставляется по запросу (NEN2580, поэтажные планы)</w:t>
      </w:r>
    </w:p>
    <w:p>
      <w:pPr>
        <w:keepNext w:val="1"/>
        <w:pBdr>
          <w:bottom w:val="single" w:sz="8" w:space="4" w:color="1A3A5C"/>
        </w:pBdr>
        <w:spacing w:before="320" w:after="160"/>
      </w:pPr>
      <w:r>
        <w:rPr>
          <w:rFonts w:ascii="Calibri" w:hAnsi="Calibri" w:cs="Calibri" w:eastAsia="Calibri"/>
          <w:b/>
          <w:i w:val="0"/>
          <w:color w:val="1A3A5C"/>
          <w:spacing w:val="24"/>
          <w:sz w:val="22"/>
        </w:rPr>
        <w:t>АРЕНДА И ДОХОДНОСТЬ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Количество арендаторов: 7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Текущий арендный доход: € 139.164 в год без НДС и эксплуатационных расходов (применяется НДС 21 %)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Рыночная арендная стоимость: € 225.000 в год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Валовая начальная доходность (BAR): 7,5 % — рассчитана от рыночной арендной стоимости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Доходность по фактическому арендному потоку: ≈ 4,7 % от запрашиваемой цены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Средневзвешенный оставшийся срок аренды (WALT): ≈ 2,4 года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Договоры аренды заключены преимущественно в письменной форме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Потенциал: приведение арендных ставок к рыночному уровню либо редевелопмент участка</w:t>
      </w:r>
    </w:p>
    <w:p>
      <w:pPr>
        <w:keepNext w:val="1"/>
        <w:pBdr>
          <w:bottom w:val="single" w:sz="8" w:space="4" w:color="1A3A5C"/>
        </w:pBdr>
        <w:spacing w:before="320" w:after="160"/>
      </w:pPr>
      <w:r>
        <w:rPr>
          <w:rFonts w:ascii="Calibri" w:hAnsi="Calibri" w:cs="Calibri" w:eastAsia="Calibri"/>
          <w:b/>
          <w:i w:val="0"/>
          <w:color w:val="1A3A5C"/>
          <w:spacing w:val="24"/>
          <w:sz w:val="22"/>
        </w:rPr>
        <w:t>УЧАСТОК, КАДАСТР И НАЗНАЧЕНИЕ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Площадь участка: 2.597 м² собственной земли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Кадастровые данные: муниципалитет Utrecht, секция R, номера 221, 370, 371 и 548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Вещное право: полная собственность (volledig eigendom)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Действующий план землепользования: «Actualisering diverse gebieden» от 31-10-2013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Назначение: Bedrijventerrein-2 — предприятия экологических категорий 1–3.1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Расположение: бизнес-зона и зона периферийной розничной торговли (PDV)</w:t>
      </w:r>
    </w:p>
    <w:p>
      <w:pPr>
        <w:keepNext w:val="1"/>
        <w:pBdr>
          <w:bottom w:val="single" w:sz="8" w:space="4" w:color="1A3A5C"/>
        </w:pBdr>
        <w:spacing w:before="320" w:after="160"/>
      </w:pPr>
      <w:r>
        <w:rPr>
          <w:rFonts w:ascii="Calibri" w:hAnsi="Calibri" w:cs="Calibri" w:eastAsia="Calibri"/>
          <w:b/>
          <w:i w:val="0"/>
          <w:color w:val="1A3A5C"/>
          <w:spacing w:val="24"/>
          <w:sz w:val="22"/>
        </w:rPr>
        <w:t>РАСПОЛОЖЕНИЕ И ДОСТУПНОСТЬ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Бизнес-зона Kanaleneiland на юго-западе Утрехта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Непосредственное соседство с Woonboulevard Utrecht (≈ 69 магазинов, крупнейший мебельный бульвар Нидерландов)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Близость к федеральным трассам A2 и A12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Отличная связь с центром Утрехта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Ж/д станция, автобусные остановки и супермаркеты — в непосредственной близости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Высокая видимость объекта для проезжающего транспорта</w:t>
      </w:r>
    </w:p>
    <w:p>
      <w:pPr>
        <w:keepNext w:val="1"/>
        <w:pBdr>
          <w:bottom w:val="single" w:sz="8" w:space="4" w:color="1A3A5C"/>
        </w:pBdr>
        <w:spacing w:before="320" w:after="160"/>
      </w:pPr>
      <w:r>
        <w:rPr>
          <w:rFonts w:ascii="Calibri" w:hAnsi="Calibri" w:cs="Calibri" w:eastAsia="Calibri"/>
          <w:b/>
          <w:i w:val="0"/>
          <w:color w:val="1A3A5C"/>
          <w:spacing w:val="24"/>
          <w:sz w:val="22"/>
        </w:rPr>
        <w:t>ОСОБЕННОСТИ И СТАТУС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Объект полностью в арендованном состоянии (volledig verhuurde staat)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Заявленный потенциал редевелопмента территории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Передача: по согласованию (in overleg)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Энергетический класс не предоставлен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При серьёзном интересе предоставляются: справки о назначении и использовании, информация о состоянии почв, решение WBB, строительное досье, арендные ведомости, кадастровые выписки и карта, документы о праве собственности, обмер NEN2580, начисление налога на недвижимость (OZB), поэтажные планы и форма данных объекта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Брокер: Brecheisen Bedrijfsmakelaars, тел. 030-2331116</w:t>
      </w:r>
    </w:p>
    <w:p>
      <w:pPr>
        <w:spacing w:before="0" w:after="0"/>
      </w:pPr>
      <w:r>
        <w:br w:type="page"/>
      </w:r>
    </w:p>
    <w:p>
      <w:pPr>
        <w:spacing w:before="0" w:after="0"/>
        <w:jc w:val="center"/>
      </w:pPr>
      <w:r>
        <w:drawing>
          <wp:inline xmlns:a="http://schemas.openxmlformats.org/drawingml/2006/main" xmlns:pic="http://schemas.openxmlformats.org/drawingml/2006/picture">
            <wp:extent cx="6033600" cy="331848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cimalaan-3-utrecht-z12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033600" cy="33184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80" w:after="0"/>
      </w:pPr>
    </w:p>
    <w:p>
      <w:pPr>
        <w:spacing w:before="0" w:after="0"/>
        <w:jc w:val="center"/>
      </w:pPr>
      <w:r>
        <w:drawing>
          <wp:inline xmlns:a="http://schemas.openxmlformats.org/drawingml/2006/main" xmlns:pic="http://schemas.openxmlformats.org/drawingml/2006/picture">
            <wp:extent cx="6033600" cy="3778101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47443954be3d4a.jp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033600" cy="37781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</w:pPr>
      <w:r>
        <w:br w:type="page"/>
      </w:r>
    </w:p>
    <w:p>
      <w:pPr>
        <w:spacing w:before="0" w:after="0"/>
        <w:jc w:val="center"/>
      </w:pPr>
      <w:r>
        <w:drawing>
          <wp:inline xmlns:a="http://schemas.openxmlformats.org/drawingml/2006/main" xmlns:pic="http://schemas.openxmlformats.org/drawingml/2006/picture">
            <wp:extent cx="5568000" cy="4176000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fb943fc4657b649.jp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568000" cy="417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80" w:after="0"/>
      </w:pPr>
    </w:p>
    <w:p>
      <w:pPr>
        <w:spacing w:before="0" w:after="0"/>
        <w:jc w:val="center"/>
      </w:pPr>
      <w:r>
        <w:drawing>
          <wp:inline xmlns:a="http://schemas.openxmlformats.org/drawingml/2006/main" xmlns:pic="http://schemas.openxmlformats.org/drawingml/2006/picture">
            <wp:extent cx="5568000" cy="4176000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e049c4648178a5a.jp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568000" cy="417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</w:pPr>
      <w:r>
        <w:br w:type="page"/>
      </w:r>
    </w:p>
    <w:p>
      <w:pPr>
        <w:spacing w:before="0" w:after="0"/>
        <w:jc w:val="center"/>
      </w:pPr>
      <w:r>
        <w:drawing>
          <wp:inline xmlns:a="http://schemas.openxmlformats.org/drawingml/2006/main" xmlns:pic="http://schemas.openxmlformats.org/drawingml/2006/picture">
            <wp:extent cx="5568000" cy="4176000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d94d98cb45008ba.jp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568000" cy="417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80" w:after="0"/>
      </w:pPr>
    </w:p>
    <w:p>
      <w:pPr>
        <w:spacing w:before="0" w:after="0"/>
        <w:jc w:val="center"/>
      </w:pPr>
      <w:r>
        <w:drawing>
          <wp:inline xmlns:a="http://schemas.openxmlformats.org/drawingml/2006/main" xmlns:pic="http://schemas.openxmlformats.org/drawingml/2006/picture">
            <wp:extent cx="5568000" cy="4176000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df1601791fb6674.jp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568000" cy="417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</w:pPr>
      <w:r>
        <w:br w:type="page"/>
      </w:r>
    </w:p>
    <w:p>
      <w:pPr>
        <w:spacing w:before="0" w:after="0"/>
        <w:jc w:val="center"/>
      </w:pPr>
      <w:r>
        <w:drawing>
          <wp:inline xmlns:a="http://schemas.openxmlformats.org/drawingml/2006/main" xmlns:pic="http://schemas.openxmlformats.org/drawingml/2006/picture">
            <wp:extent cx="5568000" cy="4176000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0555d5dc4bb36fc.jp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568000" cy="417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80" w:after="0"/>
      </w:pPr>
    </w:p>
    <w:p>
      <w:pPr>
        <w:spacing w:before="0" w:after="0"/>
        <w:jc w:val="center"/>
      </w:pPr>
      <w:r>
        <w:drawing>
          <wp:inline xmlns:a="http://schemas.openxmlformats.org/drawingml/2006/main" xmlns:pic="http://schemas.openxmlformats.org/drawingml/2006/picture">
            <wp:extent cx="5568000" cy="4176000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83dc3dbcb09772df.jp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568000" cy="417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</w:pPr>
      <w:r>
        <w:br w:type="page"/>
      </w:r>
    </w:p>
    <w:p>
      <w:pPr>
        <w:spacing w:before="0" w:after="0"/>
        <w:jc w:val="center"/>
      </w:pPr>
      <w:r>
        <w:drawing>
          <wp:inline xmlns:a="http://schemas.openxmlformats.org/drawingml/2006/main" xmlns:pic="http://schemas.openxmlformats.org/drawingml/2006/picture">
            <wp:extent cx="5568000" cy="4176000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fc2d55de4b54a18.jp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568000" cy="417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80" w:after="0"/>
      </w:pPr>
    </w:p>
    <w:p>
      <w:pPr>
        <w:spacing w:before="0" w:after="0"/>
        <w:jc w:val="center"/>
      </w:pPr>
      <w:r>
        <w:drawing>
          <wp:inline xmlns:a="http://schemas.openxmlformats.org/drawingml/2006/main" xmlns:pic="http://schemas.openxmlformats.org/drawingml/2006/picture">
            <wp:extent cx="5568000" cy="4176000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8fd5877ed1eaa0.jp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568000" cy="417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</w:pPr>
      <w:r>
        <w:br w:type="page"/>
      </w:r>
    </w:p>
    <w:p>
      <w:pPr>
        <w:spacing w:before="0" w:after="0"/>
        <w:jc w:val="center"/>
      </w:pPr>
      <w:r>
        <w:drawing>
          <wp:inline xmlns:a="http://schemas.openxmlformats.org/drawingml/2006/main" xmlns:pic="http://schemas.openxmlformats.org/drawingml/2006/picture">
            <wp:extent cx="5568000" cy="4176000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80ddbd869be6fc0e.jp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568000" cy="417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80" w:after="0"/>
      </w:pPr>
    </w:p>
    <w:p>
      <w:pPr>
        <w:spacing w:before="0" w:after="0"/>
        <w:jc w:val="center"/>
      </w:pPr>
      <w:r>
        <w:drawing>
          <wp:inline xmlns:a="http://schemas.openxmlformats.org/drawingml/2006/main" xmlns:pic="http://schemas.openxmlformats.org/drawingml/2006/picture">
            <wp:extent cx="5568000" cy="4176000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84725cda3d35d071.jp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568000" cy="417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</w:pPr>
      <w:r>
        <w:br w:type="page"/>
      </w:r>
    </w:p>
    <w:p>
      <w:pPr>
        <w:spacing w:before="0" w:after="0"/>
        <w:jc w:val="center"/>
      </w:pPr>
      <w:r>
        <w:drawing>
          <wp:inline xmlns:a="http://schemas.openxmlformats.org/drawingml/2006/main" xmlns:pic="http://schemas.openxmlformats.org/drawingml/2006/picture">
            <wp:extent cx="5568000" cy="4176000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07e961632bebfaf.jp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568000" cy="417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80" w:after="0"/>
      </w:pPr>
    </w:p>
    <w:p>
      <w:pPr>
        <w:spacing w:before="0" w:after="0"/>
        <w:jc w:val="center"/>
      </w:pPr>
      <w:r>
        <w:drawing>
          <wp:inline xmlns:a="http://schemas.openxmlformats.org/drawingml/2006/main" xmlns:pic="http://schemas.openxmlformats.org/drawingml/2006/picture">
            <wp:extent cx="5568000" cy="4176000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e55147b7d1392c3.jp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568000" cy="417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</w:pPr>
      <w:r>
        <w:br w:type="page"/>
      </w:r>
    </w:p>
    <w:p>
      <w:pPr>
        <w:spacing w:before="0" w:after="0"/>
        <w:jc w:val="center"/>
      </w:pPr>
      <w:r>
        <w:drawing>
          <wp:inline xmlns:a="http://schemas.openxmlformats.org/drawingml/2006/main" xmlns:pic="http://schemas.openxmlformats.org/drawingml/2006/picture">
            <wp:extent cx="5568000" cy="4176000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82a5f22bc889b161.jp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568000" cy="417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80" w:after="0"/>
      </w:pPr>
    </w:p>
    <w:p>
      <w:pPr>
        <w:spacing w:before="0" w:after="0"/>
        <w:jc w:val="center"/>
      </w:pPr>
      <w:r>
        <w:drawing>
          <wp:inline xmlns:a="http://schemas.openxmlformats.org/drawingml/2006/main" xmlns:pic="http://schemas.openxmlformats.org/drawingml/2006/picture">
            <wp:extent cx="5568000" cy="4176000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12f5f3ef7c23f8f.jp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568000" cy="417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</w:pPr>
      <w:r>
        <w:br w:type="page"/>
      </w:r>
    </w:p>
    <w:p>
      <w:pPr>
        <w:pBdr>
          <w:bottom w:val="single" w:sz="16" w:space="1" w:color="C9A961"/>
        </w:pBdr>
        <w:spacing w:before="0" w:after="200" w:line="240" w:lineRule="auto"/>
      </w:pPr>
    </w:p>
    <w:p>
      <w:pPr>
        <w:spacing w:before="0" w:after="80"/>
      </w:pPr>
      <w:r>
        <w:rPr>
          <w:rFonts w:ascii="Calibri" w:hAnsi="Calibri" w:cs="Calibri" w:eastAsia="Calibri"/>
          <w:b/>
          <w:i w:val="0"/>
          <w:color w:val="1A3A5C"/>
          <w:sz w:val="32"/>
        </w:rPr>
        <w:t>Archimedesbaan 11 и 7-9, Nieuwegein</w:t>
      </w:r>
    </w:p>
    <w:p>
      <w:pPr>
        <w:spacing w:before="0" w:after="240"/>
      </w:pPr>
      <w:r>
        <w:rPr>
          <w:rFonts w:ascii="Calibri" w:hAnsi="Calibri" w:cs="Calibri" w:eastAsia="Calibri"/>
          <w:b w:val="0"/>
          <w:i/>
          <w:color w:val="5A6E80"/>
          <w:sz w:val="20"/>
        </w:rPr>
        <w:t>3439 ME • Промышленный парк Plettenburg • Провинция Утрехт</w:t>
      </w:r>
    </w:p>
    <w:tbl>
      <w:tblPr>
        <w:tblW w:type="auto" w:w="0"/>
        <w:jc w:val="left"/>
        <w:tblBorders>
          <w:top w:val="single" w:sz="2" w:space="0" w:color="D8D8D8"/>
          <w:start w:val="none" w:sz="0" w:space="0" w:color="auto"/>
          <w:bottom w:val="single" w:sz="2" w:space="0" w:color="D8D8D8"/>
          <w:end w:val="none" w:sz="0" w:space="0" w:color="auto"/>
          <w:insideH w:val="single" w:sz="2" w:space="0" w:color="D8D8D8"/>
          <w:insideV w:val="none" w:sz="0" w:space="0" w:color="auto"/>
        </w:tblBorders>
        <w:tblLayout w:type="fixed"/>
        <w:tblLook w:firstColumn="1" w:firstRow="1" w:lastColumn="0" w:lastRow="0" w:noHBand="0" w:noVBand="1" w:val="04A0"/>
      </w:tblPr>
      <w:tblGrid>
        <w:gridCol w:w="4779"/>
        <w:gridCol w:w="4779"/>
      </w:tblGrid>
      <w:tr>
        <w:tc>
          <w:tcPr>
            <w:tcW w:type="dxa" w:w="2600"/>
            <w:shd w:val="clear" w:color="auto" w:fill="FAFAFA"/>
            <w:tcMar>
              <w:top w:w="100" w:type="dxa"/>
              <w:start w:w="16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/>
                <w:i w:val="0"/>
                <w:color w:val="1A3A5C"/>
                <w:sz w:val="19"/>
              </w:rPr>
              <w:t>Цена</w:t>
            </w:r>
          </w:p>
        </w:tc>
        <w:tc>
          <w:tcPr>
            <w:tcW w:type="dxa" w:w="6428"/>
            <w:tcMar>
              <w:top w:w="100" w:type="dxa"/>
              <w:start w:w="10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 w:val="0"/>
                <w:i w:val="0"/>
                <w:color w:val="2C2C2C"/>
                <w:sz w:val="19"/>
              </w:rPr>
              <w:t>€ 1.750.000 k.k.</w:t>
            </w:r>
          </w:p>
        </w:tc>
      </w:tr>
      <w:tr>
        <w:tc>
          <w:tcPr>
            <w:tcW w:type="dxa" w:w="2600"/>
            <w:shd w:val="clear" w:color="auto" w:fill="FAFAFA"/>
            <w:tcMar>
              <w:top w:w="100" w:type="dxa"/>
              <w:start w:w="16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/>
                <w:i w:val="0"/>
                <w:color w:val="1A3A5C"/>
                <w:sz w:val="19"/>
              </w:rPr>
              <w:t>Доход от аренды</w:t>
            </w:r>
          </w:p>
        </w:tc>
        <w:tc>
          <w:tcPr>
            <w:tcW w:type="dxa" w:w="6428"/>
            <w:tcMar>
              <w:top w:w="100" w:type="dxa"/>
              <w:start w:w="10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 w:val="0"/>
                <w:i w:val="0"/>
                <w:color w:val="2C2C2C"/>
                <w:sz w:val="19"/>
              </w:rPr>
              <w:t>€ 111.152,76 в год (без НДС)</w:t>
            </w:r>
          </w:p>
        </w:tc>
      </w:tr>
      <w:tr>
        <w:tc>
          <w:tcPr>
            <w:tcW w:type="dxa" w:w="2600"/>
            <w:shd w:val="clear" w:color="auto" w:fill="FAFAFA"/>
            <w:tcMar>
              <w:top w:w="100" w:type="dxa"/>
              <w:start w:w="16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/>
                <w:i w:val="0"/>
                <w:color w:val="1A3A5C"/>
                <w:sz w:val="19"/>
              </w:rPr>
              <w:t>Доходность (BAR)</w:t>
            </w:r>
          </w:p>
        </w:tc>
        <w:tc>
          <w:tcPr>
            <w:tcW w:type="dxa" w:w="6428"/>
            <w:tcMar>
              <w:top w:w="100" w:type="dxa"/>
              <w:start w:w="10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 w:val="0"/>
                <w:i w:val="0"/>
                <w:color w:val="2C2C2C"/>
                <w:sz w:val="19"/>
              </w:rPr>
              <w:t>≈ 6,35 % годовых брутто</w:t>
            </w:r>
          </w:p>
        </w:tc>
      </w:tr>
      <w:tr>
        <w:tc>
          <w:tcPr>
            <w:tcW w:type="dxa" w:w="2600"/>
            <w:shd w:val="clear" w:color="auto" w:fill="FAFAFA"/>
            <w:tcMar>
              <w:top w:w="100" w:type="dxa"/>
              <w:start w:w="16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/>
                <w:i w:val="0"/>
                <w:color w:val="1A3A5C"/>
                <w:sz w:val="19"/>
              </w:rPr>
              <w:t>Общая площадь</w:t>
            </w:r>
          </w:p>
        </w:tc>
        <w:tc>
          <w:tcPr>
            <w:tcW w:type="dxa" w:w="6428"/>
            <w:tcMar>
              <w:top w:w="100" w:type="dxa"/>
              <w:start w:w="10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 w:val="0"/>
                <w:i w:val="0"/>
                <w:color w:val="2C2C2C"/>
                <w:sz w:val="19"/>
              </w:rPr>
              <w:t>≈ 1.876 м² (1.375 м² производство + 490 м² офис + 11 м² вход)</w:t>
            </w:r>
          </w:p>
        </w:tc>
      </w:tr>
      <w:tr>
        <w:tc>
          <w:tcPr>
            <w:tcW w:type="dxa" w:w="2600"/>
            <w:shd w:val="clear" w:color="auto" w:fill="FAFAFA"/>
            <w:tcMar>
              <w:top w:w="100" w:type="dxa"/>
              <w:start w:w="16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/>
                <w:i w:val="0"/>
                <w:color w:val="1A3A5C"/>
                <w:sz w:val="19"/>
              </w:rPr>
              <w:t>Цена за м²</w:t>
            </w:r>
          </w:p>
        </w:tc>
        <w:tc>
          <w:tcPr>
            <w:tcW w:type="dxa" w:w="6428"/>
            <w:tcMar>
              <w:top w:w="100" w:type="dxa"/>
              <w:start w:w="10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 w:val="0"/>
                <w:i w:val="0"/>
                <w:color w:val="2C2C2C"/>
                <w:sz w:val="19"/>
              </w:rPr>
              <w:t>≈ € 933/м²</w:t>
            </w:r>
          </w:p>
        </w:tc>
      </w:tr>
      <w:tr>
        <w:tc>
          <w:tcPr>
            <w:tcW w:type="dxa" w:w="2600"/>
            <w:shd w:val="clear" w:color="auto" w:fill="FAFAFA"/>
            <w:tcMar>
              <w:top w:w="100" w:type="dxa"/>
              <w:start w:w="16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/>
                <w:i w:val="0"/>
                <w:color w:val="1A3A5C"/>
                <w:sz w:val="19"/>
              </w:rPr>
              <w:t>Площадь участка</w:t>
            </w:r>
          </w:p>
        </w:tc>
        <w:tc>
          <w:tcPr>
            <w:tcW w:type="dxa" w:w="6428"/>
            <w:tcMar>
              <w:top w:w="100" w:type="dxa"/>
              <w:start w:w="10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 w:val="0"/>
                <w:i w:val="0"/>
                <w:color w:val="2C2C2C"/>
                <w:sz w:val="19"/>
              </w:rPr>
              <w:t>2.276 м² (собственная земля)</w:t>
            </w:r>
          </w:p>
        </w:tc>
      </w:tr>
      <w:tr>
        <w:tc>
          <w:tcPr>
            <w:tcW w:type="dxa" w:w="2600"/>
            <w:shd w:val="clear" w:color="auto" w:fill="FAFAFA"/>
            <w:tcMar>
              <w:top w:w="100" w:type="dxa"/>
              <w:start w:w="16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/>
                <w:i w:val="0"/>
                <w:color w:val="1A3A5C"/>
                <w:sz w:val="19"/>
              </w:rPr>
              <w:t>Тип объекта</w:t>
            </w:r>
          </w:p>
        </w:tc>
        <w:tc>
          <w:tcPr>
            <w:tcW w:type="dxa" w:w="6428"/>
            <w:tcMar>
              <w:top w:w="100" w:type="dxa"/>
              <w:start w:w="10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 w:val="0"/>
                <w:i w:val="0"/>
                <w:color w:val="2C2C2C"/>
                <w:sz w:val="19"/>
              </w:rPr>
              <w:t>инвестиционный: производственно-офисное здание, полностью сдано в аренду</w:t>
            </w:r>
          </w:p>
        </w:tc>
      </w:tr>
      <w:tr>
        <w:tc>
          <w:tcPr>
            <w:tcW w:type="dxa" w:w="2600"/>
            <w:shd w:val="clear" w:color="auto" w:fill="FAFAFA"/>
            <w:tcMar>
              <w:top w:w="100" w:type="dxa"/>
              <w:start w:w="16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/>
                <w:i w:val="0"/>
                <w:color w:val="1A3A5C"/>
                <w:sz w:val="19"/>
              </w:rPr>
              <w:t>Год постройки</w:t>
            </w:r>
          </w:p>
        </w:tc>
        <w:tc>
          <w:tcPr>
            <w:tcW w:type="dxa" w:w="6428"/>
            <w:tcMar>
              <w:top w:w="100" w:type="dxa"/>
              <w:start w:w="10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 w:val="0"/>
                <w:i w:val="0"/>
                <w:color w:val="2C2C2C"/>
                <w:sz w:val="19"/>
              </w:rPr>
              <w:t>1989</w:t>
            </w:r>
          </w:p>
        </w:tc>
      </w:tr>
      <w:tr>
        <w:tc>
          <w:tcPr>
            <w:tcW w:type="dxa" w:w="2600"/>
            <w:shd w:val="clear" w:color="auto" w:fill="FAFAFA"/>
            <w:tcMar>
              <w:top w:w="100" w:type="dxa"/>
              <w:start w:w="16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/>
                <w:i w:val="0"/>
                <w:color w:val="1A3A5C"/>
                <w:sz w:val="19"/>
              </w:rPr>
              <w:t>Энергетический класс</w:t>
            </w:r>
          </w:p>
        </w:tc>
        <w:tc>
          <w:tcPr>
            <w:tcW w:type="dxa" w:w="6428"/>
            <w:tcMar>
              <w:top w:w="100" w:type="dxa"/>
              <w:start w:w="10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 w:val="0"/>
                <w:i w:val="0"/>
                <w:color w:val="2C2C2C"/>
                <w:sz w:val="19"/>
              </w:rPr>
              <w:t>D</w:t>
            </w:r>
          </w:p>
        </w:tc>
      </w:tr>
      <w:tr>
        <w:tc>
          <w:tcPr>
            <w:tcW w:type="dxa" w:w="2600"/>
            <w:shd w:val="clear" w:color="auto" w:fill="FAFAFA"/>
            <w:tcMar>
              <w:top w:w="100" w:type="dxa"/>
              <w:start w:w="16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/>
                <w:i w:val="0"/>
                <w:color w:val="1A3A5C"/>
                <w:sz w:val="19"/>
              </w:rPr>
              <w:t>Право на землю</w:t>
            </w:r>
          </w:p>
        </w:tc>
        <w:tc>
          <w:tcPr>
            <w:tcW w:type="dxa" w:w="6428"/>
            <w:tcMar>
              <w:top w:w="100" w:type="dxa"/>
              <w:start w:w="10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 w:val="0"/>
                <w:i w:val="0"/>
                <w:color w:val="2C2C2C"/>
                <w:sz w:val="19"/>
              </w:rPr>
              <w:t>собственная земля</w:t>
            </w:r>
          </w:p>
        </w:tc>
      </w:tr>
      <w:tr>
        <w:tc>
          <w:tcPr>
            <w:tcW w:type="dxa" w:w="2600"/>
            <w:shd w:val="clear" w:color="auto" w:fill="FAFAFA"/>
            <w:tcMar>
              <w:top w:w="100" w:type="dxa"/>
              <w:start w:w="16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/>
                <w:i w:val="0"/>
                <w:color w:val="1A3A5C"/>
                <w:sz w:val="19"/>
              </w:rPr>
              <w:t>Арендаторы</w:t>
            </w:r>
          </w:p>
        </w:tc>
        <w:tc>
          <w:tcPr>
            <w:tcW w:type="dxa" w:w="6428"/>
            <w:tcMar>
              <w:top w:w="100" w:type="dxa"/>
              <w:start w:w="10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 w:val="0"/>
                <w:i w:val="0"/>
                <w:color w:val="2C2C2C"/>
                <w:sz w:val="19"/>
              </w:rPr>
              <w:t>2: Euromaster Bandenservice B.V. и KNBB / Nederlandse Darts Bond</w:t>
            </w:r>
          </w:p>
        </w:tc>
      </w:tr>
      <w:tr>
        <w:tc>
          <w:tcPr>
            <w:tcW w:type="dxa" w:w="2600"/>
            <w:shd w:val="clear" w:color="auto" w:fill="FAFAFA"/>
            <w:tcMar>
              <w:top w:w="100" w:type="dxa"/>
              <w:start w:w="16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/>
                <w:i w:val="0"/>
                <w:color w:val="1A3A5C"/>
                <w:sz w:val="19"/>
              </w:rPr>
              <w:t>Заполняемость</w:t>
            </w:r>
          </w:p>
        </w:tc>
        <w:tc>
          <w:tcPr>
            <w:tcW w:type="dxa" w:w="6428"/>
            <w:tcMar>
              <w:top w:w="100" w:type="dxa"/>
              <w:start w:w="10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 w:val="0"/>
                <w:i w:val="0"/>
                <w:color w:val="2C2C2C"/>
                <w:sz w:val="19"/>
              </w:rPr>
              <w:t>100 % (договор по Archimedesbaan 7-9 расторгнут арендатором)</w:t>
            </w:r>
          </w:p>
        </w:tc>
      </w:tr>
      <w:tr>
        <w:tc>
          <w:tcPr>
            <w:tcW w:type="dxa" w:w="2600"/>
            <w:shd w:val="clear" w:color="auto" w:fill="FAFAFA"/>
            <w:tcMar>
              <w:top w:w="100" w:type="dxa"/>
              <w:start w:w="16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/>
                <w:i w:val="0"/>
                <w:color w:val="1A3A5C"/>
                <w:sz w:val="19"/>
              </w:rPr>
              <w:t>Передача</w:t>
            </w:r>
          </w:p>
        </w:tc>
        <w:tc>
          <w:tcPr>
            <w:tcW w:type="dxa" w:w="6428"/>
            <w:tcMar>
              <w:top w:w="100" w:type="dxa"/>
              <w:start w:w="10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 w:val="0"/>
                <w:i w:val="0"/>
                <w:color w:val="2C2C2C"/>
                <w:sz w:val="19"/>
              </w:rPr>
              <w:t>по согласованию с продавцом</w:t>
            </w:r>
          </w:p>
        </w:tc>
      </w:tr>
      <w:tr>
        <w:tc>
          <w:tcPr>
            <w:tcW w:type="dxa" w:w="2600"/>
            <w:shd w:val="clear" w:color="auto" w:fill="FAFAFA"/>
            <w:tcMar>
              <w:top w:w="100" w:type="dxa"/>
              <w:start w:w="16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/>
                <w:i w:val="0"/>
                <w:color w:val="1A3A5C"/>
                <w:sz w:val="19"/>
              </w:rPr>
              <w:t>Ссылка</w:t>
            </w:r>
          </w:p>
        </w:tc>
        <w:tc>
          <w:tcPr>
            <w:tcW w:type="dxa" w:w="6428"/>
            <w:tcMar>
              <w:top w:w="100" w:type="dxa"/>
              <w:start w:w="10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 w:val="0"/>
                <w:i w:val="0"/>
                <w:color w:val="2C2C2C"/>
                <w:sz w:val="19"/>
              </w:rPr>
              <w:t>https://www.fundainbusiness.nl/en/belegging/nieuwegein/object-80846890-archimedesbaan-11/</w:t>
            </w:r>
          </w:p>
        </w:tc>
      </w:tr>
    </w:tbl>
    <w:p>
      <w:pPr>
        <w:spacing w:before="0" w:after="0"/>
      </w:pPr>
    </w:p>
    <w:p>
      <w:pPr>
        <w:keepNext w:val="1"/>
        <w:pBdr>
          <w:bottom w:val="single" w:sz="8" w:space="4" w:color="1A3A5C"/>
        </w:pBdr>
        <w:spacing w:before="320" w:after="160"/>
      </w:pPr>
      <w:r>
        <w:rPr>
          <w:rFonts w:ascii="Calibri" w:hAnsi="Calibri" w:cs="Calibri" w:eastAsia="Calibri"/>
          <w:b/>
          <w:i w:val="0"/>
          <w:color w:val="1A3A5C"/>
          <w:spacing w:val="24"/>
          <w:sz w:val="22"/>
        </w:rPr>
        <w:t>О ГОРОДЕ И РАЙОНЕ</w:t>
      </w:r>
    </w:p>
    <w:tbl>
      <w:tblPr>
        <w:tblW w:type="auto" w:w="0"/>
        <w:tblBorders>
          <w:top w:val="single" w:sz="4" w:space="0" w:color="C9A961"/>
          <w:start w:val="single" w:sz="4" w:space="0" w:color="C9A961"/>
          <w:bottom w:val="single" w:sz="4" w:space="0" w:color="C9A961"/>
          <w:end w:val="single" w:sz="4" w:space="0" w:color="C9A961"/>
          <w:insideH w:val="none" w:sz="0" w:space="0" w:color="auto"/>
          <w:insideV w:val="none" w:sz="0" w:space="0" w:color="auto"/>
        </w:tblBorders>
        <w:tblLayout w:type="fixed"/>
        <w:tblLook w:firstColumn="1" w:firstRow="1" w:lastColumn="0" w:lastRow="0" w:noHBand="0" w:noVBand="1" w:val="04A0"/>
      </w:tblPr>
      <w:tblGrid>
        <w:gridCol w:w="9558"/>
      </w:tblGrid>
      <w:tr>
        <w:tc>
          <w:tcPr>
            <w:tcW w:type="dxa" w:w="9038"/>
            <w:shd w:val="clear" w:color="auto" w:fill="F5F1E8"/>
            <w:tcMar>
              <w:top w:w="200" w:type="dxa"/>
              <w:start w:w="240" w:type="dxa"/>
              <w:bottom w:w="200" w:type="dxa"/>
              <w:end w:w="240" w:type="dxa"/>
            </w:tcMar>
          </w:tcPr>
          <w:p>
            <w:pPr>
              <w:spacing w:after="120"/>
            </w:pPr>
            <w:r>
              <w:rPr>
                <w:rFonts w:ascii="Calibri" w:hAnsi="Calibri" w:cs="Calibri" w:eastAsia="Calibri"/>
                <w:b w:val="0"/>
                <w:i w:val="0"/>
                <w:color w:val="2C2C2C"/>
                <w:sz w:val="22"/>
              </w:rPr>
              <w:t xml:space="preserve">📍  </w:t>
            </w:r>
            <w:r>
              <w:rPr>
                <w:rFonts w:ascii="Calibri" w:hAnsi="Calibri" w:cs="Calibri" w:eastAsia="Calibri"/>
                <w:b/>
                <w:i w:val="0"/>
                <w:color w:val="1A3A5C"/>
                <w:sz w:val="22"/>
              </w:rPr>
              <w:t>Nieuwegein — промышленный парк Plettenburg</w:t>
            </w:r>
          </w:p>
          <w:p>
            <w:pPr>
              <w:spacing w:after="120"/>
              <w:jc w:val="both"/>
            </w:pPr>
            <w:r>
              <w:rPr>
                <w:rFonts w:ascii="Calibri" w:hAnsi="Calibri" w:cs="Calibri" w:eastAsia="Calibri"/>
                <w:b w:val="0"/>
                <w:i w:val="0"/>
                <w:color w:val="2C2C2C"/>
                <w:sz w:val="20"/>
              </w:rPr>
              <w:t>Ньивегейн (Nieuwegein) — город в провинции Утрехт с населением около 68.300 человек (2026), примыкающий к Утрехту с юга и входящий в его агломерацию. Город связан с Утрехтом линией скоростного трамвая и расположен между каналом Амстердам — Рейн и рекой Лек, что обеспечивает ему выгодное положение на пересечении основных транспортных коридоров страны.</w:t>
            </w:r>
          </w:p>
          <w:p>
            <w:pPr>
              <w:spacing w:after="0"/>
              <w:jc w:val="both"/>
            </w:pPr>
            <w:r>
              <w:rPr>
                <w:rFonts w:ascii="Calibri" w:hAnsi="Calibri" w:cs="Calibri" w:eastAsia="Calibri"/>
                <w:b w:val="0"/>
                <w:i w:val="0"/>
                <w:color w:val="2C2C2C"/>
                <w:sz w:val="20"/>
              </w:rPr>
              <w:t>Объект расположен на промышленном парке Plettenburg — крупнейшей бизнес-зоне Ньивегейна (Plettenburg — De Wiers Zuid, около 1.140 предприятий и организаций). Территория отличается разнообразным составом: производственные, торговые, логистические компании и предприятия сферы услуг. Отсюда за несколько минут достижимы транспортные развязки Oudenrijn и Lunetten и федеральные трассы A2, A12, A27 и A28.</w:t>
            </w:r>
          </w:p>
        </w:tc>
      </w:tr>
    </w:tbl>
    <w:p>
      <w:pPr>
        <w:keepNext w:val="1"/>
        <w:pBdr>
          <w:bottom w:val="single" w:sz="8" w:space="4" w:color="1A3A5C"/>
        </w:pBdr>
        <w:spacing w:before="320" w:after="160"/>
      </w:pPr>
      <w:r>
        <w:rPr>
          <w:rFonts w:ascii="Calibri" w:hAnsi="Calibri" w:cs="Calibri" w:eastAsia="Calibri"/>
          <w:b/>
          <w:i w:val="0"/>
          <w:color w:val="1A3A5C"/>
          <w:spacing w:val="24"/>
          <w:sz w:val="22"/>
        </w:rPr>
        <w:t>ОПИСАНИЕ ОБЪЕКТА</w:t>
      </w:r>
    </w:p>
    <w:p>
      <w:pPr>
        <w:spacing w:before="0" w:after="120"/>
        <w:jc w:val="both"/>
      </w:pPr>
      <w:r>
        <w:rPr>
          <w:rFonts w:ascii="Calibri" w:hAnsi="Calibri" w:cs="Calibri" w:eastAsia="Calibri"/>
          <w:b w:val="0"/>
          <w:i w:val="0"/>
          <w:color w:val="2C2C2C"/>
          <w:sz w:val="20"/>
        </w:rPr>
        <w:t>Заметный инвестиционный объект на промышленном парке Plettenburg: производственно-офисное здание 1989 года постройки, полностью сданное в аренду двум арендаторам. Первый этаж (Archimedesbaan 11) занимает производственно-сервисное помещение площадью около 1.375 м², второй этаж (Archimedesbaan 7-9) — офисные помещения около 490 м² с отдельным входом с уровня земли площадью около 11 м².</w:t>
      </w:r>
    </w:p>
    <w:p>
      <w:pPr>
        <w:spacing w:before="0" w:after="120"/>
        <w:jc w:val="both"/>
      </w:pPr>
      <w:r>
        <w:rPr>
          <w:rFonts w:ascii="Calibri" w:hAnsi="Calibri" w:cs="Calibri" w:eastAsia="Calibri"/>
          <w:b w:val="0"/>
          <w:i w:val="0"/>
          <w:color w:val="2C2C2C"/>
          <w:sz w:val="20"/>
        </w:rPr>
        <w:t>Объект приносит валовый арендный доход около € 111.152,76 в год без НДС при запрашиваемой цене € 1.750.000 k.k., что соответствует валовой начальной доходности около 6,35 %. Оба договора аренды действуют до 2028 года; при этом договор по офисной части (Archimedesbaan 7-9) арендатором расторгнут, что даёт покупателю возможность перезаключить аренду на новых условиях либо использовать помещения самостоятельно.</w:t>
      </w:r>
    </w:p>
    <w:p>
      <w:pPr>
        <w:spacing w:before="0" w:after="120"/>
        <w:jc w:val="both"/>
      </w:pPr>
      <w:r>
        <w:rPr>
          <w:rFonts w:ascii="Calibri" w:hAnsi="Calibri" w:cs="Calibri" w:eastAsia="Calibri"/>
          <w:b w:val="0"/>
          <w:i w:val="0"/>
          <w:color w:val="2C2C2C"/>
          <w:sz w:val="20"/>
        </w:rPr>
        <w:t>Передача происходит в состоянии «as is, where is» — со всеми связанными правами и обязанностями, а также со всеми видимыми и невидимыми недостатками, без каких-либо гарантий, в том числе в отношении технического, конструктивного, юридического, налогового, экологического, арендного и коммерческого аспектов.</w:t>
      </w:r>
    </w:p>
    <w:p>
      <w:pPr>
        <w:keepNext w:val="1"/>
        <w:pBdr>
          <w:bottom w:val="single" w:sz="8" w:space="4" w:color="1A3A5C"/>
        </w:pBdr>
        <w:spacing w:before="320" w:after="160"/>
      </w:pPr>
      <w:r>
        <w:rPr>
          <w:rFonts w:ascii="Calibri" w:hAnsi="Calibri" w:cs="Calibri" w:eastAsia="Calibri"/>
          <w:b/>
          <w:i w:val="0"/>
          <w:color w:val="1A3A5C"/>
          <w:spacing w:val="24"/>
          <w:sz w:val="22"/>
        </w:rPr>
        <w:t>ПЛАНИРОВКА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Archimedesbaan 11, первый этаж: ≈ 1.375 м² производственно-сервисного помещения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Archimedesbaan 7-9, первый этаж: ≈ 11 м² — отдельный вход и лестничная группа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Archimedesbaan 7-9, второй этаж: ≈ 490 м² офисных помещений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Общая арендуемая площадь: ≈ 1.876 м²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Обе части объекта имеют собственные входы и эксплуатируются независимо</w:t>
      </w:r>
    </w:p>
    <w:p>
      <w:pPr>
        <w:keepNext w:val="1"/>
        <w:pBdr>
          <w:bottom w:val="single" w:sz="8" w:space="4" w:color="1A3A5C"/>
        </w:pBdr>
        <w:spacing w:before="320" w:after="160"/>
      </w:pPr>
      <w:r>
        <w:rPr>
          <w:rFonts w:ascii="Calibri" w:hAnsi="Calibri" w:cs="Calibri" w:eastAsia="Calibri"/>
          <w:b/>
          <w:i w:val="0"/>
          <w:color w:val="1A3A5C"/>
          <w:spacing w:val="24"/>
          <w:sz w:val="22"/>
        </w:rPr>
        <w:t>АРЕНДА И АРЕНДАТОРЫ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Первый этаж — Euromaster Bandenservice B.V. (шинный сервис): арендная плата € 77.498,16 в год без НДС; эксплуатационные расходы € 1.025,00 в квартал без НДС; договор действует до 01-07-2028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Второй этаж — Koninklijke Nederlandse Biljartbond и Nederlandse Darts Bond: арендная плата € 33.654,60 в год (без компенсации НДС); авансовые эксплуатационные расходы € 732,94 в квартал без НДС; текущий период действует до 01-09-2028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Договор аренды по Archimedesbaan 7-9 арендатором расторгнут (huurovereenkomst opgezegd)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Совокупный валовый арендный доход: ≈ € 111.152,76 в год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Валовая начальная доходность (BAR): ≈ 6,35 % от запрашиваемой цены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Условия индексации, депозитов и сроков уведомления в листинге не раскрыты — предоставляются по запросу</w:t>
      </w:r>
    </w:p>
    <w:p>
      <w:pPr>
        <w:keepNext w:val="1"/>
        <w:pBdr>
          <w:bottom w:val="single" w:sz="8" w:space="4" w:color="1A3A5C"/>
        </w:pBdr>
        <w:spacing w:before="320" w:after="160"/>
      </w:pPr>
      <w:r>
        <w:rPr>
          <w:rFonts w:ascii="Calibri" w:hAnsi="Calibri" w:cs="Calibri" w:eastAsia="Calibri"/>
          <w:b/>
          <w:i w:val="0"/>
          <w:color w:val="1A3A5C"/>
          <w:spacing w:val="24"/>
          <w:sz w:val="22"/>
        </w:rPr>
        <w:t>УЧАСТОК И КАДАСТР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Площадь участка: 2.276 м² собственной земли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Кадастровые данные: муниципалитет Jutphaas, секция D, номер 2158, площадь 2.276 м²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Парковка на собственной территории перед зданием (количество мест в листинге не указано)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Технические характеристики (свободная высота, несущая способность пола, инженерные системы) в листинге не приводятся — уточняются при осмотре</w:t>
      </w:r>
    </w:p>
    <w:p>
      <w:pPr>
        <w:keepNext w:val="1"/>
        <w:pBdr>
          <w:bottom w:val="single" w:sz="8" w:space="4" w:color="1A3A5C"/>
        </w:pBdr>
        <w:spacing w:before="320" w:after="160"/>
      </w:pPr>
      <w:r>
        <w:rPr>
          <w:rFonts w:ascii="Calibri" w:hAnsi="Calibri" w:cs="Calibri" w:eastAsia="Calibri"/>
          <w:b/>
          <w:i w:val="0"/>
          <w:color w:val="1A3A5C"/>
          <w:spacing w:val="24"/>
          <w:sz w:val="22"/>
        </w:rPr>
        <w:t>РАСПОЛОЖЕНИЕ И ДОСТУПНОСТЬ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Промышленный парк Plettenburg — крупнейшая бизнес-зона Ньивегейна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Смешанный состав: производство, торговля, логистика и сфера услуг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Отличная связь с транспортными развязками Oudenrijn и Lunetten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Федеральные трассы A2, A12, A27 и A28 достижимы за несколько минут на автомобиле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Автобусные остановки «Fahrenheitbaan» и «Martinbaan» — в нескольких минутах пешком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Утрехт и его центральный вокзал — в непосредственной близости от парка</w:t>
      </w:r>
    </w:p>
    <w:p>
      <w:pPr>
        <w:keepNext w:val="1"/>
        <w:pBdr>
          <w:bottom w:val="single" w:sz="8" w:space="4" w:color="1A3A5C"/>
        </w:pBdr>
        <w:spacing w:before="320" w:after="160"/>
      </w:pPr>
      <w:r>
        <w:rPr>
          <w:rFonts w:ascii="Calibri" w:hAnsi="Calibri" w:cs="Calibri" w:eastAsia="Calibri"/>
          <w:b/>
          <w:i w:val="0"/>
          <w:color w:val="1A3A5C"/>
          <w:spacing w:val="24"/>
          <w:sz w:val="22"/>
        </w:rPr>
        <w:t>ОСОБЕННОСТИ И СТАТУС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Объект полностью сдан в аренду, два арендатора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Расторжение договора по офисной части открывает возможность перезаключения аренды по актуальным ставкам либо собственного использования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Передача: по согласованию с продавцом, в состоянии «as is, where is», без гарантий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Энергетический класс D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Брокер: ActiVast Bedrijfshuisvesting, тел. 0318-751188</w:t>
      </w:r>
    </w:p>
    <w:p>
      <w:pPr>
        <w:spacing w:before="0" w:after="0"/>
      </w:pPr>
      <w:r>
        <w:br w:type="page"/>
      </w:r>
    </w:p>
    <w:p>
      <w:pPr>
        <w:spacing w:before="0" w:after="0"/>
        <w:jc w:val="center"/>
      </w:pPr>
      <w:r>
        <w:drawing>
          <wp:inline xmlns:a="http://schemas.openxmlformats.org/drawingml/2006/main" xmlns:pic="http://schemas.openxmlformats.org/drawingml/2006/picture">
            <wp:extent cx="6033600" cy="3318480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chimedesbaan-11-nieuwegein-z12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6033600" cy="33184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80" w:after="0"/>
      </w:pPr>
    </w:p>
    <w:p>
      <w:pPr>
        <w:spacing w:before="0" w:after="0"/>
        <w:jc w:val="center"/>
      </w:pPr>
      <w:r>
        <w:drawing>
          <wp:inline xmlns:a="http://schemas.openxmlformats.org/drawingml/2006/main" xmlns:pic="http://schemas.openxmlformats.org/drawingml/2006/picture">
            <wp:extent cx="6033600" cy="4022400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884d46b8211bb68c.jp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6033600" cy="4022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</w:pPr>
      <w:r>
        <w:br w:type="page"/>
      </w:r>
    </w:p>
    <w:p>
      <w:pPr>
        <w:spacing w:before="0" w:after="0"/>
        <w:jc w:val="center"/>
      </w:pPr>
      <w:r>
        <w:drawing>
          <wp:inline xmlns:a="http://schemas.openxmlformats.org/drawingml/2006/main" xmlns:pic="http://schemas.openxmlformats.org/drawingml/2006/picture">
            <wp:extent cx="6033600" cy="4022400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95c09d6b7709fdf.jp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6033600" cy="4022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80" w:after="0"/>
      </w:pPr>
    </w:p>
    <w:p>
      <w:pPr>
        <w:spacing w:before="0" w:after="0"/>
        <w:jc w:val="center"/>
      </w:pPr>
      <w:r>
        <w:drawing>
          <wp:inline xmlns:a="http://schemas.openxmlformats.org/drawingml/2006/main" xmlns:pic="http://schemas.openxmlformats.org/drawingml/2006/picture">
            <wp:extent cx="6033600" cy="4022400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c2138acd787c73d.jp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6033600" cy="4022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</w:pPr>
      <w:r>
        <w:br w:type="page"/>
      </w:r>
    </w:p>
    <w:p>
      <w:pPr>
        <w:spacing w:before="0" w:after="0"/>
        <w:jc w:val="center"/>
      </w:pPr>
      <w:r>
        <w:drawing>
          <wp:inline xmlns:a="http://schemas.openxmlformats.org/drawingml/2006/main" xmlns:pic="http://schemas.openxmlformats.org/drawingml/2006/picture">
            <wp:extent cx="6033600" cy="4022400"/>
            <wp:docPr id="37" name="Picture 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3bf0c2172896e94.jp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6033600" cy="4022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80" w:after="0"/>
      </w:pPr>
    </w:p>
    <w:p>
      <w:pPr>
        <w:spacing w:before="0" w:after="0"/>
        <w:jc w:val="center"/>
      </w:pPr>
      <w:r>
        <w:drawing>
          <wp:inline xmlns:a="http://schemas.openxmlformats.org/drawingml/2006/main" xmlns:pic="http://schemas.openxmlformats.org/drawingml/2006/picture">
            <wp:extent cx="6033600" cy="4022400"/>
            <wp:docPr id="38" name="Picture 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58682d914b548fb.jp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6033600" cy="4022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</w:pPr>
      <w:r>
        <w:br w:type="page"/>
      </w:r>
    </w:p>
    <w:p>
      <w:pPr>
        <w:spacing w:before="0" w:after="0"/>
        <w:jc w:val="center"/>
      </w:pPr>
      <w:r>
        <w:drawing>
          <wp:inline xmlns:a="http://schemas.openxmlformats.org/drawingml/2006/main" xmlns:pic="http://schemas.openxmlformats.org/drawingml/2006/picture">
            <wp:extent cx="6033600" cy="4022400"/>
            <wp:docPr id="39" name="Picture 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9f04b85112feb75.jp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6033600" cy="4022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80" w:after="0"/>
      </w:pPr>
    </w:p>
    <w:p>
      <w:pPr>
        <w:spacing w:before="0" w:after="0"/>
        <w:jc w:val="center"/>
      </w:pPr>
      <w:r>
        <w:drawing>
          <wp:inline xmlns:a="http://schemas.openxmlformats.org/drawingml/2006/main" xmlns:pic="http://schemas.openxmlformats.org/drawingml/2006/picture">
            <wp:extent cx="6033600" cy="4022400"/>
            <wp:docPr id="40" name="Picture 4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62681689d837a24.jp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6033600" cy="4022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</w:pPr>
      <w:r>
        <w:br w:type="page"/>
      </w:r>
    </w:p>
    <w:p>
      <w:pPr>
        <w:spacing w:before="0" w:after="0"/>
        <w:jc w:val="center"/>
      </w:pPr>
      <w:r>
        <w:drawing>
          <wp:inline xmlns:a="http://schemas.openxmlformats.org/drawingml/2006/main" xmlns:pic="http://schemas.openxmlformats.org/drawingml/2006/picture">
            <wp:extent cx="6033600" cy="4022400"/>
            <wp:docPr id="41" name="Picture 4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802717585848d9e9.jpg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6033600" cy="4022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80" w:after="0"/>
      </w:pPr>
    </w:p>
    <w:p>
      <w:pPr>
        <w:spacing w:before="0" w:after="0"/>
        <w:jc w:val="center"/>
      </w:pPr>
      <w:r>
        <w:drawing>
          <wp:inline xmlns:a="http://schemas.openxmlformats.org/drawingml/2006/main" xmlns:pic="http://schemas.openxmlformats.org/drawingml/2006/picture">
            <wp:extent cx="6033600" cy="4022400"/>
            <wp:docPr id="42" name="Picture 4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6be80cd41c05f67.jpg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6033600" cy="4022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</w:pPr>
      <w:r>
        <w:br w:type="page"/>
      </w:r>
    </w:p>
    <w:p>
      <w:pPr>
        <w:spacing w:before="0" w:after="0"/>
        <w:jc w:val="center"/>
      </w:pPr>
      <w:r>
        <w:drawing>
          <wp:inline xmlns:a="http://schemas.openxmlformats.org/drawingml/2006/main" xmlns:pic="http://schemas.openxmlformats.org/drawingml/2006/picture">
            <wp:extent cx="6033600" cy="4022400"/>
            <wp:docPr id="43" name="Picture 4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d66723f05807492.jpg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6033600" cy="4022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80" w:after="0"/>
      </w:pPr>
    </w:p>
    <w:p>
      <w:pPr>
        <w:spacing w:before="0" w:after="0"/>
        <w:jc w:val="center"/>
      </w:pPr>
      <w:r>
        <w:drawing>
          <wp:inline xmlns:a="http://schemas.openxmlformats.org/drawingml/2006/main" xmlns:pic="http://schemas.openxmlformats.org/drawingml/2006/picture">
            <wp:extent cx="6033600" cy="4022400"/>
            <wp:docPr id="44" name="Picture 4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71682208dab418a.jpg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6033600" cy="4022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</w:pPr>
      <w:r>
        <w:br w:type="page"/>
      </w:r>
    </w:p>
    <w:p>
      <w:pPr>
        <w:spacing w:before="0" w:after="0"/>
        <w:jc w:val="center"/>
      </w:pPr>
      <w:r>
        <w:drawing>
          <wp:inline xmlns:a="http://schemas.openxmlformats.org/drawingml/2006/main" xmlns:pic="http://schemas.openxmlformats.org/drawingml/2006/picture">
            <wp:extent cx="6033600" cy="4022400"/>
            <wp:docPr id="45" name="Picture 4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64f27919f6094da.jpg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6033600" cy="4022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80" w:after="0"/>
      </w:pPr>
    </w:p>
    <w:p>
      <w:pPr>
        <w:spacing w:before="0" w:after="0"/>
        <w:jc w:val="center"/>
      </w:pPr>
      <w:r>
        <w:drawing>
          <wp:inline xmlns:a="http://schemas.openxmlformats.org/drawingml/2006/main" xmlns:pic="http://schemas.openxmlformats.org/drawingml/2006/picture">
            <wp:extent cx="6033600" cy="4022400"/>
            <wp:docPr id="46" name="Picture 4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666121a8cb24446.jpg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6033600" cy="4022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</w:pPr>
      <w:r>
        <w:br w:type="page"/>
      </w:r>
    </w:p>
    <w:p>
      <w:pPr>
        <w:spacing w:before="0" w:after="0"/>
        <w:jc w:val="center"/>
      </w:pPr>
      <w:r>
        <w:drawing>
          <wp:inline xmlns:a="http://schemas.openxmlformats.org/drawingml/2006/main" xmlns:pic="http://schemas.openxmlformats.org/drawingml/2006/picture">
            <wp:extent cx="6033600" cy="4022400"/>
            <wp:docPr id="47" name="Picture 4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cf9c3379d005967.jpg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6033600" cy="4022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80" w:after="0"/>
      </w:pPr>
    </w:p>
    <w:p>
      <w:pPr>
        <w:spacing w:before="0" w:after="0"/>
        <w:jc w:val="center"/>
      </w:pPr>
      <w:r>
        <w:drawing>
          <wp:inline xmlns:a="http://schemas.openxmlformats.org/drawingml/2006/main" xmlns:pic="http://schemas.openxmlformats.org/drawingml/2006/picture">
            <wp:extent cx="6033600" cy="4022400"/>
            <wp:docPr id="48" name="Picture 4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a124590987071a0.jpg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6033600" cy="4022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</w:pPr>
      <w:r>
        <w:br w:type="page"/>
      </w:r>
    </w:p>
    <w:p>
      <w:pPr>
        <w:spacing w:before="0" w:after="0"/>
        <w:jc w:val="center"/>
      </w:pPr>
      <w:r>
        <w:drawing>
          <wp:inline xmlns:a="http://schemas.openxmlformats.org/drawingml/2006/main" xmlns:pic="http://schemas.openxmlformats.org/drawingml/2006/picture">
            <wp:extent cx="6033600" cy="4022400"/>
            <wp:docPr id="49" name="Picture 4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0fe2a9abd71814f.jpg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6033600" cy="4022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80" w:after="0"/>
      </w:pPr>
    </w:p>
    <w:p>
      <w:pPr>
        <w:spacing w:before="0" w:after="0"/>
        <w:jc w:val="center"/>
      </w:pPr>
      <w:r>
        <w:drawing>
          <wp:inline xmlns:a="http://schemas.openxmlformats.org/drawingml/2006/main" xmlns:pic="http://schemas.openxmlformats.org/drawingml/2006/picture">
            <wp:extent cx="6033600" cy="4022400"/>
            <wp:docPr id="50" name="Picture 5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18ff442bd627833.jpg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6033600" cy="4022400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1906" w:h="16838"/>
      <w:pgMar w:top="1077" w:right="1174" w:bottom="1134" w:left="117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76" w:lineRule="auto"/>
    </w:pPr>
    <w:rPr>
      <w:rFonts w:ascii="Calibri" w:hAnsi="Calibri"/>
      <w:color w:val="2C2C2C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jpg"/><Relationship Id="rId11" Type="http://schemas.openxmlformats.org/officeDocument/2006/relationships/image" Target="media/image3.jpg"/><Relationship Id="rId12" Type="http://schemas.openxmlformats.org/officeDocument/2006/relationships/image" Target="media/image4.jpg"/><Relationship Id="rId13" Type="http://schemas.openxmlformats.org/officeDocument/2006/relationships/image" Target="media/image5.jpg"/><Relationship Id="rId14" Type="http://schemas.openxmlformats.org/officeDocument/2006/relationships/image" Target="media/image6.jpg"/><Relationship Id="rId15" Type="http://schemas.openxmlformats.org/officeDocument/2006/relationships/image" Target="media/image7.jpg"/><Relationship Id="rId16" Type="http://schemas.openxmlformats.org/officeDocument/2006/relationships/image" Target="media/image8.jpg"/><Relationship Id="rId17" Type="http://schemas.openxmlformats.org/officeDocument/2006/relationships/image" Target="media/image9.jpg"/><Relationship Id="rId18" Type="http://schemas.openxmlformats.org/officeDocument/2006/relationships/image" Target="media/image10.jpg"/><Relationship Id="rId19" Type="http://schemas.openxmlformats.org/officeDocument/2006/relationships/image" Target="media/image11.jpg"/><Relationship Id="rId20" Type="http://schemas.openxmlformats.org/officeDocument/2006/relationships/image" Target="media/image12.jpg"/><Relationship Id="rId21" Type="http://schemas.openxmlformats.org/officeDocument/2006/relationships/image" Target="media/image13.jpg"/><Relationship Id="rId22" Type="http://schemas.openxmlformats.org/officeDocument/2006/relationships/image" Target="media/image14.jpg"/><Relationship Id="rId23" Type="http://schemas.openxmlformats.org/officeDocument/2006/relationships/image" Target="media/image15.jpg"/><Relationship Id="rId24" Type="http://schemas.openxmlformats.org/officeDocument/2006/relationships/image" Target="media/image16.jpg"/><Relationship Id="rId25" Type="http://schemas.openxmlformats.org/officeDocument/2006/relationships/image" Target="media/image17.png"/><Relationship Id="rId26" Type="http://schemas.openxmlformats.org/officeDocument/2006/relationships/image" Target="media/image18.jpg"/><Relationship Id="rId27" Type="http://schemas.openxmlformats.org/officeDocument/2006/relationships/image" Target="media/image19.jpg"/><Relationship Id="rId28" Type="http://schemas.openxmlformats.org/officeDocument/2006/relationships/image" Target="media/image20.jpg"/><Relationship Id="rId29" Type="http://schemas.openxmlformats.org/officeDocument/2006/relationships/image" Target="media/image21.jpg"/><Relationship Id="rId30" Type="http://schemas.openxmlformats.org/officeDocument/2006/relationships/image" Target="media/image22.jpg"/><Relationship Id="rId31" Type="http://schemas.openxmlformats.org/officeDocument/2006/relationships/image" Target="media/image23.jpg"/><Relationship Id="rId32" Type="http://schemas.openxmlformats.org/officeDocument/2006/relationships/image" Target="media/image24.jpg"/><Relationship Id="rId33" Type="http://schemas.openxmlformats.org/officeDocument/2006/relationships/image" Target="media/image25.jpg"/><Relationship Id="rId34" Type="http://schemas.openxmlformats.org/officeDocument/2006/relationships/image" Target="media/image26.jpg"/><Relationship Id="rId35" Type="http://schemas.openxmlformats.org/officeDocument/2006/relationships/image" Target="media/image27.jpg"/><Relationship Id="rId36" Type="http://schemas.openxmlformats.org/officeDocument/2006/relationships/image" Target="media/image28.jpg"/><Relationship Id="rId37" Type="http://schemas.openxmlformats.org/officeDocument/2006/relationships/image" Target="media/image29.jpg"/><Relationship Id="rId38" Type="http://schemas.openxmlformats.org/officeDocument/2006/relationships/image" Target="media/image30.jpg"/><Relationship Id="rId39" Type="http://schemas.openxmlformats.org/officeDocument/2006/relationships/image" Target="media/image31.jpg"/><Relationship Id="rId40" Type="http://schemas.openxmlformats.org/officeDocument/2006/relationships/image" Target="media/image32.jpg"/><Relationship Id="rId41" Type="http://schemas.openxmlformats.org/officeDocument/2006/relationships/image" Target="media/image33.png"/><Relationship Id="rId42" Type="http://schemas.openxmlformats.org/officeDocument/2006/relationships/image" Target="media/image34.jpg"/><Relationship Id="rId43" Type="http://schemas.openxmlformats.org/officeDocument/2006/relationships/image" Target="media/image35.jpg"/><Relationship Id="rId44" Type="http://schemas.openxmlformats.org/officeDocument/2006/relationships/image" Target="media/image36.jpg"/><Relationship Id="rId45" Type="http://schemas.openxmlformats.org/officeDocument/2006/relationships/image" Target="media/image37.jpg"/><Relationship Id="rId46" Type="http://schemas.openxmlformats.org/officeDocument/2006/relationships/image" Target="media/image38.jpg"/><Relationship Id="rId47" Type="http://schemas.openxmlformats.org/officeDocument/2006/relationships/image" Target="media/image39.jpg"/><Relationship Id="rId48" Type="http://schemas.openxmlformats.org/officeDocument/2006/relationships/image" Target="media/image40.jpg"/><Relationship Id="rId49" Type="http://schemas.openxmlformats.org/officeDocument/2006/relationships/image" Target="media/image41.jpg"/><Relationship Id="rId50" Type="http://schemas.openxmlformats.org/officeDocument/2006/relationships/image" Target="media/image42.jpg"/><Relationship Id="rId51" Type="http://schemas.openxmlformats.org/officeDocument/2006/relationships/image" Target="media/image43.jpg"/><Relationship Id="rId52" Type="http://schemas.openxmlformats.org/officeDocument/2006/relationships/image" Target="media/image44.jpg"/><Relationship Id="rId53" Type="http://schemas.openxmlformats.org/officeDocument/2006/relationships/image" Target="media/image45.jpg"/><Relationship Id="rId54" Type="http://schemas.openxmlformats.org/officeDocument/2006/relationships/image" Target="media/image46.jpg"/><Relationship Id="rId55" Type="http://schemas.openxmlformats.org/officeDocument/2006/relationships/image" Target="media/image47.jpg"/><Relationship Id="rId56" Type="http://schemas.openxmlformats.org/officeDocument/2006/relationships/image" Target="media/image48.jpg"/><Relationship Id="rId57" Type="http://schemas.openxmlformats.org/officeDocument/2006/relationships/image" Target="media/image49.jpg"/><Relationship Id="rId58" Type="http://schemas.openxmlformats.org/officeDocument/2006/relationships/image" Target="media/image50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