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9" w:lineRule="auto"/>
        <w:jc w:val="left"/>
      </w:pPr>
    </w:p>
    <w:p>
      <w:pPr>
        <w:spacing w:before="0" w:after="0" w:line="269" w:lineRule="auto"/>
        <w:jc w:val="left"/>
      </w:pPr>
    </w:p>
    <w:p>
      <w:pPr>
        <w:spacing w:before="0" w:after="40" w:line="269" w:lineRule="auto"/>
        <w:jc w:val="left"/>
      </w:pPr>
      <w:r>
        <w:rPr>
          <w:rFonts w:ascii="Calibri" w:hAnsi="Calibri" w:cs="Calibri"/>
          <w:b/>
          <w:i w:val="0"/>
          <w:color w:val="6B7785"/>
          <w:sz w:val="22"/>
          <w:spacing w:val="60"/>
        </w:rPr>
        <w:t>ЕЖЕНЕДЕЛЬНАЯ АНАЛИТИКА</w:t>
      </w:r>
    </w:p>
    <w:p>
      <w:pPr>
        <w:spacing w:before="0" w:after="40" w:line="269" w:lineRule="auto"/>
        <w:jc w:val="left"/>
      </w:pPr>
      <w:r>
        <w:rPr>
          <w:rFonts w:ascii="Calibri" w:hAnsi="Calibri" w:cs="Calibri"/>
          <w:b/>
          <w:i w:val="0"/>
          <w:color w:val="1F3A5F"/>
          <w:sz w:val="60"/>
        </w:rPr>
        <w:t>Рынок недвижимости</w:t>
      </w:r>
    </w:p>
    <w:p>
      <w:pPr>
        <w:spacing w:before="0" w:after="200" w:line="269" w:lineRule="auto"/>
        <w:jc w:val="left"/>
      </w:pPr>
      <w:r>
        <w:rPr>
          <w:rFonts w:ascii="Calibri" w:hAnsi="Calibri" w:cs="Calibri"/>
          <w:b/>
          <w:i w:val="0"/>
          <w:color w:val="1F3A5F"/>
          <w:sz w:val="60"/>
        </w:rPr>
        <w:t>Нидерландов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3324"/>
        <w:gridCol w:w="3324"/>
        <w:gridCol w:w="3324"/>
      </w:tblGrid>
      <w:tr>
        <w:tc>
          <w:tcPr>
            <w:tcW w:type="dxa" w:w="3175"/>
            <w:shd w:val="clear" w:color="auto" w:fill="16846F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3175"/>
            <w:shd w:val="clear" w:color="auto" w:fill="C0791C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3175"/>
            <w:shd w:val="clear" w:color="auto" w:fill="2C5F8A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</w:tr>
    </w:tbl>
    <w:p>
      <w:pPr>
        <w:spacing w:before="0" w:after="160" w:line="269" w:lineRule="auto"/>
        <w:jc w:val="left"/>
      </w:pPr>
    </w:p>
    <w:p>
      <w:pPr>
        <w:spacing w:before="40" w:after="200" w:line="269" w:lineRule="auto"/>
        <w:jc w:val="left"/>
      </w:pPr>
      <w:r>
        <w:rPr>
          <w:rFonts w:ascii="Calibri" w:hAnsi="Calibri" w:cs="Calibri"/>
          <w:b/>
          <w:i/>
          <w:color w:val="105A4C"/>
          <w:sz w:val="28"/>
        </w:rPr>
        <w:t>«Большие деньги двигаются: Vesteda гасит панику, Prologis торгуется за Segro, а ритейл-парки тихо обыгрывают весь рынок»</w:t>
      </w:r>
    </w:p>
    <w:p>
      <w:pPr>
        <w:spacing w:before="0" w:after="40" w:line="269" w:lineRule="auto"/>
        <w:jc w:val="left"/>
      </w:pPr>
      <w:r>
        <w:rPr>
          <w:rFonts w:ascii="Calibri" w:hAnsi="Calibri" w:cs="Calibri"/>
          <w:b/>
          <w:i w:val="0"/>
          <w:color w:val="222B36"/>
          <w:sz w:val="26"/>
        </w:rPr>
        <w:t xml:space="preserve">Период: </w:t>
      </w:r>
      <w:r>
        <w:rPr>
          <w:rFonts w:ascii="Calibri" w:hAnsi="Calibri" w:cs="Calibri"/>
          <w:b w:val="0"/>
          <w:i w:val="0"/>
          <w:color w:val="222B36"/>
          <w:sz w:val="26"/>
        </w:rPr>
        <w:t>23–30 июня 2026 г.</w:t>
      </w:r>
    </w:p>
    <w:p>
      <w:pPr>
        <w:spacing w:before="0" w:after="40" w:line="269" w:lineRule="auto"/>
        <w:jc w:val="left"/>
      </w:pPr>
      <w:r>
        <w:rPr>
          <w:rFonts w:ascii="Calibri" w:hAnsi="Calibri" w:cs="Calibri"/>
          <w:b/>
          <w:i w:val="0"/>
          <w:color w:val="6B7785"/>
          <w:sz w:val="22"/>
        </w:rPr>
        <w:t xml:space="preserve">Сегменты: </w:t>
      </w:r>
      <w:r>
        <w:rPr>
          <w:rFonts w:ascii="Calibri" w:hAnsi="Calibri" w:cs="Calibri"/>
          <w:b w:val="0"/>
          <w:i w:val="0"/>
          <w:color w:val="6B7785"/>
          <w:sz w:val="22"/>
        </w:rPr>
        <w:t>жилая недвижимость · коммерция (стрит-ритейл) · индустриальная (склады, промзоны)</w:t>
      </w:r>
    </w:p>
    <w:p>
      <w:pPr>
        <w:spacing w:before="40" w:after="280" w:line="269" w:lineRule="auto"/>
        <w:jc w:val="left"/>
      </w:pPr>
      <w:r>
        <w:rPr>
          <w:rFonts w:ascii="Calibri" w:hAnsi="Calibri" w:cs="Calibri"/>
          <w:b w:val="0"/>
          <w:i/>
          <w:color w:val="6B7785"/>
          <w:sz w:val="19"/>
        </w:rPr>
        <w:t>Отчёт сформирован: 30 июня 2026 г.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1F3A5F"/>
            <w:tcMar>
              <w:top w:w="150" w:type="dxa"/>
              <w:bottom w:w="15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ГЛАВНЫЕ ВЫВОДЫ НЕДЕЛИ</w:t>
            </w:r>
          </w:p>
          <w:p>
            <w:pPr>
              <w:spacing w:before="40" w:after="40" w:line="276" w:lineRule="auto"/>
              <w:ind w:left="312" w:hanging="312"/>
            </w:pPr>
            <w:r>
              <w:rPr>
                <w:rFonts w:ascii="Calibri" w:hAnsi="Calibri" w:cs="Calibri"/>
                <w:b/>
                <w:i w:val="0"/>
                <w:color w:val="F0C46A"/>
                <w:sz w:val="21"/>
              </w:rPr>
              <w:t xml:space="preserve">1.  </w:t>
            </w:r>
            <w:r>
              <w:rPr>
                <w:rFonts w:ascii="Calibri" w:hAnsi="Calibri" w:cs="Calibri"/>
                <w:b w:val="0"/>
                <w:i w:val="0"/>
                <w:color w:val="ECF1F6"/>
                <w:sz w:val="21"/>
              </w:rPr>
              <w:t>Институционалы перестали бежать из арендного жилья: Vesteda срезала выкуп паёв с 4,1 млрд до 765 млн евро, а Bouwinvest вдвое нарастил фонд для жилья пожилых — паника отступает, рынок стабилизируется.</w:t>
            </w:r>
          </w:p>
          <w:p>
            <w:pPr>
              <w:spacing w:before="40" w:after="40" w:line="276" w:lineRule="auto"/>
              <w:ind w:left="312" w:hanging="312"/>
            </w:pPr>
            <w:r>
              <w:rPr>
                <w:rFonts w:ascii="Calibri" w:hAnsi="Calibri" w:cs="Calibri"/>
                <w:b/>
                <w:i w:val="0"/>
                <w:color w:val="F0C46A"/>
                <w:sz w:val="21"/>
              </w:rPr>
              <w:t xml:space="preserve">2.  </w:t>
            </w:r>
            <w:r>
              <w:rPr>
                <w:rFonts w:ascii="Calibri" w:hAnsi="Calibri" w:cs="Calibri"/>
                <w:b w:val="0"/>
                <w:i w:val="0"/>
                <w:color w:val="ECF1F6"/>
                <w:sz w:val="21"/>
              </w:rPr>
              <w:t>Города ужесточают долю доступного жилья (Утрехт 80%, Роттердам ~67%), а девелоперы (BPD) лоббируют смягчение — это главное напряжение сезона, которое определит маржу будущих проектов.</w:t>
            </w:r>
          </w:p>
          <w:p>
            <w:pPr>
              <w:spacing w:before="40" w:after="40" w:line="276" w:lineRule="auto"/>
              <w:ind w:left="312" w:hanging="312"/>
            </w:pPr>
            <w:r>
              <w:rPr>
                <w:rFonts w:ascii="Calibri" w:hAnsi="Calibri" w:cs="Calibri"/>
                <w:b/>
                <w:i w:val="0"/>
                <w:color w:val="F0C46A"/>
                <w:sz w:val="21"/>
              </w:rPr>
              <w:t xml:space="preserve">3.  </w:t>
            </w:r>
            <w:r>
              <w:rPr>
                <w:rFonts w:ascii="Calibri" w:hAnsi="Calibri" w:cs="Calibri"/>
                <w:b w:val="0"/>
                <w:i w:val="0"/>
                <w:color w:val="ECF1F6"/>
                <w:sz w:val="21"/>
              </w:rPr>
              <w:t>Периферийные ритейл-парки — тихий чемпион недели: вакантность 4,4% против 5,5% по рынку, доходность ~7,5% брутто у Retail Estates; устойчивый высокодоходный продукт, пока центры городов страдают.</w:t>
            </w:r>
          </w:p>
          <w:p>
            <w:pPr>
              <w:spacing w:before="40" w:after="40" w:line="276" w:lineRule="auto"/>
              <w:ind w:left="312" w:hanging="312"/>
            </w:pPr>
            <w:r>
              <w:rPr>
                <w:rFonts w:ascii="Calibri" w:hAnsi="Calibri" w:cs="Calibri"/>
                <w:b/>
                <w:i w:val="0"/>
                <w:color w:val="F0C46A"/>
                <w:sz w:val="21"/>
              </w:rPr>
              <w:t xml:space="preserve">4.  </w:t>
            </w:r>
            <w:r>
              <w:rPr>
                <w:rFonts w:ascii="Calibri" w:hAnsi="Calibri" w:cs="Calibri"/>
                <w:b w:val="0"/>
                <w:i w:val="0"/>
                <w:color w:val="ECF1F6"/>
                <w:sz w:val="21"/>
              </w:rPr>
              <w:t>Логистика переоценивается на корпоративной истории: оферта Prologis на Segro (~14,6 млрд евро, отклонена) задаёт тон всему сектору, Deutsche Bank срезал целевые цены REIT, но держит «покупать» — оценки считают привлекательными.</w:t>
            </w:r>
          </w:p>
          <w:p>
            <w:pPr>
              <w:spacing w:before="40" w:after="40" w:line="276" w:lineRule="auto"/>
              <w:ind w:left="312" w:hanging="312"/>
            </w:pPr>
            <w:r>
              <w:rPr>
                <w:rFonts w:ascii="Calibri" w:hAnsi="Calibri" w:cs="Calibri"/>
                <w:b/>
                <w:i w:val="0"/>
                <w:color w:val="F0C46A"/>
                <w:sz w:val="21"/>
              </w:rPr>
              <w:t xml:space="preserve">5.  </w:t>
            </w:r>
            <w:r>
              <w:rPr>
                <w:rFonts w:ascii="Calibri" w:hAnsi="Calibri" w:cs="Calibri"/>
                <w:b w:val="0"/>
                <w:i w:val="0"/>
                <w:color w:val="ECF1F6"/>
                <w:sz w:val="21"/>
              </w:rPr>
              <w:t>Налоги остаются тормозом для притока капитала: box 3 (реальная доходность) сдвинут на 2028, а IVBN бьётся за смягчение лимита на вычет процентов — пока нагрузка выше европейской.</w:t>
            </w:r>
          </w:p>
        </w:tc>
      </w:tr>
    </w:tbl>
    <w:p>
      <w:pPr>
        <w:spacing w:before="0" w:after="16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FBF1DF"/>
            <w:tcMar>
              <w:top w:w="130" w:type="dxa"/>
              <w:bottom w:w="130" w:type="dxa"/>
              <w:start w:w="220" w:type="dxa"/>
              <w:end w:w="220" w:type="dxa"/>
              <w:left w:w="220" w:type="dxa"/>
              <w:right w:w="220" w:type="dxa"/>
            </w:tcMar>
            <w:tcBorders>
              <w:left w:val="single" w:sz="30" w:space="0" w:color="C0791C"/>
            </w:tcBorders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i w:val="0"/>
                <w:color w:val="8A5510"/>
                <w:sz w:val="20"/>
              </w:rPr>
              <w:t>★  ВАЖНО ДЛЯ ВАШЕГО ПОРТФЕЛЯ</w:t>
            </w:r>
          </w:p>
          <w:p>
            <w:pPr>
              <w:spacing w:before="40" w:after="40" w:line="276" w:lineRule="auto"/>
              <w:ind w:left="283" w:hanging="198"/>
            </w:pPr>
            <w:r>
              <w:rPr>
                <w:rFonts w:ascii="Calibri" w:hAnsi="Calibri" w:cs="Calibri"/>
                <w:b/>
                <w:i w:val="0"/>
                <w:color w:val="8A5510"/>
                <w:sz w:val="21"/>
              </w:rPr>
              <w:t xml:space="preserve">▪  </w:t>
            </w:r>
            <w:r>
              <w:rPr>
                <w:rFonts w:ascii="Calibri" w:hAnsi="Calibri" w:cs="Calibri"/>
                <w:b w:val="0"/>
                <w:i w:val="0"/>
                <w:color w:val="222B36"/>
                <w:sz w:val="21"/>
              </w:rPr>
              <w:t>Ваш фокус — склады: оферта Prologis за Segro (€14,6 млрд) переоценивает весь европейский логистический сектор. Развязка 22 июля — следите.</w:t>
            </w:r>
          </w:p>
          <w:p>
            <w:pPr>
              <w:spacing w:before="40" w:after="40" w:line="276" w:lineRule="auto"/>
              <w:ind w:left="283" w:hanging="198"/>
            </w:pPr>
            <w:r>
              <w:rPr>
                <w:rFonts w:ascii="Calibri" w:hAnsi="Calibri" w:cs="Calibri"/>
                <w:b/>
                <w:i w:val="0"/>
                <w:color w:val="8A5510"/>
                <w:sz w:val="21"/>
              </w:rPr>
              <w:t xml:space="preserve">▪  </w:t>
            </w:r>
            <w:r>
              <w:rPr>
                <w:rFonts w:ascii="Calibri" w:hAnsi="Calibri" w:cs="Calibri"/>
                <w:b w:val="0"/>
                <w:i w:val="0"/>
                <w:color w:val="222B36"/>
                <w:sz w:val="21"/>
              </w:rPr>
              <w:t>По вашим ритейл-паркам: вакантность 4,4% против 5,5% по рынку — сегмент держится крепче центров городов.</w:t>
            </w:r>
          </w:p>
          <w:p>
            <w:pPr>
              <w:spacing w:before="40" w:after="40" w:line="276" w:lineRule="auto"/>
              <w:ind w:left="283" w:hanging="198"/>
            </w:pPr>
            <w:r>
              <w:rPr>
                <w:rFonts w:ascii="Calibri" w:hAnsi="Calibri" w:cs="Calibri"/>
                <w:b/>
                <w:i w:val="0"/>
                <w:color w:val="8A5510"/>
                <w:sz w:val="21"/>
              </w:rPr>
              <w:t xml:space="preserve">▪  </w:t>
            </w:r>
            <w:r>
              <w:rPr>
                <w:rFonts w:ascii="Calibri" w:hAnsi="Calibri" w:cs="Calibri"/>
                <w:b w:val="0"/>
                <w:i w:val="0"/>
                <w:color w:val="222B36"/>
                <w:sz w:val="21"/>
              </w:rPr>
              <w:t>Индустриал, регион действия: с 1 июля ужесточаются правила netcongestie — проверьте запас электромощности на ваших площадках в Венло/Мурдейке.</w:t>
            </w:r>
          </w:p>
        </w:tc>
      </w:tr>
    </w:tbl>
    <w:p>
      <w:pPr>
        <w:spacing w:before="0" w:after="120" w:line="269" w:lineRule="auto"/>
        <w:jc w:val="left"/>
      </w:pPr>
    </w:p>
    <w:p>
      <w:pPr>
        <w:spacing w:before="200" w:after="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5D6D7E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keepNext/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8"/>
              </w:rPr>
              <w:t>🧵  Сюжеты в развитии</w:t>
            </w:r>
          </w:p>
        </w:tc>
      </w:tr>
    </w:tbl>
    <w:p>
      <w:pPr>
        <w:spacing w:before="0" w:after="40" w:line="269" w:lineRule="auto"/>
        <w:jc w:val="left"/>
      </w:pPr>
    </w:p>
    <w:p>
      <w:pPr>
        <w:keepNext/>
        <w:spacing w:before="100" w:after="20" w:line="269" w:lineRule="auto"/>
        <w:jc w:val="left"/>
      </w:pPr>
      <w:r>
        <w:rPr>
          <w:rFonts w:ascii="Calibri" w:hAnsi="Calibri" w:cs="Calibri"/>
          <w:b/>
          <w:i w:val="0"/>
          <w:color w:val="8A5510"/>
          <w:sz w:val="16"/>
          <w:shd w:val="clear" w:color="auto" w:fill="FBF1DF"/>
        </w:rPr>
        <w:t xml:space="preserve"> В РАЗВИТИИ </w:t>
      </w:r>
      <w:r>
        <w:rPr>
          <w:rFonts w:ascii="Calibri" w:hAnsi="Calibri" w:cs="Calibri"/>
          <w:b/>
          <w:i w:val="0"/>
          <w:color w:val="1F3A5F"/>
          <w:sz w:val="22"/>
        </w:rPr>
        <w:t xml:space="preserve">  Prologis торгуется за Segro</w:t>
      </w:r>
    </w:p>
    <w:p>
      <w:pPr>
        <w:spacing w:before="0" w:after="20" w:line="264" w:lineRule="auto"/>
        <w:ind w:left="113"/>
        <w:jc w:val="left"/>
      </w:pPr>
      <w:r>
        <w:rPr>
          <w:rFonts w:ascii="Calibri" w:hAnsi="Calibri" w:cs="Calibri"/>
          <w:b/>
          <w:i w:val="0"/>
          <w:color w:val="6B7785"/>
          <w:sz w:val="19"/>
        </w:rPr>
        <w:t xml:space="preserve">Что нового: </w:t>
      </w:r>
      <w:r>
        <w:rPr>
          <w:rFonts w:ascii="Calibri" w:hAnsi="Calibri" w:cs="Calibri"/>
          <w:b w:val="0"/>
          <w:i w:val="0"/>
          <w:color w:val="222B36"/>
          <w:sz w:val="19"/>
        </w:rPr>
        <w:t>Prologis сделала предложение о поглощении Segro за ~14,6 млрд € (925 пенсов/акция, премия 24,6%); совет Segro единогласно отклонил оферту как заниженную. По британскому кодексу о поглощениях Prologis до 22 июля должна либо подтвердить твёрдое намерение, либо отступить. Сделка задаёт тон оценкам всего европейского и нидерландского логистического сектора.</w:t>
      </w:r>
    </w:p>
    <w:p>
      <w:pPr>
        <w:spacing w:before="0" w:after="80" w:line="252" w:lineRule="auto"/>
        <w:ind w:left="113"/>
        <w:jc w:val="left"/>
      </w:pPr>
      <w:r>
        <w:rPr>
          <w:rFonts w:ascii="Calibri" w:hAnsi="Calibri" w:cs="Calibri"/>
          <w:b/>
          <w:i w:val="0"/>
          <w:color w:val="8A5510"/>
          <w:sz w:val="18"/>
        </w:rPr>
        <w:t xml:space="preserve">Следующий триггер: </w:t>
      </w:r>
      <w:r>
        <w:rPr>
          <w:rFonts w:ascii="Calibri" w:hAnsi="Calibri" w:cs="Calibri"/>
          <w:b w:val="0"/>
          <w:i/>
          <w:color w:val="6B7785"/>
          <w:sz w:val="18"/>
        </w:rPr>
        <w:t>2026-07-22 — Дедлайн Prologis: подтвердить твёрдое намерение по Segro или отказаться (правило put up or shut up).</w:t>
      </w:r>
      <w:hyperlink r:id="rId11">
        <w:r>
          <w:rPr>
            <w:color w:val="1155CC"/>
            <w:sz w:val="17.0"/>
            <w:rFonts w:ascii="Calibri" w:hAnsi="Calibri"/>
            <w:u w:val="single"/>
          </w:rPr>
          <w:t xml:space="preserve">  ↗</w:t>
        </w:r>
      </w:hyperlink>
    </w:p>
    <w:p>
      <w:pPr>
        <w:keepNext/>
        <w:spacing w:before="100" w:after="20" w:line="269" w:lineRule="auto"/>
        <w:jc w:val="left"/>
      </w:pPr>
      <w:r>
        <w:rPr>
          <w:rFonts w:ascii="Calibri" w:hAnsi="Calibri" w:cs="Calibri"/>
          <w:b/>
          <w:i w:val="0"/>
          <w:color w:val="8A5510"/>
          <w:sz w:val="16"/>
          <w:shd w:val="clear" w:color="auto" w:fill="FBF1DF"/>
        </w:rPr>
        <w:t xml:space="preserve"> В РАЗВИТИИ </w:t>
      </w:r>
      <w:r>
        <w:rPr>
          <w:rFonts w:ascii="Calibri" w:hAnsi="Calibri" w:cs="Calibri"/>
          <w:b/>
          <w:i w:val="0"/>
          <w:color w:val="1F3A5F"/>
          <w:sz w:val="22"/>
        </w:rPr>
        <w:t xml:space="preserve">  Box 3: переход на налог с фактической доходности</w:t>
      </w:r>
    </w:p>
    <w:p>
      <w:pPr>
        <w:spacing w:before="0" w:after="20" w:line="264" w:lineRule="auto"/>
        <w:ind w:left="113"/>
        <w:jc w:val="left"/>
      </w:pPr>
      <w:r>
        <w:rPr>
          <w:rFonts w:ascii="Calibri" w:hAnsi="Calibri" w:cs="Calibri"/>
          <w:b/>
          <w:i w:val="0"/>
          <w:color w:val="6B7785"/>
          <w:sz w:val="19"/>
        </w:rPr>
        <w:t xml:space="preserve">Что нового: </w:t>
      </w:r>
      <w:r>
        <w:rPr>
          <w:rFonts w:ascii="Calibri" w:hAnsi="Calibri" w:cs="Calibri"/>
          <w:b w:val="0"/>
          <w:i w:val="0"/>
          <w:color w:val="222B36"/>
          <w:sz w:val="19"/>
        </w:rPr>
        <w:t>Сенат (Eerste Kamer) 30 июня провёл пленарные дебаты по законопроекту 'Wet werkelijk rendement box 3' (wetsvoorstel 36748): вместо фиктивной доходности — обложение реального арендного дохода ежегодно и прироста стоимости при продаже. Сенат разделён по вопросу обложения нереализованного прироста; голосование не раньше начала 2027, старт режима — 1 января 2028.</w:t>
      </w:r>
    </w:p>
    <w:p>
      <w:pPr>
        <w:spacing w:before="0" w:after="80" w:line="252" w:lineRule="auto"/>
        <w:ind w:left="113"/>
        <w:jc w:val="left"/>
      </w:pPr>
      <w:r>
        <w:rPr>
          <w:rFonts w:ascii="Calibri" w:hAnsi="Calibri" w:cs="Calibri"/>
          <w:b/>
          <w:i w:val="0"/>
          <w:color w:val="8A5510"/>
          <w:sz w:val="18"/>
        </w:rPr>
        <w:t xml:space="preserve">Следующий триггер: </w:t>
      </w:r>
      <w:r>
        <w:rPr>
          <w:rFonts w:ascii="Calibri" w:hAnsi="Calibri" w:cs="Calibri"/>
          <w:b w:val="0"/>
          <w:i/>
          <w:color w:val="6B7785"/>
          <w:sz w:val="18"/>
        </w:rPr>
        <w:t>2028-01-01 — Намеченный старт нового режима box 3; голосование в Сенате ожидается не раньше начала 2027.</w:t>
      </w:r>
      <w:hyperlink r:id="rId12">
        <w:r>
          <w:rPr>
            <w:color w:val="1155CC"/>
            <w:sz w:val="17.0"/>
            <w:rFonts w:ascii="Calibri" w:hAnsi="Calibri"/>
            <w:u w:val="single"/>
          </w:rPr>
          <w:t xml:space="preserve">  ↗</w:t>
        </w:r>
      </w:hyperlink>
    </w:p>
    <w:p>
      <w:pPr>
        <w:keepNext/>
        <w:spacing w:before="100" w:after="20" w:line="269" w:lineRule="auto"/>
        <w:jc w:val="left"/>
      </w:pPr>
      <w:r>
        <w:rPr>
          <w:rFonts w:ascii="Calibri" w:hAnsi="Calibri" w:cs="Calibri"/>
          <w:b/>
          <w:i w:val="0"/>
          <w:color w:val="1E7A4D"/>
          <w:sz w:val="16"/>
          <w:shd w:val="clear" w:color="auto" w:fill="E7F4EE"/>
        </w:rPr>
        <w:t xml:space="preserve"> ЗАКРЫТ </w:t>
      </w:r>
      <w:r>
        <w:rPr>
          <w:rFonts w:ascii="Calibri" w:hAnsi="Calibri" w:cs="Calibri"/>
          <w:b/>
          <w:i w:val="0"/>
          <w:color w:val="1F3A5F"/>
          <w:sz w:val="22"/>
        </w:rPr>
        <w:t xml:space="preserve">  Vesteda гасит панику с выкупом паёв</w:t>
      </w:r>
    </w:p>
    <w:p>
      <w:pPr>
        <w:spacing w:before="0" w:after="20" w:line="264" w:lineRule="auto"/>
        <w:ind w:left="113"/>
        <w:jc w:val="left"/>
      </w:pPr>
      <w:r>
        <w:rPr>
          <w:rFonts w:ascii="Calibri" w:hAnsi="Calibri" w:cs="Calibri"/>
          <w:b/>
          <w:i w:val="0"/>
          <w:color w:val="6B7785"/>
          <w:sz w:val="19"/>
        </w:rPr>
        <w:t xml:space="preserve">Что нового: </w:t>
      </w:r>
      <w:r>
        <w:rPr>
          <w:rFonts w:ascii="Calibri" w:hAnsi="Calibri" w:cs="Calibri"/>
          <w:b w:val="0"/>
          <w:i w:val="0"/>
          <w:color w:val="222B36"/>
          <w:sz w:val="19"/>
        </w:rPr>
        <w:t>На внеочередном собрании акционеров 26 июня Vesteda установила итоговый объём выкупа паёв в 765 млн € вместо первоначальных 4,1 млрд € (−81%), предотвратив масштабную распродажу ~28 000 арендных квартир. Инвесторы теперь могут выходить ежегодно, фонд даёт ликвидность по мере возможности в размере 7,5% капитала в год.</w:t>
      </w:r>
    </w:p>
    <w:p>
      <w:pPr>
        <w:spacing w:before="0" w:after="80" w:line="252" w:lineRule="auto"/>
        <w:ind w:left="113"/>
        <w:jc w:val="left"/>
      </w:pPr>
      <w:r>
        <w:rPr>
          <w:rFonts w:ascii="Calibri" w:hAnsi="Calibri" w:cs="Calibri"/>
          <w:b/>
          <w:i w:val="0"/>
          <w:color w:val="8A5510"/>
          <w:sz w:val="18"/>
        </w:rPr>
        <w:t xml:space="preserve">Следующий триггер: </w:t>
      </w:r>
      <w:r>
        <w:rPr>
          <w:rFonts w:ascii="Calibri" w:hAnsi="Calibri" w:cs="Calibri"/>
          <w:b w:val="0"/>
          <w:i/>
          <w:color w:val="6B7785"/>
          <w:sz w:val="18"/>
        </w:rPr>
        <w:t>2027-06-26 — Следующий ежегодный цикл подачи заявок на выкуп паёв (новые условия фонда).</w:t>
      </w:r>
      <w:hyperlink r:id="rId13">
        <w:r>
          <w:rPr>
            <w:color w:val="1155CC"/>
            <w:sz w:val="17.0"/>
            <w:rFonts w:ascii="Calibri" w:hAnsi="Calibri"/>
            <w:u w:val="single"/>
          </w:rPr>
          <w:t xml:space="preserve">  ↗</w:t>
        </w:r>
      </w:hyperlink>
    </w:p>
    <w:p>
      <w:pPr>
        <w:keepNext/>
        <w:spacing w:before="100" w:after="20" w:line="269" w:lineRule="auto"/>
        <w:jc w:val="left"/>
      </w:pPr>
      <w:r>
        <w:rPr>
          <w:rFonts w:ascii="Calibri" w:hAnsi="Calibri" w:cs="Calibri"/>
          <w:b/>
          <w:i w:val="0"/>
          <w:color w:val="B07A1C"/>
          <w:sz w:val="16"/>
          <w:shd w:val="clear" w:color="auto" w:fill="FFF6E5"/>
        </w:rPr>
        <w:t xml:space="preserve"> ПОД НАБЛЮДЕНИЕМ </w:t>
      </w:r>
      <w:r>
        <w:rPr>
          <w:rFonts w:ascii="Calibri" w:hAnsi="Calibri" w:cs="Calibri"/>
          <w:b/>
          <w:i w:val="0"/>
          <w:color w:val="1F3A5F"/>
          <w:sz w:val="22"/>
        </w:rPr>
        <w:t xml:space="preserve">  Перегрузка электросетей тормозит стройку</w:t>
      </w:r>
    </w:p>
    <w:p>
      <w:pPr>
        <w:spacing w:before="0" w:after="20" w:line="264" w:lineRule="auto"/>
        <w:ind w:left="113"/>
        <w:jc w:val="left"/>
      </w:pPr>
      <w:r>
        <w:rPr>
          <w:rFonts w:ascii="Calibri" w:hAnsi="Calibri" w:cs="Calibri"/>
          <w:b/>
          <w:i w:val="0"/>
          <w:color w:val="6B7785"/>
          <w:sz w:val="19"/>
        </w:rPr>
        <w:t xml:space="preserve">Что нового: </w:t>
      </w:r>
      <w:r>
        <w:rPr>
          <w:rFonts w:ascii="Calibri" w:hAnsi="Calibri" w:cs="Calibri"/>
          <w:b w:val="0"/>
          <w:i w:val="0"/>
          <w:color w:val="222B36"/>
          <w:sz w:val="19"/>
        </w:rPr>
        <w:t>Перегрузка электросети (netcongestie) проходит сквозной линией через неделю: Утрехт создаёт рабочую группу по борьбе с netcongestie, Heijmans закладывает в проект на 563 жилища автономную энергосистему (тепловой насос, солнечные панели, аккумуляторы) как обходной путь, а BPD называет дефицит инфраструктуры (~80 млрд €) и перегрузку сетей главным тормозом строительства, призывая 'просто начинать строить'.</w:t>
      </w:r>
    </w:p>
    <w:p>
      <w:pPr>
        <w:spacing w:before="0" w:after="80" w:line="252" w:lineRule="auto"/>
        <w:ind w:left="113"/>
        <w:jc w:val="left"/>
      </w:pPr>
      <w:r>
        <w:rPr>
          <w:rFonts w:ascii="Calibri" w:hAnsi="Calibri" w:cs="Calibri"/>
          <w:b/>
          <w:i w:val="0"/>
          <w:color w:val="8A5510"/>
          <w:sz w:val="18"/>
        </w:rPr>
        <w:t xml:space="preserve">Следующий триггер: </w:t>
      </w:r>
      <w:r>
        <w:rPr>
          <w:rFonts w:ascii="Calibri" w:hAnsi="Calibri" w:cs="Calibri"/>
          <w:b w:val="0"/>
          <w:i/>
          <w:color w:val="6B7785"/>
          <w:sz w:val="18"/>
        </w:rPr>
        <w:t>2026-09-30 — Следить за результатами рабочей группы Утрехта по netcongestie и реакцией на лобби BPD за смягчение нормы доступности.</w:t>
      </w:r>
      <w:hyperlink r:id="rId14">
        <w:r>
          <w:rPr>
            <w:color w:val="1155CC"/>
            <w:sz w:val="17.0"/>
            <w:rFonts w:ascii="Calibri" w:hAnsi="Calibri"/>
            <w:u w:val="single"/>
          </w:rPr>
          <w:t xml:space="preserve">  ↗</w:t>
        </w:r>
      </w:hyperlink>
    </w:p>
    <w:p>
      <w:pPr>
        <w:keepNext/>
        <w:spacing w:before="100" w:after="20" w:line="269" w:lineRule="auto"/>
        <w:jc w:val="left"/>
      </w:pPr>
      <w:r>
        <w:rPr>
          <w:rFonts w:ascii="Calibri" w:hAnsi="Calibri" w:cs="Calibri"/>
          <w:b/>
          <w:i w:val="0"/>
          <w:color w:val="8A5510"/>
          <w:sz w:val="16"/>
          <w:shd w:val="clear" w:color="auto" w:fill="FBF1DF"/>
        </w:rPr>
        <w:t xml:space="preserve"> В РАЗВИТИИ </w:t>
      </w:r>
      <w:r>
        <w:rPr>
          <w:rFonts w:ascii="Calibri" w:hAnsi="Calibri" w:cs="Calibri"/>
          <w:b/>
          <w:i w:val="0"/>
          <w:color w:val="1F3A5F"/>
          <w:sz w:val="22"/>
        </w:rPr>
        <w:t xml:space="preserve">  Города ужесточают долю доступного жилья</w:t>
      </w:r>
    </w:p>
    <w:p>
      <w:pPr>
        <w:spacing w:before="0" w:after="20" w:line="264" w:lineRule="auto"/>
        <w:ind w:left="113"/>
        <w:jc w:val="left"/>
      </w:pPr>
      <w:r>
        <w:rPr>
          <w:rFonts w:ascii="Calibri" w:hAnsi="Calibri" w:cs="Calibri"/>
          <w:b/>
          <w:i w:val="0"/>
          <w:color w:val="6B7785"/>
          <w:sz w:val="19"/>
        </w:rPr>
        <w:t xml:space="preserve">Что нового: </w:t>
      </w:r>
      <w:r>
        <w:rPr>
          <w:rFonts w:ascii="Calibri" w:hAnsi="Calibri" w:cs="Calibri"/>
          <w:b w:val="0"/>
          <w:i w:val="0"/>
          <w:color w:val="222B36"/>
          <w:sz w:val="19"/>
        </w:rPr>
        <w:t>Утрехт утвердил коалиционное соглашение с обязательной долей 80% доступного жилья (12 млн €/год на территории), Роттердам держит планку 67% по Regiewet (15 000 жилищ до 2030, doorbouwfonds 111 млн €). Параллельно девелоперы (BPD) лоббируют смягчение требования, что две трети жилья должны навсегда оставаться доступными — ключевое напряжение сезона, определяющее маржу будущих проектов.</w:t>
      </w:r>
    </w:p>
    <w:p>
      <w:pPr>
        <w:spacing w:before="0" w:after="80" w:line="252" w:lineRule="auto"/>
        <w:ind w:left="113"/>
        <w:jc w:val="left"/>
      </w:pPr>
      <w:r>
        <w:rPr>
          <w:rFonts w:ascii="Calibri" w:hAnsi="Calibri" w:cs="Calibri"/>
          <w:b/>
          <w:i w:val="0"/>
          <w:color w:val="8A5510"/>
          <w:sz w:val="18"/>
        </w:rPr>
        <w:t xml:space="preserve">Следующий триггер: </w:t>
      </w:r>
      <w:r>
        <w:rPr>
          <w:rFonts w:ascii="Calibri" w:hAnsi="Calibri" w:cs="Calibri"/>
          <w:b w:val="0"/>
          <w:i/>
          <w:color w:val="6B7785"/>
          <w:sz w:val="18"/>
        </w:rPr>
        <w:t>2026-09-30 — Следить, уступят ли города давлению девелоперов по снижению доли доступного жилья.</w:t>
      </w:r>
      <w:hyperlink r:id="rId15">
        <w:r>
          <w:rPr>
            <w:color w:val="1155CC"/>
            <w:sz w:val="17.0"/>
            <w:rFonts w:ascii="Calibri" w:hAnsi="Calibri"/>
            <w:u w:val="single"/>
          </w:rPr>
          <w:t xml:space="preserve">  ↗</w:t>
        </w:r>
      </w:hyperlink>
    </w:p>
    <w:p>
      <w:pPr>
        <w:keepNext/>
        <w:spacing w:before="100" w:after="20" w:line="269" w:lineRule="auto"/>
        <w:jc w:val="left"/>
      </w:pPr>
      <w:r>
        <w:rPr>
          <w:rFonts w:ascii="Calibri" w:hAnsi="Calibri" w:cs="Calibri"/>
          <w:b/>
          <w:i w:val="0"/>
          <w:color w:val="8A5510"/>
          <w:sz w:val="16"/>
          <w:shd w:val="clear" w:color="auto" w:fill="FBF1DF"/>
        </w:rPr>
        <w:t xml:space="preserve"> В РАЗВИТИИ </w:t>
      </w:r>
      <w:r>
        <w:rPr>
          <w:rFonts w:ascii="Calibri" w:hAnsi="Calibri" w:cs="Calibri"/>
          <w:b/>
          <w:i w:val="0"/>
          <w:color w:val="1F3A5F"/>
          <w:sz w:val="22"/>
        </w:rPr>
        <w:t xml:space="preserve">  IVBN бьётся за смягчение лимита на вычет процентов</w:t>
      </w:r>
    </w:p>
    <w:p>
      <w:pPr>
        <w:spacing w:before="0" w:after="20" w:line="264" w:lineRule="auto"/>
        <w:ind w:left="113"/>
        <w:jc w:val="left"/>
      </w:pPr>
      <w:r>
        <w:rPr>
          <w:rFonts w:ascii="Calibri" w:hAnsi="Calibri" w:cs="Calibri"/>
          <w:b/>
          <w:i w:val="0"/>
          <w:color w:val="6B7785"/>
          <w:sz w:val="19"/>
        </w:rPr>
        <w:t xml:space="preserve">Что нового: </w:t>
      </w:r>
      <w:r>
        <w:rPr>
          <w:rFonts w:ascii="Calibri" w:hAnsi="Calibri" w:cs="Calibri"/>
          <w:b w:val="0"/>
          <w:i w:val="0"/>
          <w:color w:val="222B36"/>
          <w:sz w:val="19"/>
        </w:rPr>
        <w:t>26 июня IVBN призвала правительство не откладывать до 2032 смягчение earningsstrippingmaatregel. Нынешний нидерландский лимит (24,5% EBITDA, порог 1 млн €) жёстче предложения Еврокомиссии от 24 июня (30% EBITDA, порог 3 млн € с 2032). Высокая налоговая нагрузка — одна из причин ухода капитала из нидерландской недвижимости.</w:t>
      </w:r>
    </w:p>
    <w:p>
      <w:pPr>
        <w:spacing w:before="0" w:after="80" w:line="252" w:lineRule="auto"/>
        <w:ind w:left="113"/>
        <w:jc w:val="left"/>
      </w:pPr>
      <w:r>
        <w:rPr>
          <w:rFonts w:ascii="Calibri" w:hAnsi="Calibri" w:cs="Calibri"/>
          <w:b/>
          <w:i w:val="0"/>
          <w:color w:val="8A5510"/>
          <w:sz w:val="18"/>
        </w:rPr>
        <w:t xml:space="preserve">Следующий триггер: </w:t>
      </w:r>
      <w:r>
        <w:rPr>
          <w:rFonts w:ascii="Calibri" w:hAnsi="Calibri" w:cs="Calibri"/>
          <w:b w:val="0"/>
          <w:i/>
          <w:color w:val="6B7785"/>
          <w:sz w:val="18"/>
        </w:rPr>
        <w:t>2032-01-01 — Срок, к которому ЕК предлагает порог 3 млн €; следить за реакцией правительства на призыв IVBN ускорить смягчение.</w:t>
      </w:r>
      <w:hyperlink r:id="rId16">
        <w:r>
          <w:rPr>
            <w:color w:val="1155CC"/>
            <w:sz w:val="17.0"/>
            <w:rFonts w:ascii="Calibri" w:hAnsi="Calibri"/>
            <w:u w:val="single"/>
          </w:rPr>
          <w:t xml:space="preserve">  ↗</w:t>
        </w:r>
      </w:hyperlink>
    </w:p>
    <w:p>
      <w:pPr>
        <w:keepNext/>
        <w:spacing w:before="100" w:after="20" w:line="269" w:lineRule="auto"/>
        <w:jc w:val="left"/>
      </w:pPr>
      <w:r>
        <w:rPr>
          <w:rFonts w:ascii="Calibri" w:hAnsi="Calibri" w:cs="Calibri"/>
          <w:b/>
          <w:i w:val="0"/>
          <w:color w:val="B07A1C"/>
          <w:sz w:val="16"/>
          <w:shd w:val="clear" w:color="auto" w:fill="FFF6E5"/>
        </w:rPr>
        <w:t xml:space="preserve"> ПОД НАБЛЮДЕНИЕМ </w:t>
      </w:r>
      <w:r>
        <w:rPr>
          <w:rFonts w:ascii="Calibri" w:hAnsi="Calibri" w:cs="Calibri"/>
          <w:b/>
          <w:i w:val="0"/>
          <w:color w:val="1F3A5F"/>
          <w:sz w:val="22"/>
        </w:rPr>
        <w:t xml:space="preserve">  Deutsche Bank переоценивает логистические REIT</w:t>
      </w:r>
    </w:p>
    <w:p>
      <w:pPr>
        <w:spacing w:before="0" w:after="20" w:line="264" w:lineRule="auto"/>
        <w:ind w:left="113"/>
        <w:jc w:val="left"/>
      </w:pPr>
      <w:r>
        <w:rPr>
          <w:rFonts w:ascii="Calibri" w:hAnsi="Calibri" w:cs="Calibri"/>
          <w:b/>
          <w:i w:val="0"/>
          <w:color w:val="6B7785"/>
          <w:sz w:val="19"/>
        </w:rPr>
        <w:t xml:space="preserve">Что нового: </w:t>
      </w:r>
      <w:r>
        <w:rPr>
          <w:rFonts w:ascii="Calibri" w:hAnsi="Calibri" w:cs="Calibri"/>
          <w:b w:val="0"/>
          <w:i w:val="0"/>
          <w:color w:val="222B36"/>
          <w:sz w:val="19"/>
        </w:rPr>
        <w:t>25 июня Deutsche Bank понизил целевые цены четырёх логистических REIT (CTP 22→19 €, WDP 30→25 €, Montea 85→73 €, VGP 120→100 €), но сохранил по всем рекомендацию 'покупать': оценки привлекательны, апсайд выше риска снижения, поддержку даёт заявка Prologis на Segro. VGP — фаворит банка.</w:t>
      </w:r>
    </w:p>
    <w:p>
      <w:pPr>
        <w:spacing w:before="0" w:after="80" w:line="252" w:lineRule="auto"/>
        <w:ind w:left="113"/>
        <w:jc w:val="left"/>
      </w:pPr>
      <w:r>
        <w:rPr>
          <w:rFonts w:ascii="Calibri" w:hAnsi="Calibri" w:cs="Calibri"/>
          <w:b/>
          <w:i w:val="0"/>
          <w:color w:val="8A5510"/>
          <w:sz w:val="18"/>
        </w:rPr>
        <w:t xml:space="preserve">Следующий триггер: </w:t>
      </w:r>
      <w:r>
        <w:rPr>
          <w:rFonts w:ascii="Calibri" w:hAnsi="Calibri" w:cs="Calibri"/>
          <w:b w:val="0"/>
          <w:i/>
          <w:color w:val="6B7785"/>
          <w:sz w:val="18"/>
        </w:rPr>
        <w:t>2026-07-22 — Развязка по Prologis/Segro переоценит весь сектор и эти целевые цены.</w:t>
      </w:r>
      <w:hyperlink r:id="rId17">
        <w:r>
          <w:rPr>
            <w:color w:val="1155CC"/>
            <w:sz w:val="17.0"/>
            <w:rFonts w:ascii="Calibri" w:hAnsi="Calibri"/>
            <w:u w:val="single"/>
          </w:rPr>
          <w:t xml:space="preserve">  ↗</w:t>
        </w:r>
      </w:hyperlink>
    </w:p>
    <w:p>
      <w:pPr>
        <w:keepNext/>
        <w:spacing w:before="100" w:after="20" w:line="269" w:lineRule="auto"/>
        <w:jc w:val="left"/>
      </w:pPr>
      <w:r>
        <w:rPr>
          <w:rFonts w:ascii="Calibri" w:hAnsi="Calibri" w:cs="Calibri"/>
          <w:b/>
          <w:i w:val="0"/>
          <w:color w:val="8A5510"/>
          <w:sz w:val="16"/>
          <w:shd w:val="clear" w:color="auto" w:fill="FBF1DF"/>
        </w:rPr>
        <w:t xml:space="preserve"> В РАЗВИТИИ </w:t>
      </w:r>
      <w:r>
        <w:rPr>
          <w:rFonts w:ascii="Calibri" w:hAnsi="Calibri" w:cs="Calibri"/>
          <w:b/>
          <w:i w:val="0"/>
          <w:color w:val="1F3A5F"/>
          <w:sz w:val="22"/>
        </w:rPr>
        <w:t xml:space="preserve">  Panattoni рискует спекулятивной стройкой в Эммене</w:t>
      </w:r>
    </w:p>
    <w:p>
      <w:pPr>
        <w:spacing w:before="0" w:after="20" w:line="264" w:lineRule="auto"/>
        <w:ind w:left="113"/>
        <w:jc w:val="left"/>
      </w:pPr>
      <w:r>
        <w:rPr>
          <w:rFonts w:ascii="Calibri" w:hAnsi="Calibri" w:cs="Calibri"/>
          <w:b/>
          <w:i w:val="0"/>
          <w:color w:val="6B7785"/>
          <w:sz w:val="19"/>
        </w:rPr>
        <w:t xml:space="preserve">Что нового: </w:t>
      </w:r>
      <w:r>
        <w:rPr>
          <w:rFonts w:ascii="Calibri" w:hAnsi="Calibri" w:cs="Calibri"/>
          <w:b w:val="0"/>
          <w:i w:val="0"/>
          <w:color w:val="222B36"/>
          <w:sz w:val="19"/>
        </w:rPr>
        <w:t>Panattoni начала спекулятивную застройку Panattoni Park Emmen на ~150 000 м² (собственные инвестиции &gt;100 млн €) без заранее найденного арендатора, делая ставку на спрос международных производителей на готовые помещения. Крупнейшее коммерческое здание на севере Нидерландов; сдача — март 2028.</w:t>
      </w:r>
    </w:p>
    <w:p>
      <w:pPr>
        <w:spacing w:before="0" w:after="80" w:line="252" w:lineRule="auto"/>
        <w:ind w:left="113"/>
        <w:jc w:val="left"/>
      </w:pPr>
      <w:r>
        <w:rPr>
          <w:rFonts w:ascii="Calibri" w:hAnsi="Calibri" w:cs="Calibri"/>
          <w:b/>
          <w:i w:val="0"/>
          <w:color w:val="8A5510"/>
          <w:sz w:val="18"/>
        </w:rPr>
        <w:t xml:space="preserve">Следующий триггер: </w:t>
      </w:r>
      <w:r>
        <w:rPr>
          <w:rFonts w:ascii="Calibri" w:hAnsi="Calibri" w:cs="Calibri"/>
          <w:b w:val="0"/>
          <w:i/>
          <w:color w:val="6B7785"/>
          <w:sz w:val="18"/>
        </w:rPr>
        <w:t>2028-03-31 — Сдача объекта; следить, найдёт ли Panattoni арендатора на 150 000 м² до сдачи.</w:t>
      </w:r>
      <w:hyperlink r:id="rId18">
        <w:r>
          <w:rPr>
            <w:color w:val="1155CC"/>
            <w:sz w:val="17.0"/>
            <w:rFonts w:ascii="Calibri" w:hAnsi="Calibri"/>
            <w:u w:val="single"/>
          </w:rPr>
          <w:t xml:space="preserve">  ↗</w:t>
        </w:r>
      </w:hyperlink>
    </w:p>
    <w:p>
      <w:pPr>
        <w:keepNext/>
        <w:spacing w:before="100" w:after="20" w:line="269" w:lineRule="auto"/>
        <w:jc w:val="left"/>
      </w:pPr>
      <w:r>
        <w:rPr>
          <w:rFonts w:ascii="Calibri" w:hAnsi="Calibri" w:cs="Calibri"/>
          <w:b/>
          <w:i w:val="0"/>
          <w:color w:val="2C5F8A"/>
          <w:sz w:val="16"/>
          <w:shd w:val="clear" w:color="auto" w:fill="E8F0F7"/>
        </w:rPr>
        <w:t xml:space="preserve"> НОВЫЙ </w:t>
      </w:r>
      <w:r>
        <w:rPr>
          <w:rFonts w:ascii="Calibri" w:hAnsi="Calibri" w:cs="Calibri"/>
          <w:b/>
          <w:i w:val="0"/>
          <w:color w:val="1F3A5F"/>
          <w:sz w:val="22"/>
        </w:rPr>
        <w:t xml:space="preserve">  Bouwinvest наращивает фонд жилья для пожилых</w:t>
      </w:r>
    </w:p>
    <w:p>
      <w:pPr>
        <w:spacing w:before="0" w:after="20" w:line="264" w:lineRule="auto"/>
        <w:ind w:left="113"/>
        <w:jc w:val="left"/>
      </w:pPr>
      <w:r>
        <w:rPr>
          <w:rFonts w:ascii="Calibri" w:hAnsi="Calibri" w:cs="Calibri"/>
          <w:b/>
          <w:i w:val="0"/>
          <w:color w:val="6B7785"/>
          <w:sz w:val="19"/>
        </w:rPr>
        <w:t xml:space="preserve">Что нового: </w:t>
      </w:r>
      <w:r>
        <w:rPr>
          <w:rFonts w:ascii="Calibri" w:hAnsi="Calibri" w:cs="Calibri"/>
          <w:b w:val="0"/>
          <w:i w:val="0"/>
          <w:color w:val="222B36"/>
          <w:sz w:val="19"/>
        </w:rPr>
        <w:t>Bouwinvest привлёк в Dutch Senior Living Impact Fund два новых пенсионных фонда (включая PME) — теперь шесть институциональных инвесторов. Committed capital вырос со 130 до 263,5 млн € (более чем удвоение) — редкий позитивный приток денег в арендное жильё для пожилых на фоне общего оттока капитала у институционалов.</w:t>
      </w:r>
    </w:p>
    <w:p>
      <w:pPr>
        <w:spacing w:before="0" w:after="80" w:line="252" w:lineRule="auto"/>
        <w:ind w:left="113"/>
        <w:jc w:val="left"/>
      </w:pPr>
      <w:r>
        <w:rPr>
          <w:rFonts w:ascii="Calibri" w:hAnsi="Calibri" w:cs="Calibri"/>
          <w:b/>
          <w:i w:val="0"/>
          <w:color w:val="8A5510"/>
          <w:sz w:val="18"/>
        </w:rPr>
        <w:t xml:space="preserve">Следующий триггер: </w:t>
      </w:r>
      <w:r>
        <w:rPr>
          <w:rFonts w:ascii="Calibri" w:hAnsi="Calibri" w:cs="Calibri"/>
          <w:b w:val="0"/>
          <w:i/>
          <w:color w:val="6B7785"/>
          <w:sz w:val="18"/>
        </w:rPr>
        <w:t>2026-12-31 — Следить за дальнейшими закрытиями фонда и притоком капитала в сегмент жилья для пожилых.</w:t>
      </w:r>
      <w:hyperlink r:id="rId19">
        <w:r>
          <w:rPr>
            <w:color w:val="1155CC"/>
            <w:sz w:val="17.0"/>
            <w:rFonts w:ascii="Calibri" w:hAnsi="Calibri"/>
            <w:u w:val="single"/>
          </w:rPr>
          <w:t xml:space="preserve">  ↗</w:t>
        </w:r>
      </w:hyperlink>
    </w:p>
    <w:p>
      <w:pPr>
        <w:spacing w:before="0" w:after="80" w:line="269" w:lineRule="auto"/>
        <w:jc w:val="left"/>
      </w:pPr>
    </w:p>
    <w:p>
      <w:pPr>
        <w:spacing w:before="200" w:after="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1F3A5F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keepNext/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8"/>
              </w:rPr>
              <w:t>📊  Статистика в графиках</w:t>
            </w:r>
          </w:p>
        </w:tc>
      </w:tr>
    </w:tbl>
    <w:p>
      <w:pPr>
        <w:spacing w:before="0" w:after="40" w:line="269" w:lineRule="auto"/>
        <w:jc w:val="left"/>
      </w:pP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89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l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89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jc w:val="center"/>
      </w:pPr>
      <w:r>
        <w:rPr>
          <w:rFonts w:ascii="Calibri" w:hAnsi="Calibri" w:cs="Calibri"/>
          <w:b w:val="0"/>
          <w:i/>
          <w:color w:val="6B7785"/>
          <w:sz w:val="18"/>
        </w:rPr>
        <w:t>Самые крупные числа недели одним взглядом.</w:t>
      </w:r>
    </w:p>
    <w:p>
      <w:pPr>
        <w:keepNext/>
        <w:spacing w:before="200" w:after="60" w:line="269" w:lineRule="auto"/>
        <w:jc w:val="left"/>
        <w:pBdr>
          <w:bottom w:val="single" w:sz="6" w:space="2" w:color="D7DEE6"/>
        </w:pBdr>
      </w:pPr>
      <w:r>
        <w:rPr>
          <w:rFonts w:ascii="Calibri" w:hAnsi="Calibri" w:cs="Calibri"/>
          <w:b/>
          <w:i w:val="0"/>
          <w:color w:val="1F3A5F"/>
          <w:sz w:val="23"/>
        </w:rPr>
        <w:t>Коротко о неделе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c>
          <w:tcPr>
            <w:tcW w:type="dxa" w:w="9524"/>
            <w:shd w:val="clear" w:color="auto" w:fill="EEF2F6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21"/>
              </w:rPr>
              <w:t>Неделя 23–30 июня выдалась насыщенной по всем трём сегментам. В жилье главный сюжет — институциональные деньги: фонд Bouwinvest для жилья пожилых привлёк новый капитал (committed capital вырос со 130 до 263,5 млн евро), а крупнейший жилищный фонд Vesteda договорился об ограниченном выкупе паёв (765 млн евро вместо первоначальных 4,1 млрд), предотвратив масштабную распродажу арендного жилья; параллельно Утрехт и Роттердам утвердили коалиционные соглашения с жёсткими планками доступного жилья (80% и ~67%). В коммерции CBRE и инвесторы (Retail Estates) подсветили тему недели — периферийные ритейл-парки оказались на удивление устойчивы (вакантность всего 4,4% против 5,5% в среднем по торговой недвижимости). В индустриале доминировала большая корпоративная история: предложение Prologis о покупке Segro (~14,6 млрд евро, отклонено), снижение целевых цен Deutsche Bank по четырём логистическим REIT при сохранении рекомендации «покупать», а также спекулятивная стройка Panattoni в Эммене на 150 000 м2.</w:t>
            </w:r>
          </w:p>
        </w:tc>
      </w:tr>
    </w:tbl>
    <w:p>
      <w:pPr>
        <w:spacing w:before="0" w:after="120" w:line="269" w:lineRule="auto"/>
        <w:jc w:val="left"/>
      </w:pPr>
    </w:p>
    <w:p>
      <w:pPr>
        <w:spacing w:before="200" w:after="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16846F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keepNext/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8"/>
              </w:rPr>
              <w:t>🏠  Жилая недвижимость</w:t>
            </w:r>
          </w:p>
        </w:tc>
      </w:tr>
    </w:tbl>
    <w:p>
      <w:pPr>
        <w:keepNext/>
        <w:spacing w:before="200" w:after="60" w:line="269" w:lineRule="auto"/>
        <w:jc w:val="left"/>
        <w:pBdr>
          <w:bottom w:val="single" w:sz="6" w:space="2" w:color="D7DEE6"/>
        </w:pBdr>
      </w:pPr>
      <w:r>
        <w:rPr>
          <w:rFonts w:ascii="Calibri" w:hAnsi="Calibri" w:cs="Calibri"/>
          <w:b/>
          <w:i w:val="0"/>
          <w:color w:val="105A4C"/>
          <w:sz w:val="23"/>
        </w:rPr>
        <w:t>Изменения в законах и регулировании</w:t>
      </w:r>
    </w:p>
    <w:p>
      <w:pPr>
        <w:spacing w:before="60" w:after="20" w:line="269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2C5F8A"/>
          <w:sz w:val="21"/>
        </w:rPr>
        <w:t xml:space="preserve">◆  </w:t>
      </w:r>
      <w:r>
        <w:rPr>
          <w:rFonts w:ascii="Calibri" w:hAnsi="Calibri" w:cs="Calibri"/>
          <w:b w:val="0"/>
          <w:i w:val="0"/>
          <w:color w:val="222B36"/>
          <w:sz w:val="21"/>
        </w:rPr>
        <w:t>Сенат (Eerste Kamer — верхняя палата парламента) 30 июня провёл пленарные дебаты по законопроекту 'Wet werkelijk rendement box 3' (закон о налогообложении фактической доходности в режиме налога на капитал физлиц 'box 3'). Для частных арендодателей это важно: вместо нынешней фиктивной доходности предлагается облагать реальный арендный доход ежегодно, а прирост стоимости недвижимости — только при продаже (vermogenswinstbelasting — налог на прирост капитала). Комиссия по финансам (FIN) 23 июня решила снова поставить закон на повестку после дебатов. Голосование может состояться не раньше начала 2027 — Сенат разделён по вопросу обложения 'бумажного' (нереализованного) прироста. Старт нового режима намечен на 1 января 2028.</w:t>
      </w:r>
    </w:p>
    <w:p>
      <w:pPr>
        <w:spacing w:before="20" w:after="20" w:line="264" w:lineRule="auto"/>
        <w:ind w:left="283"/>
        <w:jc w:val="left"/>
        <w:shd w:val="clear" w:color="auto" w:fill="E8F0F7"/>
      </w:pPr>
      <w:r>
        <w:rPr>
          <w:rFonts w:ascii="Calibri" w:hAnsi="Calibri" w:cs="Calibri"/>
          <w:b/>
          <w:i w:val="0"/>
          <w:color w:val="2C5F8A"/>
          <w:sz w:val="18"/>
        </w:rPr>
        <w:t xml:space="preserve">  Почему важно:  </w:t>
      </w:r>
      <w:r>
        <w:rPr>
          <w:rFonts w:ascii="Calibri" w:hAnsi="Calibri" w:cs="Calibri"/>
          <w:b w:val="0"/>
          <w:i w:val="0"/>
          <w:color w:val="222B36"/>
          <w:sz w:val="18"/>
        </w:rPr>
        <w:t xml:space="preserve">Если держите арендное жильё как физлицо — налог переходит на реальный доход, а не фиктивный: считайте кэш-флоу заранее, но решения пока ждут — режим только с 2028.  </w:t>
      </w:r>
    </w:p>
    <w:p>
      <w:pPr>
        <w:spacing w:before="0" w:after="10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2026-06-30   •   Источник: Eerste Kamer der Staten-Generaal (wetsvoorstel 36748)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2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60" w:after="20" w:line="269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B03A3A"/>
          <w:sz w:val="21"/>
        </w:rPr>
        <w:t xml:space="preserve">▼  </w:t>
      </w:r>
      <w:r>
        <w:rPr>
          <w:rFonts w:ascii="Calibri" w:hAnsi="Calibri" w:cs="Calibri"/>
          <w:b w:val="0"/>
          <w:i w:val="0"/>
          <w:color w:val="222B36"/>
          <w:sz w:val="21"/>
        </w:rPr>
        <w:t>Утрехт (4-й город страны, ~370 тыс. жителей) представил коалиционное соглашение на 2026–2030 (партии PRO Utrecht и D66). По жилью: для всей новой застройки вводится обязательная доля 80% доступного жилья (betaalbare nieuwbouw — социальная плюс средняя аренда и доступная покупка), ежегодно выделяется 12 млн евро на развитие территорий и земельную политику, создаётся рабочая группа по борьбе с перегрузкой электросети (netcongestie). Это более жёсткая планка доступности, чем общенациональные ~⅔, — прямой сигнал застройщикам и арендным инвесторам о структуре будущего предложения.</w:t>
      </w:r>
    </w:p>
    <w:p>
      <w:pPr>
        <w:spacing w:before="20" w:after="20" w:line="264" w:lineRule="auto"/>
        <w:ind w:left="283"/>
        <w:jc w:val="left"/>
        <w:shd w:val="clear" w:color="auto" w:fill="FBEAEA"/>
      </w:pPr>
      <w:r>
        <w:rPr>
          <w:rFonts w:ascii="Calibri" w:hAnsi="Calibri" w:cs="Calibri"/>
          <w:b/>
          <w:i w:val="0"/>
          <w:color w:val="B03A3A"/>
          <w:sz w:val="18"/>
        </w:rPr>
        <w:t xml:space="preserve">  Почему важно:  </w:t>
      </w:r>
      <w:r>
        <w:rPr>
          <w:rFonts w:ascii="Calibri" w:hAnsi="Calibri" w:cs="Calibri"/>
          <w:b w:val="0"/>
          <w:i w:val="0"/>
          <w:color w:val="222B36"/>
          <w:sz w:val="18"/>
        </w:rPr>
        <w:t xml:space="preserve">В Утрехте свободно-рыночного жилья в новых проектах останется лишь 20% — закладывайте более низкую маржу и иную модель доходности на этой территории.  </w:t>
      </w:r>
    </w:p>
    <w:p>
      <w:pPr>
        <w:spacing w:before="0" w:after="10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2026-06-24   •   Источник: Vastgoedjournaal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4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60" w:after="20" w:line="269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2C5F8A"/>
          <w:sz w:val="21"/>
        </w:rPr>
        <w:t xml:space="preserve">◆  </w:t>
      </w:r>
      <w:r>
        <w:rPr>
          <w:rFonts w:ascii="Calibri" w:hAnsi="Calibri" w:cs="Calibri"/>
          <w:b w:val="0"/>
          <w:i w:val="0"/>
          <w:color w:val="222B36"/>
          <w:sz w:val="21"/>
        </w:rPr>
        <w:t>Роттердам (2-й город страны, ~670 тыс. жителей) представил коалиционное соглашение 2026–2030 'Vaart maken' (Набрать ход; коалиция PRO, D66, VVD, CDA, Volt). До 2030 года планируется построить 15 000 жилищ, из них 10 000 доступных (около 67% — в соответствии с Regiewet, законом о госрегулировании жилищного строительства). Создаётся строительный фонд (doorbouwfonds) на 111 млн евро, чтобы проекты не останавливались при удорожании стройки; более 1 млрд евро резервируется на жильё, территории, экономику и климат.</w:t>
      </w:r>
    </w:p>
    <w:p>
      <w:pPr>
        <w:spacing w:before="20" w:after="20" w:line="264" w:lineRule="auto"/>
        <w:ind w:left="283"/>
        <w:jc w:val="left"/>
        <w:shd w:val="clear" w:color="auto" w:fill="E8F0F7"/>
      </w:pPr>
      <w:r>
        <w:rPr>
          <w:rFonts w:ascii="Calibri" w:hAnsi="Calibri" w:cs="Calibri"/>
          <w:b/>
          <w:i w:val="0"/>
          <w:color w:val="2C5F8A"/>
          <w:sz w:val="18"/>
        </w:rPr>
        <w:t xml:space="preserve">  Почему важно:  </w:t>
      </w:r>
      <w:r>
        <w:rPr>
          <w:rFonts w:ascii="Calibri" w:hAnsi="Calibri" w:cs="Calibri"/>
          <w:b w:val="0"/>
          <w:i w:val="0"/>
          <w:color w:val="222B36"/>
          <w:sz w:val="18"/>
        </w:rPr>
        <w:t xml:space="preserve">Роттердам держит планку строго по нацзакону (67%), но подстраховывает девелоперов фондом на 111 млн € — снижает риск заморозки проектов при удорожании.  </w:t>
      </w:r>
    </w:p>
    <w:p>
      <w:pPr>
        <w:spacing w:before="0" w:after="10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2026-06-26   •   Источник: Vastgoedmarkt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5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60" w:after="20" w:line="269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2C5F8A"/>
          <w:sz w:val="21"/>
        </w:rPr>
        <w:t xml:space="preserve">◆  </w:t>
      </w:r>
      <w:r>
        <w:rPr>
          <w:rFonts w:ascii="Calibri" w:hAnsi="Calibri" w:cs="Calibri"/>
          <w:b w:val="0"/>
          <w:i w:val="0"/>
          <w:color w:val="222B36"/>
          <w:sz w:val="21"/>
        </w:rPr>
        <w:t>Государственный совет (Raad van State — высший административный суд) 24 июня аннулировал план застройки (bestemmingsplan) и экологическое разрешение для жилого проекта Koggenland в Пюрмеренде из-за недостаточного обоснования расчёта парковочного спроса. При этом стройка продолжится: суд оставил в силе правовые последствия решений, поскольку муниципалитет провёл новое исследование парковки. Проект — 64 жилья (53 социальных арендных + 11 средней аренды, middenhuur). Урок для девелоперов: процедурные дефекты ведут к отмене, но устранимые недочёты не обязательно останавливают стройку.</w:t>
      </w:r>
    </w:p>
    <w:p>
      <w:pPr>
        <w:spacing w:before="20" w:after="20" w:line="264" w:lineRule="auto"/>
        <w:ind w:left="283"/>
        <w:jc w:val="left"/>
        <w:shd w:val="clear" w:color="auto" w:fill="E8F0F7"/>
      </w:pPr>
      <w:r>
        <w:rPr>
          <w:rFonts w:ascii="Calibri" w:hAnsi="Calibri" w:cs="Calibri"/>
          <w:b/>
          <w:i w:val="0"/>
          <w:color w:val="2C5F8A"/>
          <w:sz w:val="18"/>
        </w:rPr>
        <w:t xml:space="preserve">  Почему важно:  </w:t>
      </w:r>
      <w:r>
        <w:rPr>
          <w:rFonts w:ascii="Calibri" w:hAnsi="Calibri" w:cs="Calibri"/>
          <w:b w:val="0"/>
          <w:i w:val="0"/>
          <w:color w:val="222B36"/>
          <w:sz w:val="18"/>
        </w:rPr>
        <w:t xml:space="preserve">Сигнал по процедурным рискам: слабое обоснование (например, по парковке) может отменить разрешение, но своевременное доисследование спасает проект — документируйте расчёты тщательно.  </w:t>
      </w:r>
    </w:p>
    <w:p>
      <w:pPr>
        <w:spacing w:before="0" w:after="10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2026-06-25   •   Источник: Raad van State / RegioPurmerend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21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keepNext/>
        <w:spacing w:before="200" w:after="60" w:line="269" w:lineRule="auto"/>
        <w:jc w:val="left"/>
        <w:pBdr>
          <w:bottom w:val="single" w:sz="6" w:space="2" w:color="D7DEE6"/>
        </w:pBdr>
      </w:pPr>
      <w:r>
        <w:rPr>
          <w:rFonts w:ascii="Calibri" w:hAnsi="Calibri" w:cs="Calibri"/>
          <w:b/>
          <w:i w:val="0"/>
          <w:color w:val="105A4C"/>
          <w:sz w:val="23"/>
        </w:rPr>
        <w:t>Новости</w:t>
      </w:r>
    </w:p>
    <w:p>
      <w:pPr>
        <w:spacing w:before="60" w:after="20" w:line="269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1E7A4D"/>
          <w:sz w:val="21"/>
        </w:rPr>
        <w:t xml:space="preserve">▲  </w:t>
      </w:r>
      <w:r>
        <w:rPr>
          <w:rFonts w:ascii="Calibri" w:hAnsi="Calibri" w:cs="Calibri"/>
          <w:b w:val="0"/>
          <w:i w:val="0"/>
          <w:color w:val="222B36"/>
          <w:sz w:val="21"/>
        </w:rPr>
        <w:t>На внеочередном собрании акционеров (BAVA) 26 июня фонд Vesteda — один из крупнейших в Нидерландах институциональных инвесторов в жильё (портфель ~10,8 млрд евро, около 28 000 арендных квартир) — установил итоговый объём заявок на выкуп паёв (redemptievolume) на уровне 765 млн евро. Это резкое снижение по сравнению с первоначальными заявками инвесторов (в основном пенсионных фондов) на 4,1 млрд евро от 2 марта. Теперь инвесторы могут подавать заявки на выход ежегодно (раньше — раз в семь лет), а фонд будет давать ликвидность 'по мере возможности' (best-effort) в размере 7,5% капитала в год. Сделка предотвратила масштабную распродажу арендного жилья.</w:t>
      </w:r>
    </w:p>
    <w:p>
      <w:pPr>
        <w:spacing w:before="20" w:after="20" w:line="264" w:lineRule="auto"/>
        <w:ind w:left="283"/>
        <w:jc w:val="left"/>
        <w:shd w:val="clear" w:color="auto" w:fill="E7F4EE"/>
      </w:pPr>
      <w:r>
        <w:rPr>
          <w:rFonts w:ascii="Calibri" w:hAnsi="Calibri" w:cs="Calibri"/>
          <w:b/>
          <w:i w:val="0"/>
          <w:color w:val="1E7A4D"/>
          <w:sz w:val="18"/>
        </w:rPr>
        <w:t xml:space="preserve">  Почему важно:  </w:t>
      </w:r>
      <w:r>
        <w:rPr>
          <w:rFonts w:ascii="Calibri" w:hAnsi="Calibri" w:cs="Calibri"/>
          <w:b w:val="0"/>
          <w:i w:val="0"/>
          <w:color w:val="222B36"/>
          <w:sz w:val="18"/>
        </w:rPr>
        <w:t xml:space="preserve">Главный успокаивающий сигнал недели: распродажи ~28 000 квартир не будет — давление на цены арендного жилья снизилось, рынок стабилизируется.  </w:t>
      </w:r>
    </w:p>
    <w:p>
      <w:pPr>
        <w:spacing w:before="0" w:after="10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2026-06-26   •   Источник: Vesteda Newsroom / NOS / FD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3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60" w:after="20" w:line="269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1E7A4D"/>
          <w:sz w:val="21"/>
        </w:rPr>
        <w:t xml:space="preserve">▲  </w:t>
      </w:r>
      <w:r>
        <w:rPr>
          <w:rFonts w:ascii="Calibri" w:hAnsi="Calibri" w:cs="Calibri"/>
          <w:b w:val="0"/>
          <w:i w:val="0"/>
          <w:color w:val="222B36"/>
          <w:sz w:val="21"/>
        </w:rPr>
        <w:t>Bouwinvest (один из крупнейших нидерландских управляющих недвижимостью для пенсионных фондов, входит в группу bpfBOUW, под управлением ~14 млрд евро) привлёк новый капитал в фонд жилья для пожилых Dutch Senior Living Impact Fund. В фонд вошли пенсионный фонд PME (металлургия/электротехника) и ещё один нидерландский пенсионный фонд — теперь у фонда шесть институциональных инвесторов вместо четырёх. Объём обязательств (committed capital — заявленный капитал к вложению) вырос со 130 млн евро на первом закрытии до 263,5 млн евро — это более чем удвоение. Редкий позитивный сигнал притока денег в арендное жильё на фоне общего оттока капитала у институционалов; деньги идут в сегмент healthcare-жилья (жильё с уходом/для пожилых).</w:t>
      </w:r>
    </w:p>
    <w:p>
      <w:pPr>
        <w:spacing w:before="20" w:after="20" w:line="264" w:lineRule="auto"/>
        <w:ind w:left="283"/>
        <w:jc w:val="left"/>
        <w:shd w:val="clear" w:color="auto" w:fill="E7F4EE"/>
      </w:pPr>
      <w:r>
        <w:rPr>
          <w:rFonts w:ascii="Calibri" w:hAnsi="Calibri" w:cs="Calibri"/>
          <w:b/>
          <w:i w:val="0"/>
          <w:color w:val="1E7A4D"/>
          <w:sz w:val="18"/>
        </w:rPr>
        <w:t xml:space="preserve">  Почему важно:  </w:t>
      </w:r>
      <w:r>
        <w:rPr>
          <w:rFonts w:ascii="Calibri" w:hAnsi="Calibri" w:cs="Calibri"/>
          <w:b w:val="0"/>
          <w:i w:val="0"/>
          <w:color w:val="222B36"/>
          <w:sz w:val="18"/>
        </w:rPr>
        <w:t xml:space="preserve">Деньги текут в жильё для пожилых — растущий сегмент со стабильным спросом из-за старения населения; ориентир, куда смотрят умные институционалы.  </w:t>
      </w:r>
    </w:p>
    <w:p>
      <w:pPr>
        <w:spacing w:before="0" w:after="10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2026-06-30   •   Источник: Vastgoedjournaal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9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60" w:after="20" w:line="269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1E7A4D"/>
          <w:sz w:val="21"/>
        </w:rPr>
        <w:t xml:space="preserve">▲  </w:t>
      </w:r>
      <w:r>
        <w:rPr>
          <w:rFonts w:ascii="Calibri" w:hAnsi="Calibri" w:cs="Calibri"/>
          <w:b w:val="0"/>
          <w:i w:val="0"/>
          <w:color w:val="222B36"/>
          <w:sz w:val="21"/>
        </w:rPr>
        <w:t>Девелопер Heijmans (крупная биржевая нидерландская строительно-девелоперская компания, котируется на Euronext Amsterdam) и муниципалитет IJsselstein (под Утрехтом) подписали антериорное соглашение (anterieure overeenkomst — договор о застройке между девелопером и муниципалитетом) на 563 жилища на бывшей промплощадке Roba Metals (~6 га). Структура: 27% социальная аренда, 37% средняя аренда и доступная покупка, 36% более дорогое жильё. Решение совета ожидается в 3-4 кв. 2026, продажа первых жилищ — с 2028 года. Стройку обеспечат коллективной энергосистемой (тепловой насос, солнечные панели, аккумуляторы) на фоне перегруженной электросети.</w:t>
      </w:r>
    </w:p>
    <w:p>
      <w:pPr>
        <w:spacing w:before="20" w:after="20" w:line="264" w:lineRule="auto"/>
        <w:ind w:left="283"/>
        <w:jc w:val="left"/>
        <w:shd w:val="clear" w:color="auto" w:fill="E7F4EE"/>
      </w:pPr>
      <w:r>
        <w:rPr>
          <w:rFonts w:ascii="Calibri" w:hAnsi="Calibri" w:cs="Calibri"/>
          <w:b/>
          <w:i w:val="0"/>
          <w:color w:val="1E7A4D"/>
          <w:sz w:val="18"/>
        </w:rPr>
        <w:t xml:space="preserve">  Почему важно:  </w:t>
      </w:r>
      <w:r>
        <w:rPr>
          <w:rFonts w:ascii="Calibri" w:hAnsi="Calibri" w:cs="Calibri"/>
          <w:b w:val="0"/>
          <w:i w:val="0"/>
          <w:color w:val="222B36"/>
          <w:sz w:val="18"/>
        </w:rPr>
        <w:t xml:space="preserve">Пример рабочей модели на фоне перегрузки сетей: редевелопмент промплощадки с автономной энергосистемой — обходной путь там, где сеть не тянет новых подключений.  </w:t>
      </w:r>
    </w:p>
    <w:p>
      <w:pPr>
        <w:spacing w:before="0" w:after="10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2026-06-29   •   Источник: Vastgoedjournaal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22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60" w:after="20" w:line="269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2C5F8A"/>
          <w:sz w:val="21"/>
        </w:rPr>
        <w:t xml:space="preserve">◆  </w:t>
      </w:r>
      <w:r>
        <w:rPr>
          <w:rFonts w:ascii="Calibri" w:hAnsi="Calibri" w:cs="Calibri"/>
          <w:b w:val="0"/>
          <w:i w:val="0"/>
          <w:color w:val="222B36"/>
          <w:sz w:val="21"/>
        </w:rPr>
        <w:t>Harm Janssen, гендиректор BPD (Bouwfonds Property Development — один из крупнейших девелоперов жилья в Нидерландах и Германии, дочерняя структура Rabobank), в интервью заявил: нужно просто начинать строить. Его тезис — дефицит инфраструктуры (он оценил потребность примерно в 80 млрд евро) и перегрузка электросетей не должны быть поводом годами держать крупные площадки замороженными, «сигналы зелёные». Он также призвал пересмотреть требование, по которому две трети жилья должны навсегда оставаться доступными, и сделать ставку на стандартизацию, чтобы ускорить вывод жилья на рынок.</w:t>
      </w:r>
    </w:p>
    <w:p>
      <w:pPr>
        <w:spacing w:before="20" w:after="20" w:line="264" w:lineRule="auto"/>
        <w:ind w:left="283"/>
        <w:jc w:val="left"/>
        <w:shd w:val="clear" w:color="auto" w:fill="E8F0F7"/>
      </w:pPr>
      <w:r>
        <w:rPr>
          <w:rFonts w:ascii="Calibri" w:hAnsi="Calibri" w:cs="Calibri"/>
          <w:b/>
          <w:i w:val="0"/>
          <w:color w:val="2C5F8A"/>
          <w:sz w:val="18"/>
        </w:rPr>
        <w:t xml:space="preserve">  Почему важно:  </w:t>
      </w:r>
      <w:r>
        <w:rPr>
          <w:rFonts w:ascii="Calibri" w:hAnsi="Calibri" w:cs="Calibri"/>
          <w:b w:val="0"/>
          <w:i w:val="0"/>
          <w:color w:val="222B36"/>
          <w:sz w:val="18"/>
        </w:rPr>
        <w:t xml:space="preserve">Голос крупного девелопера за смягчение нормы доступности и стандартизацию — следите за этим лобби: его успех напрямую повлияет на маржу будущих проектов.  </w:t>
      </w:r>
    </w:p>
    <w:p>
      <w:pPr>
        <w:spacing w:before="0" w:after="10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2026-06-24   •   Источник: Vastgoedjournaal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23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06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sted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06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jc w:val="center"/>
      </w:pPr>
      <w:r>
        <w:rPr>
          <w:rFonts w:ascii="Calibri" w:hAnsi="Calibri" w:cs="Calibri"/>
          <w:b w:val="0"/>
          <w:i/>
          <w:color w:val="6B7785"/>
          <w:sz w:val="18"/>
        </w:rPr>
        <w:t>Заявки на выход упали с 4,1 млрд до 765 млн € (−81%) — масштабной распродажи аренды не будет.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06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uwinve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06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jc w:val="center"/>
      </w:pPr>
      <w:r>
        <w:rPr>
          <w:rFonts w:ascii="Calibri" w:hAnsi="Calibri" w:cs="Calibri"/>
          <w:b w:val="0"/>
          <w:i/>
          <w:color w:val="6B7785"/>
          <w:sz w:val="18"/>
        </w:rPr>
        <w:t>Заявленный к вложению капитал вырос со 130 до 263,5 млн € — редкий приток денег в аренду.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03999" cy="237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ijmans_mix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jc w:val="center"/>
      </w:pPr>
      <w:r>
        <w:rPr>
          <w:rFonts w:ascii="Calibri" w:hAnsi="Calibri" w:cs="Calibri"/>
          <w:b w:val="0"/>
          <w:i/>
          <w:color w:val="6B7785"/>
          <w:sz w:val="18"/>
        </w:rPr>
        <w:t>Структура 563 жилищ в IJsselstein: 64% соц. и средняя аренда + доступная покупка.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EAF3EE"/>
            <w:tcMar>
              <w:top w:w="140" w:type="dxa"/>
              <w:bottom w:w="140" w:type="dxa"/>
              <w:start w:w="220" w:type="dxa"/>
              <w:end w:w="220" w:type="dxa"/>
              <w:left w:w="220" w:type="dxa"/>
              <w:right w:w="220" w:type="dxa"/>
            </w:tcMar>
            <w:tcBorders>
              <w:left w:val="single" w:sz="36" w:space="0" w:color="16846F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05A4C"/>
                <w:sz w:val="18"/>
              </w:rPr>
              <w:t>ВЫВОД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21"/>
              </w:rPr>
              <w:t>Неделя для жилья богата на институциональные сигналы: Vesteda удержала ситуацию с выкупом паёв и избежала распродажи, а Bouwinvest наоборот привлёк свежий капитал в жильё для пожилых — два разнонаправленных, но в сумме стабилизирующих сюжета. Города (Утрехт, Роттердам) закрепляют высокие доли доступного жилья, тогда как девелоперы (BPD) лоббируют смягчение требований доступности и ускорение строительства — это ключевое напряжение сезона. Отдельных пунктов по trends и stats на этой неделе не набралось, но новостной и законодательный поток был плотным.</w:t>
            </w:r>
          </w:p>
        </w:tc>
      </w:tr>
    </w:tbl>
    <w:p>
      <w:pPr>
        <w:spacing w:before="0" w:after="12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FFF6E5"/>
            <w:tcMar>
              <w:top w:w="100" w:type="dxa"/>
              <w:bottom w:w="100" w:type="dxa"/>
              <w:start w:w="220" w:type="dxa"/>
              <w:end w:w="220" w:type="dxa"/>
              <w:left w:w="220" w:type="dxa"/>
              <w:right w:w="220" w:type="dxa"/>
            </w:tcMar>
            <w:tcBorders>
              <w:left w:val="single" w:sz="30" w:space="0" w:color="C0791C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i w:val="0"/>
                <w:color w:val="8A5510"/>
                <w:sz w:val="18"/>
              </w:rPr>
              <w:t xml:space="preserve">👁  ЗА ЧЕМ СЛЕДИТЬ.  </w:t>
            </w:r>
            <w:r>
              <w:rPr>
                <w:rFonts w:ascii="Calibri" w:hAnsi="Calibri" w:cs="Calibri"/>
                <w:b w:val="0"/>
                <w:i w:val="0"/>
                <w:color w:val="222B36"/>
                <w:sz w:val="20"/>
              </w:rPr>
              <w:t>Следите за исходом голосования в Сенате по box 3 (старт 2028) и за тем, уступят ли города давлению девелоперов по снижению доли доступного жилья — это определит маржу и структуру новых проектов.</w:t>
            </w:r>
          </w:p>
        </w:tc>
      </w:tr>
    </w:tbl>
    <w:p>
      <w:pPr>
        <w:spacing w:before="0" w:after="160" w:line="269" w:lineRule="auto"/>
        <w:jc w:val="left"/>
      </w:pPr>
    </w:p>
    <w:p>
      <w:pPr>
        <w:spacing w:before="200" w:after="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C0791C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keepNext/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8"/>
              </w:rPr>
              <w:t>🏪  Коммерция (стрит-ритейл)</w:t>
            </w:r>
          </w:p>
        </w:tc>
      </w:tr>
    </w:tbl>
    <w:p>
      <w:pPr>
        <w:keepNext/>
        <w:spacing w:before="200" w:after="60" w:line="269" w:lineRule="auto"/>
        <w:jc w:val="left"/>
        <w:pBdr>
          <w:bottom w:val="single" w:sz="6" w:space="2" w:color="D7DEE6"/>
        </w:pBdr>
      </w:pPr>
      <w:r>
        <w:rPr>
          <w:rFonts w:ascii="Calibri" w:hAnsi="Calibri" w:cs="Calibri"/>
          <w:b/>
          <w:i w:val="0"/>
          <w:color w:val="8A5510"/>
          <w:sz w:val="23"/>
        </w:rPr>
        <w:t>Изменения в законах и регулировании</w:t>
      </w:r>
    </w:p>
    <w:p>
      <w:pPr>
        <w:spacing w:before="60" w:after="20" w:line="269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B03A3A"/>
          <w:sz w:val="21"/>
        </w:rPr>
        <w:t xml:space="preserve">▼  </w:t>
      </w:r>
      <w:r>
        <w:rPr>
          <w:rFonts w:ascii="Calibri" w:hAnsi="Calibri" w:cs="Calibri"/>
          <w:b w:val="0"/>
          <w:i w:val="0"/>
          <w:color w:val="222B36"/>
          <w:sz w:val="21"/>
        </w:rPr>
        <w:t>26 июня отраслевая ассоциация институциональных инвесторов в недвижимость IVBN призвала правительство не откладывать до 2032 года смягчение правила ограничения вычета процентов (earningsstrippingmaatregel — лимит на вычет процентных расходов из налогооблагаемой прибыли). Поводом стало предложение Еврокомиссии от 24 июня: с 2029 года вычет процентов до 30% от налоговой EBITDA, с 2032 года — порог 3 млн евро. Нынешние нидерландские правила жёстче: лимит 24,5% EBITDA при пороге всего 1 млн евро, что непропорционально бьёт по инвесторам со структурой через BV (частную компанию). Высокая налоговая нагрузка — одна из причин ухода капитала из нидерландской недвижимости.</w:t>
      </w:r>
    </w:p>
    <w:p>
      <w:pPr>
        <w:spacing w:before="20" w:after="20" w:line="264" w:lineRule="auto"/>
        <w:ind w:left="283"/>
        <w:jc w:val="left"/>
        <w:shd w:val="clear" w:color="auto" w:fill="FBEAEA"/>
      </w:pPr>
      <w:r>
        <w:rPr>
          <w:rFonts w:ascii="Calibri" w:hAnsi="Calibri" w:cs="Calibri"/>
          <w:b/>
          <w:i w:val="0"/>
          <w:color w:val="B03A3A"/>
          <w:sz w:val="18"/>
        </w:rPr>
        <w:t xml:space="preserve">  Почему важно:  </w:t>
      </w:r>
      <w:r>
        <w:rPr>
          <w:rFonts w:ascii="Calibri" w:hAnsi="Calibri" w:cs="Calibri"/>
          <w:b w:val="0"/>
          <w:i w:val="0"/>
          <w:color w:val="222B36"/>
          <w:sz w:val="18"/>
        </w:rPr>
        <w:t xml:space="preserve">Если держите недвижимость через BV с заёмным финансированием — нынешний жёсткий лимит на вычет процентов режет прибыль; смягчение поможет, но пока его только лоббируют.  </w:t>
      </w:r>
    </w:p>
    <w:p>
      <w:pPr>
        <w:spacing w:before="0" w:after="10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2026-06-26   •   Источник: Vastgoed Insider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6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keepNext/>
        <w:spacing w:before="200" w:after="60" w:line="269" w:lineRule="auto"/>
        <w:jc w:val="left"/>
        <w:pBdr>
          <w:bottom w:val="single" w:sz="6" w:space="2" w:color="D7DEE6"/>
        </w:pBdr>
      </w:pPr>
      <w:r>
        <w:rPr>
          <w:rFonts w:ascii="Calibri" w:hAnsi="Calibri" w:cs="Calibri"/>
          <w:b/>
          <w:i w:val="0"/>
          <w:color w:val="8A5510"/>
          <w:sz w:val="23"/>
        </w:rPr>
        <w:t>Новости</w:t>
      </w:r>
    </w:p>
    <w:p>
      <w:pPr>
        <w:spacing w:before="60" w:after="20" w:line="269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1E7A4D"/>
          <w:sz w:val="21"/>
        </w:rPr>
        <w:t xml:space="preserve">▲  </w:t>
      </w:r>
      <w:r>
        <w:rPr>
          <w:rFonts w:ascii="Calibri" w:hAnsi="Calibri" w:cs="Calibri"/>
          <w:b w:val="0"/>
          <w:i w:val="0"/>
          <w:color w:val="222B36"/>
          <w:sz w:val="21"/>
        </w:rPr>
        <w:t>CBRE (крупнейший в мире консультант, оценщик и брокер коммерческой недвижимости; в Нидерландах один из ведущих игроков) выпустил отчёт о периферийных ритейл-парках (retailparken — крупноформатные торговые парки на окраинах: мебель, товары для дома, DIY/строймаркеты). Вывод: пока центры городов под давлением e-commerce и банкротств, периферийные парки остаются устойчивыми. Вакантность (leegstand — доля пустующих площадей) на начало 2026 — всего 4,4% против 5,5% в среднем по торговой недвижимости. Из 194 обследованных парков в 73 нет ни одной пустующей единицы. Несмотря на банкротство Carpetright и проблемы Kwantum и Leen Bakker, освободившиеся помещения быстро сдаются заново. CBRE подаёт ритейл-парки как стабильный инвестиционный продукт.</w:t>
      </w:r>
    </w:p>
    <w:p>
      <w:pPr>
        <w:spacing w:before="20" w:after="20" w:line="264" w:lineRule="auto"/>
        <w:ind w:left="283"/>
        <w:jc w:val="left"/>
        <w:shd w:val="clear" w:color="auto" w:fill="E7F4EE"/>
      </w:pPr>
      <w:r>
        <w:rPr>
          <w:rFonts w:ascii="Calibri" w:hAnsi="Calibri" w:cs="Calibri"/>
          <w:b/>
          <w:i w:val="0"/>
          <w:color w:val="1E7A4D"/>
          <w:sz w:val="18"/>
        </w:rPr>
        <w:t xml:space="preserve">  Почему важно:  </w:t>
      </w:r>
      <w:r>
        <w:rPr>
          <w:rFonts w:ascii="Calibri" w:hAnsi="Calibri" w:cs="Calibri"/>
          <w:b w:val="0"/>
          <w:i w:val="0"/>
          <w:color w:val="222B36"/>
          <w:sz w:val="18"/>
        </w:rPr>
        <w:t xml:space="preserve">Аргумент в пользу периферийных ритейл-парков как защитного актива: даже банкротства арендаторов быстро перекрываются новыми — низкий риск простоя.  </w:t>
      </w:r>
    </w:p>
    <w:p>
      <w:pPr>
        <w:spacing w:before="0" w:after="10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2026-06-23   •   Источник: CBRE (пресс-релиз 'Perifere winkelgebieden trotseren retailcrisis en blijven verrassend populair')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27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60" w:after="20" w:line="269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1E7A4D"/>
          <w:sz w:val="21"/>
        </w:rPr>
        <w:t xml:space="preserve">▲  </w:t>
      </w:r>
      <w:r>
        <w:rPr>
          <w:rFonts w:ascii="Calibri" w:hAnsi="Calibri" w:cs="Calibri"/>
          <w:b w:val="0"/>
          <w:i w:val="0"/>
          <w:color w:val="222B36"/>
          <w:sz w:val="21"/>
        </w:rPr>
        <w:t>Retail Estates (бельгийская биржевая компания недвижимости со статусом GVV/SIR — регулируемого фонда-REIT; специализируется на периферийных ритейл-парках в Бенилюксе, Euronext Brussels) сделала первый шаг во Францию, купив ритейл-парк под Парижем. Для нидерландского рынка важно, что Нидерланды теперь дают 38% портфеля компании (Бельгия — 62%). По годовым результатам заполняемость (occupancy) выросла до 97,8%, чистый арендный доход +2,5%, стоимость портфеля +1,6%, дивиденд повышен до 5,20 евро брутто (22-й год роста подряд, доходность ~7,5% брутто). Иллюстрация тезиса недели: инвесторы воспринимают ритейл-парки как устойчивый высокодоходный сегмент. (Сама сделка во Франции закрыта в апреле 2026; обзорная статья вышла 23 июня — в окне.)</w:t>
      </w:r>
    </w:p>
    <w:p>
      <w:pPr>
        <w:spacing w:before="20" w:after="20" w:line="264" w:lineRule="auto"/>
        <w:ind w:left="283"/>
        <w:jc w:val="left"/>
        <w:shd w:val="clear" w:color="auto" w:fill="E7F4EE"/>
      </w:pPr>
      <w:r>
        <w:rPr>
          <w:rFonts w:ascii="Calibri" w:hAnsi="Calibri" w:cs="Calibri"/>
          <w:b/>
          <w:i w:val="0"/>
          <w:color w:val="1E7A4D"/>
          <w:sz w:val="18"/>
        </w:rPr>
        <w:t xml:space="preserve">  Почему важно:  </w:t>
      </w:r>
      <w:r>
        <w:rPr>
          <w:rFonts w:ascii="Calibri" w:hAnsi="Calibri" w:cs="Calibri"/>
          <w:b w:val="0"/>
          <w:i w:val="0"/>
          <w:color w:val="222B36"/>
          <w:sz w:val="18"/>
        </w:rPr>
        <w:t xml:space="preserve">Живое доказательство доходности сегмента: заполняемость 97,8% и 22 года роста дивиденда подряд — ориентир по доходности (~7,5%) для тех, кто рассматривает ритейл-парки.  </w:t>
      </w:r>
    </w:p>
    <w:p>
      <w:pPr>
        <w:spacing w:before="0" w:after="10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2026-06-23   •   Источник: Test-Aankoop/Test-Achats (Invest)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28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keepNext/>
        <w:spacing w:before="200" w:after="60" w:line="269" w:lineRule="auto"/>
        <w:jc w:val="left"/>
        <w:pBdr>
          <w:bottom w:val="single" w:sz="6" w:space="2" w:color="D7DEE6"/>
        </w:pBdr>
      </w:pPr>
      <w:r>
        <w:rPr>
          <w:rFonts w:ascii="Calibri" w:hAnsi="Calibri" w:cs="Calibri"/>
          <w:b/>
          <w:i w:val="0"/>
          <w:color w:val="8A5510"/>
          <w:sz w:val="23"/>
        </w:rPr>
        <w:t>Тренды</w:t>
      </w:r>
    </w:p>
    <w:p>
      <w:pPr>
        <w:spacing w:before="60" w:after="20" w:line="269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1E7A4D"/>
          <w:sz w:val="21"/>
        </w:rPr>
        <w:t xml:space="preserve">▲  </w:t>
      </w:r>
      <w:r>
        <w:rPr>
          <w:rFonts w:ascii="Calibri" w:hAnsi="Calibri" w:cs="Calibri"/>
          <w:b w:val="0"/>
          <w:i w:val="0"/>
          <w:color w:val="222B36"/>
          <w:sz w:val="21"/>
        </w:rPr>
        <w:t>В отраслевой прессе ритейла (vakbladmannenmode.nl) вышел материал о резком скачке готовности потребителей к покупкам (koopbereidheid — субиндекс потребительского доверия, отражающий готовность к крупным покупкам). По данным CBS (Centraal Bureau voor de Statistiek — статистическое бюро), koopbereidheid поднялась с -28 в мае до -22 в июне — крупнейшее месячное улучшение за всю историю наблюдений; общий индекс доверия вырос с -46 до -39 (сильнейший рост за 11+ лет). Но издание подчёркивает: для ритейлеров это лишь осторожно позитивный сигнал — уровни всё ещё глубоко в минусе и ниже долгосрочного среднего (-9), быстрого всплеска трат ждать не стоит. Первичный релиз CBS — 22 июня (вне окна), отраслевая интерпретация — 29 июня (в окне).</w:t>
      </w:r>
    </w:p>
    <w:p>
      <w:pPr>
        <w:spacing w:before="20" w:after="20" w:line="264" w:lineRule="auto"/>
        <w:ind w:left="283"/>
        <w:jc w:val="left"/>
        <w:shd w:val="clear" w:color="auto" w:fill="E7F4EE"/>
      </w:pPr>
      <w:r>
        <w:rPr>
          <w:rFonts w:ascii="Calibri" w:hAnsi="Calibri" w:cs="Calibri"/>
          <w:b/>
          <w:i w:val="0"/>
          <w:color w:val="1E7A4D"/>
          <w:sz w:val="18"/>
        </w:rPr>
        <w:t xml:space="preserve">  Почему важно:  </w:t>
      </w:r>
      <w:r>
        <w:rPr>
          <w:rFonts w:ascii="Calibri" w:hAnsi="Calibri" w:cs="Calibri"/>
          <w:b w:val="0"/>
          <w:i w:val="0"/>
          <w:color w:val="222B36"/>
          <w:sz w:val="18"/>
        </w:rPr>
        <w:t xml:space="preserve">Настроение потребителей разворачивается вверх рекордными темпами — ранний сигнал к восстановлению спроса в рознице, но до реального роста трат ещё далеко.  </w:t>
      </w:r>
    </w:p>
    <w:p>
      <w:pPr>
        <w:spacing w:before="0" w:after="10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2026-06-29   •   Источник: Vakblad Mannenmode (на основе данных CBS)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29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keepNext/>
        <w:spacing w:before="200" w:after="60" w:line="269" w:lineRule="auto"/>
        <w:jc w:val="left"/>
        <w:pBdr>
          <w:bottom w:val="single" w:sz="6" w:space="2" w:color="D7DEE6"/>
        </w:pBdr>
      </w:pPr>
      <w:r>
        <w:rPr>
          <w:rFonts w:ascii="Calibri" w:hAnsi="Calibri" w:cs="Calibri"/>
          <w:b/>
          <w:i w:val="0"/>
          <w:color w:val="8A5510"/>
          <w:sz w:val="23"/>
        </w:rPr>
        <w:t>Статистика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5669"/>
        <w:gridCol w:w="3855"/>
      </w:tblGrid>
      <w:tr>
        <w:tc>
          <w:tcPr>
            <w:tcW w:type="dxa" w:w="4762"/>
            <w:shd w:val="clear" w:color="auto" w:fill="1F3A5F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Показатель</w:t>
            </w:r>
          </w:p>
        </w:tc>
        <w:tc>
          <w:tcPr>
            <w:tcW w:type="dxa" w:w="4762"/>
            <w:shd w:val="clear" w:color="auto" w:fill="1F3A5F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Значение / динамика</w:t>
            </w:r>
          </w:p>
        </w:tc>
      </w:tr>
      <w:tr>
        <w:tc>
          <w:tcPr>
            <w:tcW w:type="dxa" w:w="5669"/>
            <w:shd w:val="clear" w:color="auto" w:fill="F4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Ключевая цифра из отчёта CBRE по нидерландским ритейл-паркам (retailparken — периферийные крупноформатные торговые парки): вакантность (leegstand — доля пустующих площадей) на начало 2026 — 4,4%. Это ниже фрикционного уровня (минимально неизбежная вакантность при нормальной ротации арендаторов) и существенно ниже среднего по всей торговой недвижимости страны (5,5%). Обследовано 194 парка, в 73 пустующих единиц нет вообще. Цифра подтверждена перепечаткой в отраслевых СМИ в окне отчётной недели (24 июня).</w:t>
            </w:r>
          </w:p>
          <w:p>
            <w:pPr>
              <w:spacing w:before="20" w:after="0"/>
            </w:pPr>
            <w:r>
              <w:rPr>
                <w:rFonts w:ascii="Calibri" w:hAnsi="Calibri" w:cs="Calibri"/>
                <w:b w:val="0"/>
                <w:i/>
                <w:color w:val="6B7785"/>
                <w:sz w:val="16"/>
              </w:rPr>
              <w:t>→ Вакантность ниже фрикционного уровня означает фактически дефицит площадей в сегменте — поддержка арендных ставок и стоимости таких объектов.</w:t>
            </w:r>
          </w:p>
        </w:tc>
        <w:tc>
          <w:tcPr>
            <w:tcW w:type="dxa" w:w="3855"/>
            <w:shd w:val="clear" w:color="auto" w:fill="F4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E7A4D"/>
                <w:sz w:val="19"/>
              </w:rPr>
              <w:t xml:space="preserve">▲ </w:t>
            </w:r>
            <w:r>
              <w:rPr>
                <w:rFonts w:ascii="Calibri" w:hAnsi="Calibri" w:cs="Calibri"/>
                <w:b/>
                <w:i w:val="0"/>
                <w:color w:val="222B36"/>
                <w:sz w:val="19"/>
              </w:rPr>
              <w:t>вакантность ритейл-парков 4,4% (среднее по торговой недвижимости 5,5%); 194 парка, 73 без вакантности</w:t>
            </w:r>
          </w:p>
          <w:p>
            <w:pPr>
              <w:spacing w:before="20" w:after="0"/>
            </w:pPr>
            <w:r>
              <w:rPr>
                <w:rFonts w:ascii="Calibri" w:hAnsi="Calibri" w:cs="Calibri"/>
                <w:b w:val="0"/>
                <w:i/>
                <w:color w:val="6B7785"/>
                <w:sz w:val="15"/>
              </w:rPr>
              <w:t>CBRE 'Stabiliteit in Nederlandse Retailparken'; перепечатка keukenendesign.nl</w:t>
            </w:r>
            <w:hyperlink r:id="rId30">
              <w:r>
                <w:rPr>
                  <w:color w:val="1155CC"/>
                  <w:sz w:val="15.0"/>
                  <w:rFonts w:ascii="Calibri" w:hAnsi="Calibri"/>
                  <w:u w:val="single"/>
                </w:rPr>
                <w:t xml:space="preserve">  ↗</w:t>
              </w:r>
            </w:hyperlink>
          </w:p>
        </w:tc>
      </w:tr>
    </w:tbl>
    <w:p>
      <w:pPr>
        <w:spacing w:before="0" w:after="40" w:line="269" w:lineRule="auto"/>
        <w:jc w:val="left"/>
      </w:pP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564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ail_vac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56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jc w:val="center"/>
      </w:pPr>
      <w:r>
        <w:rPr>
          <w:rFonts w:ascii="Calibri" w:hAnsi="Calibri" w:cs="Calibri"/>
          <w:b w:val="0"/>
          <w:i/>
          <w:color w:val="6B7785"/>
          <w:sz w:val="18"/>
        </w:rPr>
        <w:t>Вакантность периферийных ритейл-парков 4,4% против 5,5% по торговой недвижимости.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EAF3EE"/>
            <w:tcMar>
              <w:top w:w="140" w:type="dxa"/>
              <w:bottom w:w="140" w:type="dxa"/>
              <w:start w:w="220" w:type="dxa"/>
              <w:end w:w="220" w:type="dxa"/>
              <w:left w:w="220" w:type="dxa"/>
              <w:right w:w="220" w:type="dxa"/>
            </w:tcMar>
            <w:tcBorders>
              <w:left w:val="single" w:sz="36" w:space="0" w:color="16846F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05A4C"/>
                <w:sz w:val="18"/>
              </w:rPr>
              <w:t>ВЫВОД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21"/>
              </w:rPr>
              <w:t>Главная тема недели в коммерции — устойчивость периферийных ритейл-парков: отчёт CBRE и годовые результаты Retail Estates сошлись в одном выводе — это стабильный, высокодоходный сегмент с очень низкой вакантностью (4,4%), пока центры городов страдают. Отдельный позитивный нюанс — рекордный месячный рост готовности потребителей к покупкам, хотя уровни всё ещё глубоко отрицательные. На законодательном фронте IVBN бьётся за смягчение налога на проценты как условие возврата капитала в недвижимость. По стрит-ритейлу в узком смысле (магазины в центрах городов) новых сделок на неделе почти не было — фокус сместился к периферийным форматам.</w:t>
            </w:r>
          </w:p>
        </w:tc>
      </w:tr>
    </w:tbl>
    <w:p>
      <w:pPr>
        <w:spacing w:before="0" w:after="12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FFF6E5"/>
            <w:tcMar>
              <w:top w:w="100" w:type="dxa"/>
              <w:bottom w:w="100" w:type="dxa"/>
              <w:start w:w="220" w:type="dxa"/>
              <w:end w:w="220" w:type="dxa"/>
              <w:left w:w="220" w:type="dxa"/>
              <w:right w:w="220" w:type="dxa"/>
            </w:tcMar>
            <w:tcBorders>
              <w:left w:val="single" w:sz="30" w:space="0" w:color="C0791C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i w:val="0"/>
                <w:color w:val="8A5510"/>
                <w:sz w:val="18"/>
              </w:rPr>
              <w:t xml:space="preserve">👁  ЗА ЧЕМ СЛЕДИТЬ.  </w:t>
            </w:r>
            <w:r>
              <w:rPr>
                <w:rFonts w:ascii="Calibri" w:hAnsi="Calibri" w:cs="Calibri"/>
                <w:b w:val="0"/>
                <w:i w:val="0"/>
                <w:color w:val="222B36"/>
                <w:sz w:val="20"/>
              </w:rPr>
              <w:t>Следите, продолжит ли расти потребительское доверие (koopbereidheid) и удержат ли ритейл-парки сверхнизкую вакантность; на налоговом фронте — реакция правительства на призыв IVBN ускорить смягчение лимита на вычет процентов.</w:t>
            </w:r>
          </w:p>
        </w:tc>
      </w:tr>
    </w:tbl>
    <w:p>
      <w:pPr>
        <w:spacing w:before="0" w:after="160" w:line="269" w:lineRule="auto"/>
        <w:jc w:val="left"/>
      </w:pPr>
    </w:p>
    <w:p>
      <w:pPr>
        <w:spacing w:before="200" w:after="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2C5F8A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keepNext/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8"/>
              </w:rPr>
              <w:t>🏭  Индустриал (склады, промзоны)</w:t>
            </w:r>
          </w:p>
        </w:tc>
      </w:tr>
    </w:tbl>
    <w:p>
      <w:pPr>
        <w:keepNext/>
        <w:spacing w:before="200" w:after="60" w:line="269" w:lineRule="auto"/>
        <w:jc w:val="left"/>
        <w:pBdr>
          <w:bottom w:val="single" w:sz="6" w:space="2" w:color="D7DEE6"/>
        </w:pBdr>
      </w:pPr>
      <w:r>
        <w:rPr>
          <w:rFonts w:ascii="Calibri" w:hAnsi="Calibri" w:cs="Calibri"/>
          <w:b/>
          <w:i w:val="0"/>
          <w:color w:val="1E4466"/>
          <w:sz w:val="23"/>
        </w:rPr>
        <w:t>Новости</w:t>
      </w:r>
    </w:p>
    <w:p>
      <w:pPr>
        <w:spacing w:before="60" w:after="20" w:line="269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1E7A4D"/>
          <w:sz w:val="21"/>
        </w:rPr>
        <w:t xml:space="preserve">▲  </w:t>
      </w:r>
      <w:r>
        <w:rPr>
          <w:rFonts w:ascii="Calibri" w:hAnsi="Calibri" w:cs="Calibri"/>
          <w:b w:val="0"/>
          <w:i w:val="0"/>
          <w:color w:val="222B36"/>
          <w:sz w:val="21"/>
        </w:rPr>
        <w:t>Американская Prologis (крупнейшая в мире публичная компания логистической недвижимости) сделала предложение о поглощении британской Segro примерно за 14,6 млрд евро (~12,6 млрд фунтов): 0,084 новой акции Prologis за акцию Segro, то есть 925 пенсов за бумагу — премия 24,6% к цене до объявления. Цель — создать 'крупнейшую в мире котируемую логистическую недвижимость'. Совет Segro единогласно отклонил оферту как заниженную и оппортунистическую (попытку нажиться на сниженных оценках европейской недвижимости). По британскому кодексу о поглощениях Prologis до 22 июля должна либо подтвердить твёрдое намерение, либо отказаться. Для Нидерландов значимо: у Prologis крупное присутствие в стране, а сделка задаёт тон оценкам всего европейского (и нидерландского) логистического сектора.</w:t>
      </w:r>
    </w:p>
    <w:p>
      <w:pPr>
        <w:spacing w:before="20" w:after="20" w:line="264" w:lineRule="auto"/>
        <w:ind w:left="283"/>
        <w:jc w:val="left"/>
        <w:shd w:val="clear" w:color="auto" w:fill="E7F4EE"/>
      </w:pPr>
      <w:r>
        <w:rPr>
          <w:rFonts w:ascii="Calibri" w:hAnsi="Calibri" w:cs="Calibri"/>
          <w:b/>
          <w:i w:val="0"/>
          <w:color w:val="1E7A4D"/>
          <w:sz w:val="18"/>
        </w:rPr>
        <w:t xml:space="preserve">  Почему важно:  </w:t>
      </w:r>
      <w:r>
        <w:rPr>
          <w:rFonts w:ascii="Calibri" w:hAnsi="Calibri" w:cs="Calibri"/>
          <w:b w:val="0"/>
          <w:i w:val="0"/>
          <w:color w:val="222B36"/>
          <w:sz w:val="18"/>
        </w:rPr>
        <w:t xml:space="preserve">Крупнейший игрок готов платить премию 24,6% за логистику — рынок сигнализирует, что европейские (и нидерландские) логистические активы недооценены.  </w:t>
      </w:r>
    </w:p>
    <w:p>
      <w:pPr>
        <w:spacing w:before="0" w:after="10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2026-06-25   •   Источник: Warehouse Totaal / PropertyNL / Bloomberg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1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60" w:after="20" w:line="269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2C5F8A"/>
          <w:sz w:val="21"/>
        </w:rPr>
        <w:t xml:space="preserve">◆  </w:t>
      </w:r>
      <w:r>
        <w:rPr>
          <w:rFonts w:ascii="Calibri" w:hAnsi="Calibri" w:cs="Calibri"/>
          <w:b w:val="0"/>
          <w:i w:val="0"/>
          <w:color w:val="222B36"/>
          <w:sz w:val="21"/>
        </w:rPr>
        <w:t>25 июня Deutsche Bank (крупный немецкий инвестбанк) понизил целевые цены (koersdoel — ориентир справедливой цены акции) для четырёх ведущих европейских компаний логистической недвижимости, активно работающих и в Нидерландах, но сохранил по всем рекомендацию 'покупать'. Цели: CTP (чешская группа, крупнейший в континентальной Европе владелец логистических парков, ~40% активов в Нидерландах) — с 22,00 до 19,00 евро; WDP (Warehouses De Pauw, бельгийско-нидерландский логистический REIT) — с 30,00 до 25,00 евро; Montea (бельгийский REIT, ~40% портфеля в Нидерландах) — с 85,00 до 73,00 евро; VGP (бельгийский девелопер логистических парков) — со 120,00 до 100,00 евро (фаворит банка). Логика: повышенные ожидания по ставкам уже в цене, оценки привлекательные, потенциал роста выше риска снижения; поддержку даёт заявка Prologis на Segro.</w:t>
      </w:r>
    </w:p>
    <w:p>
      <w:pPr>
        <w:spacing w:before="20" w:after="20" w:line="264" w:lineRule="auto"/>
        <w:ind w:left="283"/>
        <w:jc w:val="left"/>
        <w:shd w:val="clear" w:color="auto" w:fill="E8F0F7"/>
      </w:pPr>
      <w:r>
        <w:rPr>
          <w:rFonts w:ascii="Calibri" w:hAnsi="Calibri" w:cs="Calibri"/>
          <w:b/>
          <w:i w:val="0"/>
          <w:color w:val="2C5F8A"/>
          <w:sz w:val="18"/>
        </w:rPr>
        <w:t xml:space="preserve">  Почему важно:  </w:t>
      </w:r>
      <w:r>
        <w:rPr>
          <w:rFonts w:ascii="Calibri" w:hAnsi="Calibri" w:cs="Calibri"/>
          <w:b w:val="0"/>
          <w:i w:val="0"/>
          <w:color w:val="222B36"/>
          <w:sz w:val="18"/>
        </w:rPr>
        <w:t xml:space="preserve">Целевые цены срезаны, но рекомендация осталась «покупать» — аналитики видят в логистике апсайд, несмотря на давление ставок; ориентир для держателей этих REIT.  </w:t>
      </w:r>
    </w:p>
    <w:p>
      <w:pPr>
        <w:spacing w:before="0" w:after="10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2026-06-25   •   Источник: De Aandeelhouder / IEX / The Asset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7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60" w:after="20" w:line="269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1E7A4D"/>
          <w:sz w:val="21"/>
        </w:rPr>
        <w:t xml:space="preserve">▲  </w:t>
      </w:r>
      <w:r>
        <w:rPr>
          <w:rFonts w:ascii="Calibri" w:hAnsi="Calibri" w:cs="Calibri"/>
          <w:b w:val="0"/>
          <w:i w:val="0"/>
          <w:color w:val="222B36"/>
          <w:sz w:val="21"/>
        </w:rPr>
        <w:t>Девелопер Panattoni (один из крупнейших в мире игроков рынка логистической и промышленной недвижимости, активен в Нидерландах и Бельгии) начал спекулятивную застройку (стройку без заранее найденного арендатора) комплекса Panattoni Park Emmen площадью около 150 000 м2 (как 22 футбольных поля) на промзоне De Tweeling у автострады A37 в сторону Германии. Собственные инвестиции Panattoni превышают 100 млн евро, ещё примерно столько же, как ожидается, вложат будущие арендаторы в дооснащение. Арендатор пока не объявлен: ставка на то, что крупные международные производители предпочитают готовые помещения и скорость. Сдача — март 2028. Panattoni называет это крупнейшим коммерческим зданием на севере Нидерландов.</w:t>
      </w:r>
    </w:p>
    <w:p>
      <w:pPr>
        <w:spacing w:before="20" w:after="20" w:line="264" w:lineRule="auto"/>
        <w:ind w:left="283"/>
        <w:jc w:val="left"/>
        <w:shd w:val="clear" w:color="auto" w:fill="E7F4EE"/>
      </w:pPr>
      <w:r>
        <w:rPr>
          <w:rFonts w:ascii="Calibri" w:hAnsi="Calibri" w:cs="Calibri"/>
          <w:b/>
          <w:i w:val="0"/>
          <w:color w:val="1E7A4D"/>
          <w:sz w:val="18"/>
        </w:rPr>
        <w:t xml:space="preserve">  Почему важно:  </w:t>
      </w:r>
      <w:r>
        <w:rPr>
          <w:rFonts w:ascii="Calibri" w:hAnsi="Calibri" w:cs="Calibri"/>
          <w:b w:val="0"/>
          <w:i w:val="0"/>
          <w:color w:val="222B36"/>
          <w:sz w:val="18"/>
        </w:rPr>
        <w:t xml:space="preserve">Спекулятивная стройка на 150 000 м2 без арендатора — крупный игрок ставит на сохранение спроса; индикатор уверенности в логистическом рынке севера страны.  </w:t>
      </w:r>
    </w:p>
    <w:p>
      <w:pPr>
        <w:spacing w:before="0" w:after="10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2026-06-23   •   Источник: PropertyNL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8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60" w:after="20" w:line="269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1E7A4D"/>
          <w:sz w:val="21"/>
        </w:rPr>
        <w:t xml:space="preserve">▲  </w:t>
      </w:r>
      <w:r>
        <w:rPr>
          <w:rFonts w:ascii="Calibri" w:hAnsi="Calibri" w:cs="Calibri"/>
          <w:b w:val="0"/>
          <w:i w:val="0"/>
          <w:color w:val="222B36"/>
          <w:sz w:val="21"/>
        </w:rPr>
        <w:t>Логистический оператор Humby (провайдер, уже имеющий более 25 000 м2 складов в регионе Венло) заключил долгосрочный договор аренды на 29 779 м2 по адресу Dirk Hartogweg 8 на промзоне Trade Port в Венло. Арендодатель — фонд CCP 5 под управлением Tristan Capital Partners (крупный международный инвестор в недвижимость), asset-менеджмент ведёт ARC Real Estate Partners; ранее объект арендовала Nunner Logistics. Интересы сторон представляли Boek en Offermans Makelaars, JLL и Cushman &amp; Wakefield. Сделка показывает сохраняющийся спрос на крупные склады в лимбургском логистическом коридоре.</w:t>
      </w:r>
    </w:p>
    <w:p>
      <w:pPr>
        <w:spacing w:before="20" w:after="20" w:line="264" w:lineRule="auto"/>
        <w:ind w:left="283"/>
        <w:jc w:val="left"/>
        <w:shd w:val="clear" w:color="auto" w:fill="E7F4EE"/>
      </w:pPr>
      <w:r>
        <w:rPr>
          <w:rFonts w:ascii="Calibri" w:hAnsi="Calibri" w:cs="Calibri"/>
          <w:b/>
          <w:i w:val="0"/>
          <w:color w:val="1E7A4D"/>
          <w:sz w:val="18"/>
        </w:rPr>
        <w:t xml:space="preserve">  Почему важно:  </w:t>
      </w:r>
      <w:r>
        <w:rPr>
          <w:rFonts w:ascii="Calibri" w:hAnsi="Calibri" w:cs="Calibri"/>
          <w:b w:val="0"/>
          <w:i w:val="0"/>
          <w:color w:val="222B36"/>
          <w:sz w:val="18"/>
        </w:rPr>
        <w:t xml:space="preserve">Быстрая пересдача почти 30 000 м2 в логистическом коридоре Венло подтверждает живой спрос на крупные склады — поддержка ставок и заполняемости в регионе.  </w:t>
      </w:r>
    </w:p>
    <w:p>
      <w:pPr>
        <w:spacing w:before="0" w:after="10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2026-06-26   •   Источник: PropertyNL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32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60" w:after="20" w:line="269" w:lineRule="auto"/>
        <w:ind w:left="283" w:hanging="198"/>
        <w:jc w:val="left"/>
      </w:pPr>
      <w:r>
        <w:rPr>
          <w:rFonts w:ascii="Calibri" w:hAnsi="Calibri" w:cs="Calibri"/>
          <w:b/>
          <w:i w:val="0"/>
          <w:color w:val="2C5F8A"/>
          <w:sz w:val="21"/>
        </w:rPr>
        <w:t xml:space="preserve">◆  </w:t>
      </w:r>
      <w:r>
        <w:rPr>
          <w:rFonts w:ascii="Calibri" w:hAnsi="Calibri" w:cs="Calibri"/>
          <w:b w:val="0"/>
          <w:i w:val="0"/>
          <w:color w:val="222B36"/>
          <w:sz w:val="21"/>
        </w:rPr>
        <w:t>Компания Base Investments от имени международного инвестора Patron Capital купила бизнес- и офисное помещение по адресу Griftsemolenweg 38 в Ваассене у Wibra Holding (нидерландская сеть бюджетных розничных магазинов, владелец объекта). Пример того, как операторы монетизируют собственную недвижимость, а инвесторы наращивают портфели индустриальных/складских активов (структура похожа на sale-and-leaseback — продажу с обратной арендой, когда компания продаёт недвижимость и остаётся в ней арендатором; точная формулировка в открытой части не подтверждена). Площадь и сумма сделки в открытой части не раскрыты (полный текст за пейволлом).</w:t>
      </w:r>
    </w:p>
    <w:p>
      <w:pPr>
        <w:spacing w:before="20" w:after="20" w:line="264" w:lineRule="auto"/>
        <w:ind w:left="283"/>
        <w:jc w:val="left"/>
        <w:shd w:val="clear" w:color="auto" w:fill="E8F0F7"/>
      </w:pPr>
      <w:r>
        <w:rPr>
          <w:rFonts w:ascii="Calibri" w:hAnsi="Calibri" w:cs="Calibri"/>
          <w:b/>
          <w:i w:val="0"/>
          <w:color w:val="2C5F8A"/>
          <w:sz w:val="18"/>
        </w:rPr>
        <w:t xml:space="preserve">  Почему важно:  </w:t>
      </w:r>
      <w:r>
        <w:rPr>
          <w:rFonts w:ascii="Calibri" w:hAnsi="Calibri" w:cs="Calibri"/>
          <w:b w:val="0"/>
          <w:i w:val="0"/>
          <w:color w:val="222B36"/>
          <w:sz w:val="18"/>
        </w:rPr>
        <w:t xml:space="preserve">Тренд монетизации корпоративной недвижимости: компании высвобождают капитал, продавая объекты инвесторам — возможность для покупателей нарастить портфель.  </w:t>
      </w:r>
    </w:p>
    <w:p>
      <w:pPr>
        <w:spacing w:before="0" w:after="10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 xml:space="preserve">   📅 2026-06-26   •   Источник: Vastgoedjournaal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33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03999" cy="26776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targe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77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jc w:val="center"/>
      </w:pPr>
      <w:r>
        <w:rPr>
          <w:rFonts w:ascii="Calibri" w:hAnsi="Calibri" w:cs="Calibri"/>
          <w:b w:val="0"/>
          <w:i/>
          <w:color w:val="6B7785"/>
          <w:sz w:val="18"/>
        </w:rPr>
        <w:t>Целевые цены снижены на 14–17%; рекомендация «покупать» сохранена — рынок ждёт стабилизации, а не падения.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EAF3EE"/>
            <w:tcMar>
              <w:top w:w="140" w:type="dxa"/>
              <w:bottom w:w="140" w:type="dxa"/>
              <w:start w:w="220" w:type="dxa"/>
              <w:end w:w="220" w:type="dxa"/>
              <w:left w:w="220" w:type="dxa"/>
              <w:right w:w="220" w:type="dxa"/>
            </w:tcMar>
            <w:tcBorders>
              <w:left w:val="single" w:sz="36" w:space="0" w:color="16846F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05A4C"/>
                <w:sz w:val="18"/>
              </w:rPr>
              <w:t>ВЫВОД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21"/>
              </w:rPr>
              <w:t>Индустриал стал самым ярким сегментом недели благодаря большой корпоративной истории: предложение Prologis о покупке Segro (~14,6 млрд евро, отклонено) переоценивает весь европейский логистический сектор, а Deutsche Bank на этом фоне срезал целевые цены четырёх ведущих REIT, но рекомендацию 'покупать' сохранил — рынок видит привлекательные оценки. На земле спрос жив: Panattoni рискнула спекулятивной стройкой на 150 000 м2 в Эммене, а Humby арендовала почти 30 000 м2 в Венло. Отдельная сделка в Ваассене (Patron Capital/Wibra) указывает на интерес к монетизации корпоративной недвижимости, хотя детали закрыты пейволлом. Законодательных и статистических пунктов по сегменту на этой неделе не набралось.</w:t>
            </w:r>
          </w:p>
        </w:tc>
      </w:tr>
    </w:tbl>
    <w:p>
      <w:pPr>
        <w:spacing w:before="0" w:after="12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FFF6E5"/>
            <w:tcMar>
              <w:top w:w="100" w:type="dxa"/>
              <w:bottom w:w="100" w:type="dxa"/>
              <w:start w:w="220" w:type="dxa"/>
              <w:end w:w="220" w:type="dxa"/>
              <w:left w:w="220" w:type="dxa"/>
              <w:right w:w="220" w:type="dxa"/>
            </w:tcMar>
            <w:tcBorders>
              <w:left w:val="single" w:sz="30" w:space="0" w:color="C0791C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i w:val="0"/>
                <w:color w:val="8A5510"/>
                <w:sz w:val="18"/>
              </w:rPr>
              <w:t xml:space="preserve">👁  ЗА ЧЕМ СЛЕДИТЬ.  </w:t>
            </w:r>
            <w:r>
              <w:rPr>
                <w:rFonts w:ascii="Calibri" w:hAnsi="Calibri" w:cs="Calibri"/>
                <w:b w:val="0"/>
                <w:i w:val="0"/>
                <w:color w:val="222B36"/>
                <w:sz w:val="20"/>
              </w:rPr>
              <w:t>Ключевая дата — 22 июля: подтвердит ли Prologis твёрдое намерение по Segro или отступит; это переоценит весь сектор. Также следите, найдёт ли Panattoni арендатора на свои 150 000 м2 до сдачи в 2028.</w:t>
            </w:r>
          </w:p>
        </w:tc>
      </w:tr>
    </w:tbl>
    <w:p>
      <w:pPr>
        <w:spacing w:before="0" w:after="160" w:line="269" w:lineRule="auto"/>
        <w:jc w:val="left"/>
      </w:pPr>
    </w:p>
    <w:p>
      <w:pPr>
        <w:spacing w:before="200" w:after="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1F3A5F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keepNext/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8"/>
              </w:rPr>
              <w:t>🧭  Картина недели и прогноз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EEF2F6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0" w:line="283" w:lineRule="auto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21"/>
              </w:rPr>
              <w:t>Картина недели — осторожный разворот к стабилизации сразу в трёх сегментах. В жилье институциональный капитал перестал бежать: сделка Vesteda сняла угрозу распродажи, а приток денег в фонд Bouwinvest для пожилых показывает, куда смещается аппетит инвесторов — в сегменты со структурным спросом. Логистика подаёт тот же сигнал с другой стороны: готовность Prologis платить премию за Segro и сохранённая Deutsche Bank рекомендация «покупать» говорят, что профессионалы считают активы недооценёнными — это эхо того же возвращения уверенности, что и в жилье. Связующая нить всех трёх сегментов — налоги и регулирование: жёсткий box 3, лимит на вычет процентов и высокие доли доступного жилья остаются главным тормозом для притока капитала, и именно вокруг их смягчения идёт основная борьба (IVBN, BPD). Коммерция подтверждает общий вывод снизу: периферийные ритейл-парки с вакантностью 4,4% и рекордно растущим потребительским доверием — тихая зона устойчивости. Прогноз: при сохранении этих сигналов осень может принести постепенное возвращение капитала, но скорость зависит от двух развилок — решения Prologis по Segro (22 июля) и от того, уступит ли государство по налоговой нагрузке и нормам доступности.</w:t>
            </w:r>
          </w:p>
        </w:tc>
      </w:tr>
    </w:tbl>
    <w:p>
      <w:pPr>
        <w:spacing w:before="0" w:after="120" w:line="269" w:lineRule="auto"/>
        <w:jc w:val="left"/>
      </w:pPr>
    </w:p>
    <w:p>
      <w:pPr>
        <w:spacing w:before="200" w:after="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C0791C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keepNext/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8"/>
              </w:rPr>
              <w:t>📅  Календарь: за чем следить</w:t>
            </w:r>
          </w:p>
        </w:tc>
      </w:tr>
    </w:tbl>
    <w:p>
      <w:pPr>
        <w:spacing w:before="0" w:after="4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1531"/>
        <w:gridCol w:w="6406"/>
        <w:gridCol w:w="1587"/>
      </w:tblGrid>
      <w:tr>
        <w:tc>
          <w:tcPr>
            <w:tcW w:type="dxa" w:w="3175"/>
            <w:shd w:val="clear" w:color="auto" w:fill="1F3A5F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Дата</w:t>
            </w:r>
          </w:p>
        </w:tc>
        <w:tc>
          <w:tcPr>
            <w:tcW w:type="dxa" w:w="3175"/>
            <w:shd w:val="clear" w:color="auto" w:fill="1F3A5F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Событие</w:t>
            </w:r>
          </w:p>
        </w:tc>
        <w:tc>
          <w:tcPr>
            <w:tcW w:type="dxa" w:w="3175"/>
            <w:shd w:val="clear" w:color="auto" w:fill="1F3A5F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Сегмент</w:t>
            </w:r>
          </w:p>
        </w:tc>
      </w:tr>
      <w:tr>
        <w:tc>
          <w:tcPr>
            <w:tcW w:type="dxa" w:w="1531"/>
            <w:shd w:val="clear" w:color="auto" w:fill="F4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B36"/>
                <w:sz w:val="19"/>
              </w:rPr>
              <w:t>2026-07-22</w:t>
            </w:r>
          </w:p>
        </w:tc>
        <w:tc>
          <w:tcPr>
            <w:tcW w:type="dxa" w:w="6406"/>
            <w:shd w:val="clear" w:color="auto" w:fill="F4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⏳  Дедлайн Prologis по Segro: подтвердить твёрдое намерение или отступить (put up or shut up)</w:t>
            </w:r>
          </w:p>
        </w:tc>
        <w:tc>
          <w:tcPr>
            <w:tcW w:type="dxa" w:w="1587"/>
            <w:shd w:val="clear" w:color="auto" w:fill="F4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индустриал</w:t>
            </w:r>
          </w:p>
        </w:tc>
      </w:tr>
      <w:tr>
        <w:tc>
          <w:tcPr>
            <w:tcW w:type="dxa" w:w="1531"/>
            <w:shd w:val="clear" w:color="auto" w:fill="FFFFFF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B36"/>
                <w:sz w:val="19"/>
              </w:rPr>
              <w:t>2027-06-26</w:t>
            </w:r>
          </w:p>
        </w:tc>
        <w:tc>
          <w:tcPr>
            <w:tcW w:type="dxa" w:w="6406"/>
            <w:shd w:val="clear" w:color="auto" w:fill="FFFFFF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📊  Следующий ежегодный цикл подачи заявок на выкуп паёв Vesteda (новые условия фонда)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жильё</w:t>
            </w:r>
          </w:p>
        </w:tc>
      </w:tr>
      <w:tr>
        <w:tc>
          <w:tcPr>
            <w:tcW w:type="dxa" w:w="1531"/>
            <w:shd w:val="clear" w:color="auto" w:fill="F4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B36"/>
                <w:sz w:val="19"/>
              </w:rPr>
              <w:t>2028-01-01</w:t>
            </w:r>
          </w:p>
        </w:tc>
        <w:tc>
          <w:tcPr>
            <w:tcW w:type="dxa" w:w="6406"/>
            <w:shd w:val="clear" w:color="auto" w:fill="F4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•  Намеченный старт режима 'Wet werkelijk rendement box 3' (налог с фактической доходности)</w:t>
            </w:r>
          </w:p>
        </w:tc>
        <w:tc>
          <w:tcPr>
            <w:tcW w:type="dxa" w:w="1587"/>
            <w:shd w:val="clear" w:color="auto" w:fill="F4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жильё</w:t>
            </w:r>
          </w:p>
        </w:tc>
      </w:tr>
      <w:tr>
        <w:tc>
          <w:tcPr>
            <w:tcW w:type="dxa" w:w="1531"/>
            <w:shd w:val="clear" w:color="auto" w:fill="FFFFFF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B36"/>
                <w:sz w:val="19"/>
              </w:rPr>
              <w:t>2028-03-31</w:t>
            </w:r>
          </w:p>
        </w:tc>
        <w:tc>
          <w:tcPr>
            <w:tcW w:type="dxa" w:w="6406"/>
            <w:shd w:val="clear" w:color="auto" w:fill="FFFFFF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⏳  Сдача Panattoni Park Emmen (~150 000 м²); проверка, найден ли арендатор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индустриал</w:t>
            </w:r>
          </w:p>
        </w:tc>
      </w:tr>
      <w:tr>
        <w:tc>
          <w:tcPr>
            <w:tcW w:type="dxa" w:w="1531"/>
            <w:shd w:val="clear" w:color="auto" w:fill="F4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B36"/>
                <w:sz w:val="19"/>
              </w:rPr>
              <w:t>2032-01-01</w:t>
            </w:r>
          </w:p>
        </w:tc>
        <w:tc>
          <w:tcPr>
            <w:tcW w:type="dxa" w:w="6406"/>
            <w:shd w:val="clear" w:color="auto" w:fill="F4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⏳  Срок предложения ЕК по смягчению лимита вычета процентов (порог 3 млн €); IVBN просит ускорить</w:t>
            </w:r>
          </w:p>
        </w:tc>
        <w:tc>
          <w:tcPr>
            <w:tcW w:type="dxa" w:w="1587"/>
            <w:shd w:val="clear" w:color="auto" w:fill="F4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ритейл</w:t>
            </w:r>
          </w:p>
        </w:tc>
      </w:tr>
    </w:tbl>
    <w:p>
      <w:pPr>
        <w:spacing w:before="0" w:after="120" w:line="269" w:lineRule="auto"/>
        <w:jc w:val="left"/>
      </w:pPr>
    </w:p>
    <w:p>
      <w:pPr>
        <w:spacing w:before="200" w:after="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5D6D7E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keepNext/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8"/>
              </w:rPr>
              <w:t>📖  Словарь терминов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2835"/>
        <w:gridCol w:w="6690"/>
      </w:tblGrid>
      <w:tr>
        <w:tc>
          <w:tcPr>
            <w:tcW w:type="dxa" w:w="2835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box 3</w:t>
            </w:r>
          </w:p>
        </w:tc>
        <w:tc>
          <w:tcPr>
            <w:tcW w:type="dxa" w:w="6690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Режим нидерландского подоходного налога на капитал физлиц (сбережения и инвестиции, включая арендную недвижимость).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Wet werkelijk rendement box 3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Законопроект о налогообложении фактической (реальной), а не фиктивной доходности капитала в режиме box 3; старт намечен на 2028.</w:t>
            </w:r>
          </w:p>
        </w:tc>
      </w:tr>
      <w:tr>
        <w:tc>
          <w:tcPr>
            <w:tcW w:type="dxa" w:w="2835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vermogenswinstbelasting</w:t>
            </w:r>
          </w:p>
        </w:tc>
        <w:tc>
          <w:tcPr>
            <w:tcW w:type="dxa" w:w="6690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Налог на прирост капитала — облагается прирост стоимости актива, как правило при его продаже.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Eerste Kamer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Сенат, верхняя палата парламента Нидерландов.</w:t>
            </w:r>
          </w:p>
        </w:tc>
      </w:tr>
      <w:tr>
        <w:tc>
          <w:tcPr>
            <w:tcW w:type="dxa" w:w="2835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Tweede Kamer</w:t>
            </w:r>
          </w:p>
        </w:tc>
        <w:tc>
          <w:tcPr>
            <w:tcW w:type="dxa" w:w="6690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Нижняя палата парламента Нидерландов.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Raad van State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Государственный совет — высший административный суд страны.</w:t>
            </w:r>
          </w:p>
        </w:tc>
      </w:tr>
      <w:tr>
        <w:tc>
          <w:tcPr>
            <w:tcW w:type="dxa" w:w="2835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betaalbare nieuwbouw</w:t>
            </w:r>
          </w:p>
        </w:tc>
        <w:tc>
          <w:tcPr>
            <w:tcW w:type="dxa" w:w="6690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Доступная новостройка — жильё в категориях социальной и средней аренды плюс доступная покупка.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middenhuur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Средняя аренда — сегмент жилья между социальной и свободно-рыночной арендой.</w:t>
            </w:r>
          </w:p>
        </w:tc>
      </w:tr>
      <w:tr>
        <w:tc>
          <w:tcPr>
            <w:tcW w:type="dxa" w:w="2835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netcongestie</w:t>
            </w:r>
          </w:p>
        </w:tc>
        <w:tc>
          <w:tcPr>
            <w:tcW w:type="dxa" w:w="6690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Перегрузка электросети — когда мощностей сети не хватает для всех новых подключений.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Regiewet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Закон о госрегулировании жилищного строительства, задающий обязательные доли доступного жилья.</w:t>
            </w:r>
          </w:p>
        </w:tc>
      </w:tr>
      <w:tr>
        <w:tc>
          <w:tcPr>
            <w:tcW w:type="dxa" w:w="2835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bestemmingsplan</w:t>
            </w:r>
          </w:p>
        </w:tc>
        <w:tc>
          <w:tcPr>
            <w:tcW w:type="dxa" w:w="6690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План застройки/зонирования территории, утверждаемый муниципалитетом.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anterieure overeenkomst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Антериорное соглашение — договор о застройке между девелопером и муниципалитетом до утверждения плана.</w:t>
            </w:r>
          </w:p>
        </w:tc>
      </w:tr>
      <w:tr>
        <w:tc>
          <w:tcPr>
            <w:tcW w:type="dxa" w:w="2835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doorbouwfonds</w:t>
            </w:r>
          </w:p>
        </w:tc>
        <w:tc>
          <w:tcPr>
            <w:tcW w:type="dxa" w:w="6690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Строительный фонд муниципалитета, чтобы проекты не останавливались при удорожании стройки.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redemptievolume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Объём заявок инвесторов на выкуп (погашение) своих паёв в фонде.</w:t>
            </w:r>
          </w:p>
        </w:tc>
      </w:tr>
      <w:tr>
        <w:tc>
          <w:tcPr>
            <w:tcW w:type="dxa" w:w="2835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committed capital</w:t>
            </w:r>
          </w:p>
        </w:tc>
        <w:tc>
          <w:tcPr>
            <w:tcW w:type="dxa" w:w="6690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Заявленный (обязательственный) капитал — деньги, которые инвесторы обязались вложить в фонд.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BAVA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Внеочередное общее собрание акционеров (buitengewone algemene vergadering van aandeelhouders).</w:t>
            </w:r>
          </w:p>
        </w:tc>
      </w:tr>
      <w:tr>
        <w:tc>
          <w:tcPr>
            <w:tcW w:type="dxa" w:w="2835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best-effort</w:t>
            </w:r>
          </w:p>
        </w:tc>
        <w:tc>
          <w:tcPr>
            <w:tcW w:type="dxa" w:w="6690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«По мере возможности» — обязательство приложить усилия без гарантии результата (здесь — по выкупу паёв).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leegstand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Вакантность — доля пустующих (несданных) площадей.</w:t>
            </w:r>
          </w:p>
        </w:tc>
      </w:tr>
      <w:tr>
        <w:tc>
          <w:tcPr>
            <w:tcW w:type="dxa" w:w="2835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фрикционная вакантность</w:t>
            </w:r>
          </w:p>
        </w:tc>
        <w:tc>
          <w:tcPr>
            <w:tcW w:type="dxa" w:w="6690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Минимально неизбежный уровень пустующих площадей при нормальной ротации арендаторов.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retailparken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Периферийные ритейл-парки — крупноформатные торговые парки на окраинах (мебель, товары для дома, DIY/строймаркеты).</w:t>
            </w:r>
          </w:p>
        </w:tc>
      </w:tr>
      <w:tr>
        <w:tc>
          <w:tcPr>
            <w:tcW w:type="dxa" w:w="2835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koopbereidheid</w:t>
            </w:r>
          </w:p>
        </w:tc>
        <w:tc>
          <w:tcPr>
            <w:tcW w:type="dxa" w:w="6690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Готовность к покупкам — субиндекс потребительского доверия, отражающий настрой на крупные траты.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CBS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Centraal Bureau voor de Statistiek — нидерландское статистическое бюро.</w:t>
            </w:r>
          </w:p>
        </w:tc>
      </w:tr>
      <w:tr>
        <w:tc>
          <w:tcPr>
            <w:tcW w:type="dxa" w:w="2835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earningsstrippingmaatregel</w:t>
            </w:r>
          </w:p>
        </w:tc>
        <w:tc>
          <w:tcPr>
            <w:tcW w:type="dxa" w:w="6690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Правило ограничения вычета процентных расходов из налогооблагаемой прибыли.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EBITDA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Прибыль до вычета процентов, налогов и амортизации — база для расчёта лимита вычета процентов.</w:t>
            </w:r>
          </w:p>
        </w:tc>
      </w:tr>
      <w:tr>
        <w:tc>
          <w:tcPr>
            <w:tcW w:type="dxa" w:w="2835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BV</w:t>
            </w:r>
          </w:p>
        </w:tc>
        <w:tc>
          <w:tcPr>
            <w:tcW w:type="dxa" w:w="6690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Besloten vennootschap — нидерландская частная компания с ограниченной ответственностью (аналог ООО).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REIT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Биржевой фонд недвижимости с особым налоговым режимом, обязанный распределять большую часть дохода в дивиденды.</w:t>
            </w:r>
          </w:p>
        </w:tc>
      </w:tr>
      <w:tr>
        <w:tc>
          <w:tcPr>
            <w:tcW w:type="dxa" w:w="2835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GVV/SIR</w:t>
            </w:r>
          </w:p>
        </w:tc>
        <w:tc>
          <w:tcPr>
            <w:tcW w:type="dxa" w:w="6690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Бельгийский статус регулируемого фонда недвижимости (аналог REIT).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occupancy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Заполняемость — доля сданных площадей в портфеле.</w:t>
            </w:r>
          </w:p>
        </w:tc>
      </w:tr>
      <w:tr>
        <w:tc>
          <w:tcPr>
            <w:tcW w:type="dxa" w:w="2835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koersdoel</w:t>
            </w:r>
          </w:p>
        </w:tc>
        <w:tc>
          <w:tcPr>
            <w:tcW w:type="dxa" w:w="6690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Целевая цена акции — ориентир справедливой стоимости от аналитика/банка.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спекулятивная застройка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Стройка объекта без заранее найденного арендатора, в расчёте сдать его позже.</w:t>
            </w:r>
          </w:p>
        </w:tc>
      </w:tr>
      <w:tr>
        <w:tc>
          <w:tcPr>
            <w:tcW w:type="dxa" w:w="2835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sale-and-leaseback</w:t>
            </w:r>
          </w:p>
        </w:tc>
        <w:tc>
          <w:tcPr>
            <w:tcW w:type="dxa" w:w="6690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Продажа с обратной арендой — компания продаёт свою недвижимость инвестору и остаётся в ней арендатором.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IVBN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Отраслевая ассоциация институциональных инвесторов в недвижимость Нидерландов.</w:t>
            </w:r>
          </w:p>
        </w:tc>
      </w:tr>
      <w:tr>
        <w:tc>
          <w:tcPr>
            <w:tcW w:type="dxa" w:w="2835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BPD</w:t>
            </w:r>
          </w:p>
        </w:tc>
        <w:tc>
          <w:tcPr>
            <w:tcW w:type="dxa" w:w="6690"/>
            <w:shd w:val="clear" w:color="auto" w:fill="F4F6F8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Bouwfonds Property Development — один из крупнейших девелоперов жилья в Нидерландах и Германии, структура Rabobank.</w:t>
            </w:r>
          </w:p>
        </w:tc>
      </w:tr>
      <w:t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F3A5F"/>
                <w:sz w:val="19"/>
              </w:rPr>
              <w:t>3PL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bottom w:w="6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19"/>
              </w:rPr>
              <w:t>Логистический подрядчик, ведущий склады и доставку чужих товаров (third-party logistics).</w:t>
            </w:r>
          </w:p>
        </w:tc>
      </w:tr>
    </w:tbl>
    <w:p>
      <w:pPr>
        <w:spacing w:before="0" w:after="120" w:line="269" w:lineRule="auto"/>
        <w:jc w:val="left"/>
      </w:pPr>
    </w:p>
    <w:p>
      <w:pPr>
        <w:spacing w:before="200" w:after="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5D6D7E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keepNext/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8"/>
              </w:rPr>
              <w:t>🔗  Источники</w:t>
            </w:r>
          </w:p>
        </w:tc>
      </w:tr>
    </w:tbl>
    <w:p>
      <w:pPr>
        <w:spacing w:before="0" w:after="40" w:line="269" w:lineRule="auto"/>
        <w:jc w:val="left"/>
      </w:pPr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Vastgoedjournaal — Bouwinvest ouderenfonds  </w:t>
      </w:r>
      <w:hyperlink r:id="rId19">
        <w:r>
          <w:rPr>
            <w:color w:val="1155CC"/>
            <w:sz w:val="18"/>
            <w:rFonts w:ascii="Calibri" w:hAnsi="Calibri"/>
            <w:u w:val="single"/>
          </w:rPr>
          <w:t xml:space="preserve">https://vastgoedjournaal.nl/news/73539/twee-pensioenfondsen-stappen-in-ouderenfonds-bouwinvest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Vesteda Newsroom — redemption volume  </w:t>
      </w:r>
      <w:hyperlink r:id="rId13">
        <w:r>
          <w:rPr>
            <w:color w:val="1155CC"/>
            <w:sz w:val="18"/>
            <w:rFonts w:ascii="Calibri" w:hAnsi="Calibri"/>
            <w:u w:val="single"/>
          </w:rPr>
          <w:t xml:space="preserve">https://news.vesteda.com/vesteda-redemption-volume-set-at--765-million-and-fund-terms-amended/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Vastgoedmarkt — coalitieakkoord Rotterdam  </w:t>
      </w:r>
      <w:hyperlink r:id="rId15">
        <w:r>
          <w:rPr>
            <w:color w:val="1155CC"/>
            <w:sz w:val="18"/>
            <w:rFonts w:ascii="Calibri" w:hAnsi="Calibri"/>
            <w:u w:val="single"/>
          </w:rPr>
          <w:t xml:space="preserve">https://www.vastgoedmarkt.nl/209650/rotterdams-coalitieakkoord-volgt-braaf-de-regiewet-67-procent-betaalbare-woningen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Vastgoedjournaal — coalitieakkoord Utrecht  </w:t>
      </w:r>
      <w:hyperlink r:id="rId14">
        <w:r>
          <w:rPr>
            <w:color w:val="1155CC"/>
            <w:sz w:val="18"/>
            <w:rFonts w:ascii="Calibri" w:hAnsi="Calibri"/>
            <w:u w:val="single"/>
          </w:rPr>
          <w:t xml:space="preserve">https://vastgoedjournaal.nl/news/73472/coalitieakkoord-utrecht-80-procent-betaalbare-nieuwbouw-en-doorbraakteam-netcongestie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Eerste Kamer — wetsvoorstel 36748 (box 3)  </w:t>
      </w:r>
      <w:hyperlink r:id="rId12">
        <w:r>
          <w:rPr>
            <w:color w:val="1155CC"/>
            <w:sz w:val="18"/>
            <w:rFonts w:ascii="Calibri" w:hAnsi="Calibri"/>
            <w:u w:val="single"/>
          </w:rPr>
          <w:t xml:space="preserve">https://www.eerstekamer.nl/wetsvoorstel/36748_wet_werkelijk_rendement_box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RegioPurmerend / Raad van State — Koggenland  </w:t>
      </w:r>
      <w:hyperlink r:id="rId21">
        <w:r>
          <w:rPr>
            <w:color w:val="1155CC"/>
            <w:sz w:val="18"/>
            <w:rFonts w:ascii="Calibri" w:hAnsi="Calibri"/>
            <w:u w:val="single"/>
          </w:rPr>
          <w:t xml:space="preserve">https://regiopurmerend.nl/raad-van-state-zet-streep-door-besluiten-maar-woningbouw-koggenland-gaat-toch-door/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CBRE — perifere winkelgebieden (persbericht)  </w:t>
      </w:r>
      <w:hyperlink r:id="rId27">
        <w:r>
          <w:rPr>
            <w:color w:val="1155CC"/>
            <w:sz w:val="18"/>
            <w:rFonts w:ascii="Calibri" w:hAnsi="Calibri"/>
            <w:u w:val="single"/>
          </w:rPr>
          <w:t xml:space="preserve">https://www.cbre.nl/press-releases/perifere-winkelgebieden-trotseren-retailcrisis-en-blijven-verrassend-populair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keukenendesign.nl — leegstand retailparken  </w:t>
      </w:r>
      <w:hyperlink r:id="rId30">
        <w:r>
          <w:rPr>
            <w:color w:val="1155CC"/>
            <w:sz w:val="18"/>
            <w:rFonts w:ascii="Calibri" w:hAnsi="Calibri"/>
            <w:u w:val="single"/>
          </w:rPr>
          <w:t xml:space="preserve">https://keukenendesign.nl/leegstand-retailparken-blijft-opvallend-laag/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Test-Aankoop (Invest) — Retail Estates  </w:t>
      </w:r>
      <w:hyperlink r:id="rId28">
        <w:r>
          <w:rPr>
            <w:color w:val="1155CC"/>
            <w:sz w:val="18"/>
            <w:rFonts w:ascii="Calibri" w:hAnsi="Calibri"/>
            <w:u w:val="single"/>
          </w:rPr>
          <w:t xml:space="preserve">https://www.test-aankoop.be/invest/beleggen/vastgoed/gereglementeerde-vastgoedvennootschappen/artikels/2026/06/retail-estates-eerste-stap-frankrijk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Vakblad Mannenmode — koopbereidheid (CBS)  </w:t>
      </w:r>
      <w:hyperlink r:id="rId29">
        <w:r>
          <w:rPr>
            <w:color w:val="1155CC"/>
            <w:sz w:val="18"/>
            <w:rFonts w:ascii="Calibri" w:hAnsi="Calibri"/>
            <w:u w:val="single"/>
          </w:rPr>
          <w:t xml:space="preserve">https://www.vakbladmannenmode.nl/koopbereidheid-maakt-sprong/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Warehouse Totaal — Prologis bod op Segro  </w:t>
      </w:r>
      <w:hyperlink r:id="rId11">
        <w:r>
          <w:rPr>
            <w:color w:val="1155CC"/>
            <w:sz w:val="18"/>
            <w:rFonts w:ascii="Calibri" w:hAnsi="Calibri"/>
            <w:u w:val="single"/>
          </w:rPr>
          <w:t xml:space="preserve">https://www.warehousetotaal.nl/warehousing/logistiek-vastgoed/prologis-doet-miljardenbod-op-segro-maar-logistieke-vastgoedreus-wijst-overname-af/144181/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De Aandeelhouder — Deutsche Bank koersdoelen logistiek  </w:t>
      </w:r>
      <w:hyperlink r:id="rId17">
        <w:r>
          <w:rPr>
            <w:color w:val="1155CC"/>
            <w:sz w:val="18"/>
            <w:rFonts w:ascii="Calibri" w:hAnsi="Calibri"/>
            <w:u w:val="single"/>
          </w:rPr>
          <w:t xml:space="preserve">https://www.deaandeelhouder.nl/nieuws/2026/06/25/beursblik-deutsche-bank-verlaagt-koersdoelen-voor-aanbieders-van-logistiek-vastgoed/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PropertyNL — Panattoni Park Emmen  </w:t>
      </w:r>
      <w:hyperlink r:id="rId18">
        <w:r>
          <w:rPr>
            <w:color w:val="1155CC"/>
            <w:sz w:val="18"/>
            <w:rFonts w:ascii="Calibri" w:hAnsi="Calibri"/>
            <w:u w:val="single"/>
          </w:rPr>
          <w:t xml:space="preserve">https://propertynl.com/Nieuws/Panattoni-ontwikkelt-groots-multifunctioneel-bedrijvencomplex-in-Emmen/d6e9ee42-b453-4e1e-aef7-4b5a3487fa0d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PropertyNL — Humby huurt in Venlo  </w:t>
      </w:r>
      <w:hyperlink r:id="rId32">
        <w:r>
          <w:rPr>
            <w:color w:val="1155CC"/>
            <w:sz w:val="18"/>
            <w:rFonts w:ascii="Calibri" w:hAnsi="Calibri"/>
            <w:u w:val="single"/>
          </w:rPr>
          <w:t xml:space="preserve">https://propertynl.com/Nieuws/Humby-huurt-bijna-30-000-m-logistieke-ruimte-in-Venlo/63cab933-adaa-4d81-b102-bcd555b1b790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Vastgoed Insider — IVBN renteaftrekbeperking  </w:t>
      </w:r>
      <w:hyperlink r:id="rId16">
        <w:r>
          <w:rPr>
            <w:color w:val="1155CC"/>
            <w:sz w:val="18"/>
            <w:rFonts w:ascii="Calibri" w:hAnsi="Calibri"/>
            <w:u w:val="single"/>
          </w:rPr>
          <w:t xml:space="preserve">https://vastgoedinsider.nl/nederland-heft-ook-in-box-2-vaak-te-veel-belasting-op-vastgoed-europese-commissie-hanteert-lichtere-regels-voor-renteaftrekbeperking/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Vastgoedjournaal — Heijmans IJsselstein 563 woningen  </w:t>
      </w:r>
      <w:hyperlink r:id="rId22">
        <w:r>
          <w:rPr>
            <w:color w:val="1155CC"/>
            <w:sz w:val="18"/>
            <w:rFonts w:ascii="Calibri" w:hAnsi="Calibri"/>
            <w:u w:val="single"/>
          </w:rPr>
          <w:t xml:space="preserve">https://vastgoedjournaal.nl/news/73515/oud-roba-metals-terrein-maakt-plaats-voor-563-woningen-van-heijmans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Vastgoedjournaal — Wibra bedrijfspand Vaassen verkocht  </w:t>
      </w:r>
      <w:hyperlink r:id="rId33">
        <w:r>
          <w:rPr>
            <w:color w:val="1155CC"/>
            <w:sz w:val="18"/>
            <w:rFonts w:ascii="Calibri" w:hAnsi="Calibri"/>
            <w:u w:val="single"/>
          </w:rPr>
          <w:t xml:space="preserve">https://vastgoedjournaal.nl/news/73504/bedrijfspand-in-vaassen-van-wibra-verkocht</w:t>
        </w:r>
      </w:hyperlink>
    </w:p>
    <w:p>
      <w:pPr>
        <w:spacing w:before="200" w:after="0" w:line="269" w:lineRule="auto"/>
        <w:jc w:val="left"/>
      </w:pPr>
    </w:p>
    <w:p>
      <w:pPr>
        <w:spacing w:before="120" w:after="0" w:line="269" w:lineRule="auto"/>
        <w:jc w:val="left"/>
        <w:pBdr>
          <w:top w:val="single" w:sz="6" w:space="4" w:color="D7DEE6"/>
        </w:pBdr>
      </w:pPr>
      <w:r>
        <w:rPr>
          <w:rFonts w:ascii="Calibri" w:hAnsi="Calibri" w:cs="Calibri"/>
          <w:b w:val="0"/>
          <w:i/>
          <w:color w:val="6B7785"/>
          <w:sz w:val="16"/>
        </w:rPr>
        <w:t>Дисклеймер: материал носит информационно-аналитический характер, подготовлен на основе открытых источников и не является инвестиционной рекомендацией. Проверяйте данные по первоисточникам перед принятием решений.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785"/>
        <w:sz w:val="16"/>
      </w:rPr>
      <w:t xml:space="preserve">Стр. </w:t>
      <w:fldChar w:fldCharType="begin"/>
      <w:instrText xml:space="preserve">PAGE</w:instrText>
      <w:fldChar w:fldCharType="end"/>
    </w:r>
    <w:r>
      <w:rPr>
        <w:rFonts w:ascii="Calibri" w:hAnsi="Calibri"/>
        <w:color w:val="6B7785"/>
        <w:sz w:val="16"/>
      </w:rPr>
      <w:t xml:space="preserve"> из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 w:val="0"/>
        <w:i w:val="0"/>
        <w:color w:val="6B7785"/>
        <w:sz w:val="16"/>
      </w:rPr>
      <w:t>Недвижимость Нидерландов · 23–30 июня 2026 г.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222B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warehousetotaal.nl/warehousing/logistiek-vastgoed/prologis-doet-miljardenbod-op-segro-maar-logistieke-vastgoedreus-wijst-overname-af/144181/" TargetMode="External"/><Relationship Id="rId12" Type="http://schemas.openxmlformats.org/officeDocument/2006/relationships/hyperlink" Target="https://www.eerstekamer.nl/wetsvoorstel/36748_wet_werkelijk_rendement_box" TargetMode="External"/><Relationship Id="rId13" Type="http://schemas.openxmlformats.org/officeDocument/2006/relationships/hyperlink" Target="https://news.vesteda.com/vesteda-redemption-volume-set-at--765-million-and-fund-terms-amended/" TargetMode="External"/><Relationship Id="rId14" Type="http://schemas.openxmlformats.org/officeDocument/2006/relationships/hyperlink" Target="https://vastgoedjournaal.nl/news/73472/coalitieakkoord-utrecht-80-procent-betaalbare-nieuwbouw-en-doorbraakteam-netcongestie" TargetMode="External"/><Relationship Id="rId15" Type="http://schemas.openxmlformats.org/officeDocument/2006/relationships/hyperlink" Target="https://www.vastgoedmarkt.nl/209650/rotterdams-coalitieakkoord-volgt-braaf-de-regiewet-67-procent-betaalbare-woningen" TargetMode="External"/><Relationship Id="rId16" Type="http://schemas.openxmlformats.org/officeDocument/2006/relationships/hyperlink" Target="https://vastgoedinsider.nl/nederland-heft-ook-in-box-2-vaak-te-veel-belasting-op-vastgoed-europese-commissie-hanteert-lichtere-regels-voor-renteaftrekbeperking/" TargetMode="External"/><Relationship Id="rId17" Type="http://schemas.openxmlformats.org/officeDocument/2006/relationships/hyperlink" Target="https://www.deaandeelhouder.nl/nieuws/2026/06/25/beursblik-deutsche-bank-verlaagt-koersdoelen-voor-aanbieders-van-logistiek-vastgoed/" TargetMode="External"/><Relationship Id="rId18" Type="http://schemas.openxmlformats.org/officeDocument/2006/relationships/hyperlink" Target="https://propertynl.com/Nieuws/Panattoni-ontwikkelt-groots-multifunctioneel-bedrijvencomplex-in-Emmen/d6e9ee42-b453-4e1e-aef7-4b5a3487fa0d" TargetMode="External"/><Relationship Id="rId19" Type="http://schemas.openxmlformats.org/officeDocument/2006/relationships/hyperlink" Target="https://vastgoedjournaal.nl/news/73539/twee-pensioenfondsen-stappen-in-ouderenfonds-bouwinvest" TargetMode="External"/><Relationship Id="rId20" Type="http://schemas.openxmlformats.org/officeDocument/2006/relationships/image" Target="media/image1.png"/><Relationship Id="rId21" Type="http://schemas.openxmlformats.org/officeDocument/2006/relationships/hyperlink" Target="https://regiopurmerend.nl/raad-van-state-zet-streep-door-besluiten-maar-woningbouw-koggenland-gaat-toch-door/" TargetMode="External"/><Relationship Id="rId22" Type="http://schemas.openxmlformats.org/officeDocument/2006/relationships/hyperlink" Target="https://vastgoedjournaal.nl/news/73515/oud-roba-metals-terrein-maakt-plaats-voor-563-woningen-van-heijmans" TargetMode="External"/><Relationship Id="rId23" Type="http://schemas.openxmlformats.org/officeDocument/2006/relationships/hyperlink" Target="https://vastgoedjournaal.nl/news/73469/harm-janssen-bpd-we-moeten-gewoon-beginnen-met-bouwen" TargetMode="External"/><Relationship Id="rId24" Type="http://schemas.openxmlformats.org/officeDocument/2006/relationships/image" Target="media/image2.png"/><Relationship Id="rId25" Type="http://schemas.openxmlformats.org/officeDocument/2006/relationships/image" Target="media/image3.png"/><Relationship Id="rId26" Type="http://schemas.openxmlformats.org/officeDocument/2006/relationships/image" Target="media/image4.png"/><Relationship Id="rId27" Type="http://schemas.openxmlformats.org/officeDocument/2006/relationships/hyperlink" Target="https://www.cbre.nl/press-releases/perifere-winkelgebieden-trotseren-retailcrisis-en-blijven-verrassend-populair" TargetMode="External"/><Relationship Id="rId28" Type="http://schemas.openxmlformats.org/officeDocument/2006/relationships/hyperlink" Target="https://www.test-aankoop.be/invest/beleggen/vastgoed/gereglementeerde-vastgoedvennootschappen/artikels/2026/06/retail-estates-eerste-stap-frankrijk" TargetMode="External"/><Relationship Id="rId29" Type="http://schemas.openxmlformats.org/officeDocument/2006/relationships/hyperlink" Target="https://www.vakbladmannenmode.nl/koopbereidheid-maakt-sprong/" TargetMode="External"/><Relationship Id="rId30" Type="http://schemas.openxmlformats.org/officeDocument/2006/relationships/hyperlink" Target="https://keukenendesign.nl/leegstand-retailparken-blijft-opvallend-laag/" TargetMode="External"/><Relationship Id="rId31" Type="http://schemas.openxmlformats.org/officeDocument/2006/relationships/image" Target="media/image5.png"/><Relationship Id="rId32" Type="http://schemas.openxmlformats.org/officeDocument/2006/relationships/hyperlink" Target="https://propertynl.com/Nieuws/Humby-huurt-bijna-30-000-m-logistieke-ruimte-in-Venlo/63cab933-adaa-4d81-b102-bcd555b1b790" TargetMode="External"/><Relationship Id="rId33" Type="http://schemas.openxmlformats.org/officeDocument/2006/relationships/hyperlink" Target="https://vastgoedjournaal.nl/news/73504/bedrijfspand-in-vaassen-van-wibra-verkocht" TargetMode="External"/><Relationship Id="rId3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