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9" w:lineRule="auto"/>
        <w:jc w:val="left"/>
      </w:pPr>
    </w:p>
    <w:p>
      <w:pPr>
        <w:spacing w:before="0" w:after="0" w:line="269" w:lineRule="auto"/>
        <w:jc w:val="left"/>
      </w:pPr>
    </w:p>
    <w:p>
      <w:pPr>
        <w:spacing w:before="0" w:after="40" w:line="269" w:lineRule="auto"/>
        <w:jc w:val="left"/>
      </w:pPr>
      <w:r>
        <w:rPr>
          <w:rFonts w:ascii="Calibri" w:hAnsi="Calibri" w:cs="Calibri"/>
          <w:b/>
          <w:i w:val="0"/>
          <w:color w:val="6B7785"/>
          <w:sz w:val="22"/>
          <w:spacing w:val="60"/>
        </w:rPr>
        <w:t>ЕЖЕНЕДЕЛЬНАЯ АНАЛИТИКА</w:t>
      </w:r>
    </w:p>
    <w:p>
      <w:pPr>
        <w:spacing w:before="0" w:after="40" w:line="269" w:lineRule="auto"/>
        <w:jc w:val="left"/>
      </w:pPr>
      <w:r>
        <w:rPr>
          <w:rFonts w:ascii="Calibri" w:hAnsi="Calibri" w:cs="Calibri"/>
          <w:b/>
          <w:i w:val="0"/>
          <w:color w:val="1F3A5F"/>
          <w:sz w:val="60"/>
        </w:rPr>
        <w:t>Рынок недвижимости</w:t>
      </w:r>
    </w:p>
    <w:p>
      <w:pPr>
        <w:spacing w:before="0" w:after="200" w:line="269" w:lineRule="auto"/>
        <w:jc w:val="left"/>
      </w:pPr>
      <w:r>
        <w:rPr>
          <w:rFonts w:ascii="Calibri" w:hAnsi="Calibri" w:cs="Calibri"/>
          <w:b/>
          <w:i w:val="0"/>
          <w:color w:val="1F3A5F"/>
          <w:sz w:val="60"/>
        </w:rPr>
        <w:t>Нидерландов</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3324"/>
        <w:gridCol w:w="3324"/>
        <w:gridCol w:w="3324"/>
      </w:tblGrid>
      <w:tr>
        <w:tc>
          <w:tcPr>
            <w:tcW w:type="dxa" w:w="3175"/>
            <w:shd w:val="clear" w:color="auto" w:fill="16846F"/>
          </w:tcPr>
          <w:p>
            <w:pPr>
              <w:spacing w:after="0"/>
            </w:pPr>
            <w:r>
              <w:rPr>
                <w:sz w:val="6"/>
              </w:rPr>
              <w:t xml:space="preserve"> </w:t>
            </w:r>
          </w:p>
        </w:tc>
        <w:tc>
          <w:tcPr>
            <w:tcW w:type="dxa" w:w="3175"/>
            <w:shd w:val="clear" w:color="auto" w:fill="C0791C"/>
          </w:tcPr>
          <w:p>
            <w:pPr>
              <w:spacing w:after="0"/>
            </w:pPr>
            <w:r>
              <w:rPr>
                <w:sz w:val="6"/>
              </w:rPr>
              <w:t xml:space="preserve"> </w:t>
            </w:r>
          </w:p>
        </w:tc>
        <w:tc>
          <w:tcPr>
            <w:tcW w:type="dxa" w:w="3175"/>
            <w:shd w:val="clear" w:color="auto" w:fill="2C5F8A"/>
          </w:tcPr>
          <w:p>
            <w:pPr>
              <w:spacing w:after="0"/>
            </w:pPr>
            <w:r>
              <w:rPr>
                <w:sz w:val="6"/>
              </w:rPr>
              <w:t xml:space="preserve"> </w:t>
            </w:r>
          </w:p>
        </w:tc>
      </w:tr>
    </w:tbl>
    <w:p>
      <w:pPr>
        <w:spacing w:before="0" w:after="160" w:line="269" w:lineRule="auto"/>
        <w:jc w:val="left"/>
      </w:pPr>
    </w:p>
    <w:p>
      <w:pPr>
        <w:spacing w:before="0" w:after="40" w:line="269" w:lineRule="auto"/>
        <w:jc w:val="left"/>
      </w:pPr>
      <w:r>
        <w:rPr>
          <w:rFonts w:ascii="Calibri" w:hAnsi="Calibri" w:cs="Calibri"/>
          <w:b/>
          <w:i w:val="0"/>
          <w:color w:val="222B36"/>
          <w:sz w:val="26"/>
        </w:rPr>
        <w:t xml:space="preserve">Период: </w:t>
      </w:r>
      <w:r>
        <w:rPr>
          <w:rFonts w:ascii="Calibri" w:hAnsi="Calibri" w:cs="Calibri"/>
          <w:b w:val="0"/>
          <w:i w:val="0"/>
          <w:color w:val="222B36"/>
          <w:sz w:val="26"/>
        </w:rPr>
        <w:t>23–30 июня 2026 г.</w:t>
      </w:r>
    </w:p>
    <w:p>
      <w:pPr>
        <w:spacing w:before="0" w:after="40" w:line="269" w:lineRule="auto"/>
        <w:jc w:val="left"/>
      </w:pPr>
      <w:r>
        <w:rPr>
          <w:rFonts w:ascii="Calibri" w:hAnsi="Calibri" w:cs="Calibri"/>
          <w:b/>
          <w:i w:val="0"/>
          <w:color w:val="6B7785"/>
          <w:sz w:val="22"/>
        </w:rPr>
        <w:t xml:space="preserve">Сегменты: </w:t>
      </w:r>
      <w:r>
        <w:rPr>
          <w:rFonts w:ascii="Calibri" w:hAnsi="Calibri" w:cs="Calibri"/>
          <w:b w:val="0"/>
          <w:i w:val="0"/>
          <w:color w:val="6B7785"/>
          <w:sz w:val="22"/>
        </w:rPr>
        <w:t>жилая недвижимость · коммерция (стрит-ритейл) · индустриальная (склады, промзоны)</w:t>
      </w:r>
    </w:p>
    <w:p>
      <w:pPr>
        <w:spacing w:before="40" w:after="280" w:line="269" w:lineRule="auto"/>
        <w:jc w:val="left"/>
      </w:pPr>
      <w:r>
        <w:rPr>
          <w:rFonts w:ascii="Calibri" w:hAnsi="Calibri" w:cs="Calibri"/>
          <w:b w:val="0"/>
          <w:i/>
          <w:color w:val="6B7785"/>
          <w:sz w:val="19"/>
        </w:rPr>
        <w:t>Отчёт сформирован: 30 июня 2026 г.</w:t>
      </w:r>
    </w:p>
    <w:p>
      <w:r>
        <w:br w:type="page"/>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1F3A5F"/>
            <w:tcMar>
              <w:top w:w="150" w:type="dxa"/>
              <w:bottom w:w="150" w:type="dxa"/>
              <w:start w:w="220" w:type="dxa"/>
              <w:end w:w="220" w:type="dxa"/>
              <w:left w:w="220" w:type="dxa"/>
              <w:right w:w="220" w:type="dxa"/>
            </w:tcMar>
          </w:tcPr>
          <w:p>
            <w:pPr>
              <w:spacing w:after="80"/>
            </w:pPr>
            <w:r>
              <w:rPr>
                <w:rFonts w:ascii="Calibri" w:hAnsi="Calibri" w:cs="Calibri"/>
                <w:b/>
                <w:i w:val="0"/>
                <w:color w:val="FFFFFF"/>
                <w:sz w:val="22"/>
              </w:rPr>
              <w:t>ГЛАВНЫЕ ВЫВОДЫ НЕДЕЛИ</w:t>
            </w:r>
          </w:p>
          <w:p>
            <w:pPr>
              <w:spacing w:before="40" w:after="40" w:line="276" w:lineRule="auto"/>
              <w:ind w:left="312" w:hanging="312"/>
            </w:pPr>
            <w:r>
              <w:rPr>
                <w:rFonts w:ascii="Calibri" w:hAnsi="Calibri" w:cs="Calibri"/>
                <w:b/>
                <w:i w:val="0"/>
                <w:color w:val="F0C46A"/>
                <w:sz w:val="21"/>
              </w:rPr>
              <w:t xml:space="preserve">1.  </w:t>
            </w:r>
            <w:r>
              <w:rPr>
                <w:rFonts w:ascii="Calibri" w:hAnsi="Calibri" w:cs="Calibri"/>
                <w:b w:val="0"/>
                <w:i w:val="0"/>
                <w:color w:val="ECF1F6"/>
                <w:sz w:val="21"/>
              </w:rPr>
              <w:t>Розетка решает больше, чем кредит: с 1 июля сеть на юге страны закрыта для новых подключений. Объект с готовой мощностью дорожает, без неё — теряет в цене.</w:t>
            </w:r>
          </w:p>
          <w:p>
            <w:pPr>
              <w:spacing w:before="40" w:after="40" w:line="276" w:lineRule="auto"/>
              <w:ind w:left="312" w:hanging="312"/>
            </w:pPr>
            <w:r>
              <w:rPr>
                <w:rFonts w:ascii="Calibri" w:hAnsi="Calibri" w:cs="Calibri"/>
                <w:b/>
                <w:i w:val="0"/>
                <w:color w:val="F0C46A"/>
                <w:sz w:val="21"/>
              </w:rPr>
              <w:t xml:space="preserve">2.  </w:t>
            </w:r>
            <w:r>
              <w:rPr>
                <w:rFonts w:ascii="Calibri" w:hAnsi="Calibri" w:cs="Calibri"/>
                <w:b w:val="0"/>
                <w:i w:val="0"/>
                <w:color w:val="ECF1F6"/>
                <w:sz w:val="21"/>
              </w:rPr>
              <w:t>Логистика: спрос есть, денег нет — но сделка недели поднимает планку цен для всего сектора. Аренда складов за год выросла на +10,5%, вложения в покупку упали на 60%. При этом Prologis, крупнейший в мире владелец складов, предложил купить британскую Segro на четверть дороже рыночной цены (~14,6 млрд €) — рынок ждёт развязки 22 июля.</w:t>
            </w:r>
          </w:p>
          <w:p>
            <w:pPr>
              <w:spacing w:before="40" w:after="40" w:line="276" w:lineRule="auto"/>
              <w:ind w:left="312" w:hanging="312"/>
            </w:pPr>
            <w:r>
              <w:rPr>
                <w:rFonts w:ascii="Calibri" w:hAnsi="Calibri" w:cs="Calibri"/>
                <w:b/>
                <w:i w:val="0"/>
                <w:color w:val="F0C46A"/>
                <w:sz w:val="21"/>
              </w:rPr>
              <w:t xml:space="preserve">3.  </w:t>
            </w:r>
            <w:r>
              <w:rPr>
                <w:rFonts w:ascii="Calibri" w:hAnsi="Calibri" w:cs="Calibri"/>
                <w:b w:val="0"/>
                <w:i w:val="0"/>
                <w:color w:val="ECF1F6"/>
                <w:sz w:val="21"/>
              </w:rPr>
              <w:t>Жильё и налоги: цены растут медленнее (+4,4% за год), а выход инвесторов из аренды — впятеро меньше страхов. Но готовится налог box 3 на реальный доход — давление на частных арендодателей.</w:t>
            </w:r>
          </w:p>
        </w:tc>
      </w:tr>
    </w:tbl>
    <w:p>
      <w:pPr>
        <w:spacing w:before="0" w:after="16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1F3A5F"/>
            <w:tcMar>
              <w:top w:w="120" w:type="dxa"/>
              <w:bottom w:w="120" w:type="dxa"/>
              <w:start w:w="200" w:type="dxa"/>
              <w:end w:w="200" w:type="dxa"/>
              <w:left w:w="200" w:type="dxa"/>
              <w:right w:w="200" w:type="dxa"/>
            </w:tcMar>
          </w:tcPr>
          <w:p>
            <w:pPr>
              <w:keepNext/>
              <w:spacing w:after="0"/>
            </w:pPr>
            <w:r/>
            <w:r>
              <w:rPr>
                <w:rFonts w:ascii="Calibri" w:hAnsi="Calibri" w:cs="Calibri"/>
                <w:b/>
                <w:i w:val="0"/>
                <w:color w:val="FFFFFF"/>
                <w:sz w:val="28"/>
              </w:rPr>
              <w:t>📊  Статистика в графиках</w:t>
            </w:r>
          </w:p>
        </w:tc>
      </w:tr>
    </w:tbl>
    <w:p>
      <w:pPr>
        <w:spacing w:before="0" w:after="40" w:line="269" w:lineRule="auto"/>
        <w:jc w:val="left"/>
      </w:pPr>
    </w:p>
    <w:p>
      <w:pPr>
        <w:keepNext/>
        <w:spacing w:before="120" w:after="20"/>
        <w:jc w:val="center"/>
      </w:pPr>
      <w:r>
        <w:drawing>
          <wp:inline xmlns:a="http://schemas.openxmlformats.org/drawingml/2006/main" xmlns:pic="http://schemas.openxmlformats.org/drawingml/2006/picture">
            <wp:extent cx="5903999" cy="1589937"/>
            <wp:docPr id="1" name="Picture 1"/>
            <wp:cNvGraphicFramePr>
              <a:graphicFrameLocks noChangeAspect="1"/>
            </wp:cNvGraphicFramePr>
            <a:graphic>
              <a:graphicData uri="http://schemas.openxmlformats.org/drawingml/2006/picture">
                <pic:pic>
                  <pic:nvPicPr>
                    <pic:cNvPr id="0" name="pulse.png"/>
                    <pic:cNvPicPr/>
                  </pic:nvPicPr>
                  <pic:blipFill>
                    <a:blip r:embed="rId11"/>
                    <a:stretch>
                      <a:fillRect/>
                    </a:stretch>
                  </pic:blipFill>
                  <pic:spPr>
                    <a:xfrm>
                      <a:off x="0" y="0"/>
                      <a:ext cx="5903999" cy="1589937"/>
                    </a:xfrm>
                    <a:prstGeom prst="rect"/>
                  </pic:spPr>
                </pic:pic>
              </a:graphicData>
            </a:graphic>
          </wp:inline>
        </w:drawing>
      </w:r>
    </w:p>
    <w:p>
      <w:pPr>
        <w:spacing w:before="0" w:after="160" w:line="259" w:lineRule="auto"/>
        <w:jc w:val="center"/>
      </w:pPr>
      <w:r>
        <w:rPr>
          <w:rFonts w:ascii="Calibri" w:hAnsi="Calibri" w:cs="Calibri"/>
          <w:b w:val="0"/>
          <w:i/>
          <w:color w:val="6B7785"/>
          <w:sz w:val="18"/>
        </w:rPr>
        <w:t>Логистика тянет спрос, но сделки и мощность заморожены.</w:t>
      </w:r>
    </w:p>
    <w:p>
      <w:pPr>
        <w:keepNext/>
        <w:spacing w:before="200" w:after="60" w:line="269" w:lineRule="auto"/>
        <w:jc w:val="left"/>
        <w:pBdr>
          <w:bottom w:val="single" w:sz="6" w:space="2" w:color="D7DEE6"/>
        </w:pBdr>
      </w:pPr>
      <w:r>
        <w:rPr>
          <w:rFonts w:ascii="Calibri" w:hAnsi="Calibri" w:cs="Calibri"/>
          <w:b/>
          <w:i w:val="0"/>
          <w:color w:val="1F3A5F"/>
          <w:sz w:val="23"/>
        </w:rPr>
        <w:t>Коротко о неделе</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c>
          <w:tcPr>
            <w:tcW w:type="dxa" w:w="9524"/>
            <w:shd w:val="clear" w:color="auto" w:fill="EEF2F6"/>
            <w:tcMar>
              <w:top w:w="140" w:type="dxa"/>
              <w:bottom w:w="140" w:type="dxa"/>
              <w:start w:w="200" w:type="dxa"/>
              <w:end w:w="200" w:type="dxa"/>
              <w:left w:w="200" w:type="dxa"/>
              <w:right w:w="200" w:type="dxa"/>
            </w:tcMar>
          </w:tcPr>
          <w:p>
            <w:pPr>
              <w:spacing w:after="0" w:line="276" w:lineRule="auto"/>
            </w:pPr>
            <w:r>
              <w:rPr>
                <w:rFonts w:ascii="Calibri" w:hAnsi="Calibri" w:cs="Calibri"/>
                <w:b w:val="0"/>
                <w:i w:val="0"/>
                <w:color w:val="222B36"/>
                <w:sz w:val="21"/>
              </w:rPr>
              <w:t>Главная тема недели — электричество стало дефицитнее денег: с 1 июля электросеть провинции Брабант закрыта даже для нового жилья, в очереди на подключение больше 9 000 компаний. В логистике спрос на аренду растёт (+10,5% за год), но покупать склады почти перестали (−60%). Жильё дорожает медленнее и без обвала, а магазинов становится меньше — пустых уже 7,0%.</w:t>
            </w:r>
          </w:p>
        </w:tc>
      </w:tr>
    </w:tbl>
    <w:p>
      <w:pPr>
        <w:spacing w:before="0" w:after="12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2C5F8A"/>
            <w:tcMar>
              <w:top w:w="120" w:type="dxa"/>
              <w:bottom w:w="120" w:type="dxa"/>
              <w:start w:w="200" w:type="dxa"/>
              <w:end w:w="200" w:type="dxa"/>
              <w:left w:w="200" w:type="dxa"/>
              <w:right w:w="200" w:type="dxa"/>
            </w:tcMar>
          </w:tcPr>
          <w:p>
            <w:pPr>
              <w:keepNext/>
              <w:spacing w:after="0"/>
            </w:pPr>
            <w:r/>
            <w:r>
              <w:rPr>
                <w:rFonts w:ascii="Calibri" w:hAnsi="Calibri" w:cs="Calibri"/>
                <w:b/>
                <w:i w:val="0"/>
                <w:color w:val="FFFFFF"/>
                <w:sz w:val="28"/>
              </w:rPr>
              <w:t>🏭  Индустриал (склады, промзоны)</w:t>
            </w:r>
          </w:p>
        </w:tc>
      </w:tr>
    </w:tbl>
    <w:p>
      <w:pPr>
        <w:keepNext/>
        <w:spacing w:before="200" w:after="60" w:line="269" w:lineRule="auto"/>
        <w:jc w:val="left"/>
        <w:pBdr>
          <w:bottom w:val="single" w:sz="6" w:space="2" w:color="D7DEE6"/>
        </w:pBdr>
      </w:pPr>
      <w:r>
        <w:rPr>
          <w:rFonts w:ascii="Calibri" w:hAnsi="Calibri" w:cs="Calibri"/>
          <w:b/>
          <w:i w:val="0"/>
          <w:color w:val="1E4466"/>
          <w:sz w:val="23"/>
        </w:rPr>
        <w:t>Изменения в законах и регулировании</w:t>
      </w:r>
    </w:p>
    <w:p>
      <w:pPr>
        <w:spacing w:before="60" w:after="20" w:line="269" w:lineRule="auto"/>
        <w:ind w:left="283" w:hanging="198"/>
        <w:jc w:val="left"/>
      </w:pPr>
      <w:r>
        <w:rPr>
          <w:rFonts w:ascii="Calibri" w:hAnsi="Calibri" w:cs="Calibri"/>
          <w:b/>
          <w:i w:val="0"/>
          <w:color w:val="B03A3A"/>
          <w:sz w:val="21"/>
        </w:rPr>
        <w:t xml:space="preserve">▼  </w:t>
      </w:r>
      <w:r>
        <w:rPr>
          <w:rFonts w:ascii="Calibri" w:hAnsi="Calibri" w:cs="Calibri"/>
          <w:b w:val="0"/>
          <w:i w:val="0"/>
          <w:color w:val="222B36"/>
          <w:sz w:val="21"/>
        </w:rPr>
        <w:t>Впервые электросеть целой провинции закрылась даже для нового жилья и мелких потребителей — а не только для заводов и складов, как раньше. Речь о Брабанте (юг страны, крупный логистический регион): с 1 июля сеть там закрыта почти полностью. Фон такой: солнечные панели, электромобили и заводы, отказавшиеся от газа, нагружают сеть быстрее, чем её успевают расширять, поэтому во многих районах подключить новый объект уже нельзя — надо вставать в очередь. Это и называют netcongestie, «перегрузка сети». За электросети в Брабанте отвечает Enexis. И она прямо говорит: свободной мощности нет, по всей стране в очереди у неё уже больше 9 000 компаний.</w:t>
      </w:r>
    </w:p>
    <w:p>
      <w:pPr>
        <w:spacing w:before="20" w:after="20" w:line="264" w:lineRule="auto"/>
        <w:ind w:left="283"/>
        <w:jc w:val="left"/>
        <w:shd w:val="clear" w:color="auto" w:fill="FBEAEA"/>
      </w:pPr>
      <w:r>
        <w:rPr>
          <w:rFonts w:ascii="Calibri" w:hAnsi="Calibri" w:cs="Calibri"/>
          <w:b/>
          <w:i w:val="0"/>
          <w:color w:val="B03A3A"/>
          <w:sz w:val="18"/>
        </w:rPr>
        <w:t xml:space="preserve">  Почему важно:  </w:t>
      </w:r>
      <w:r>
        <w:rPr>
          <w:rFonts w:ascii="Calibri" w:hAnsi="Calibri" w:cs="Calibri"/>
          <w:b w:val="0"/>
          <w:i w:val="0"/>
          <w:color w:val="222B36"/>
          <w:sz w:val="18"/>
        </w:rPr>
        <w:t xml:space="preserve">Склад или завод без электричества не работает — там нужны погрузчики, холод, зарядки, освещение. Если объект нельзя подключить, он почти бесполезен, поэтому его цена теперь зависит не только от площади и места, но и от того, есть ли уже готовое подключение. Простыми словами: киловатт стал дефицитнее денег. Объект с готовой мощностью дорожает — за него конкурируют, — а пустой участок без подключения на юге теряет часть ценности: построить можно, а запитать — годами нельзя.  </w:t>
      </w:r>
    </w:p>
    <w:p>
      <w:pPr>
        <w:spacing w:before="0" w:after="100" w:line="240" w:lineRule="auto"/>
        <w:ind w:left="283"/>
        <w:jc w:val="left"/>
      </w:pPr>
      <w:r>
        <w:rPr>
          <w:rFonts w:ascii="Calibri" w:hAnsi="Calibri" w:cs="Calibri"/>
          <w:b w:val="0"/>
          <w:i/>
          <w:color w:val="6B7785"/>
          <w:sz w:val="17"/>
        </w:rPr>
        <w:t xml:space="preserve">   📅 2026-06-26   •   Источник: Financieel Management / Omroep Brabant (цитата Enexis)</w:t>
      </w:r>
      <w:r>
        <w:rPr>
          <w:rFonts w:ascii="Calibri" w:hAnsi="Calibri" w:cs="Calibri"/>
          <w:b w:val="0"/>
          <w:i w:val="0"/>
          <w:color w:val="6B7785"/>
          <w:sz w:val="17"/>
        </w:rPr>
        <w:t xml:space="preserve">   </w:t>
      </w:r>
      <w:hyperlink r:id="rId12">
        <w:r>
          <w:rPr>
            <w:color w:val="1155CC"/>
            <w:sz w:val="17.0"/>
            <w:rFonts w:ascii="Calibri" w:hAnsi="Calibri"/>
            <w:u w:val="single"/>
          </w:rPr>
          <w:t xml:space="preserve">ссылка ↗</w:t>
        </w:r>
      </w:hyperlink>
    </w:p>
    <w:p>
      <w:pPr>
        <w:keepNext/>
        <w:spacing w:before="200" w:after="60" w:line="269" w:lineRule="auto"/>
        <w:jc w:val="left"/>
        <w:pBdr>
          <w:bottom w:val="single" w:sz="6" w:space="2" w:color="D7DEE6"/>
        </w:pBdr>
      </w:pPr>
      <w:r>
        <w:rPr>
          <w:rFonts w:ascii="Calibri" w:hAnsi="Calibri" w:cs="Calibri"/>
          <w:b/>
          <w:i w:val="0"/>
          <w:color w:val="1E4466"/>
          <w:sz w:val="23"/>
        </w:rPr>
        <w:t>Новости</w:t>
      </w:r>
    </w:p>
    <w:p>
      <w:pPr>
        <w:spacing w:before="60" w:after="20" w:line="269" w:lineRule="auto"/>
        <w:ind w:left="283" w:hanging="198"/>
        <w:jc w:val="left"/>
      </w:pPr>
      <w:r>
        <w:rPr>
          <w:rFonts w:ascii="Calibri" w:hAnsi="Calibri" w:cs="Calibri"/>
          <w:b/>
          <w:i w:val="0"/>
          <w:color w:val="1E7A4D"/>
          <w:sz w:val="21"/>
        </w:rPr>
        <w:t xml:space="preserve">▲  </w:t>
      </w:r>
      <w:r>
        <w:rPr>
          <w:rFonts w:ascii="Calibri" w:hAnsi="Calibri" w:cs="Calibri"/>
          <w:b w:val="0"/>
          <w:i w:val="0"/>
          <w:color w:val="222B36"/>
          <w:sz w:val="21"/>
        </w:rPr>
        <w:t>Крупнейший в мире владелец складов — Prologis — публично дал понять: европейские склады продаются слишком дёшево. Компания сделала предложение о покупке британской Segro, у которой тоже много складов в Европе, так что история напрямую касается и Нидерландов. Платить Prologis предлагает не деньгами, а своими акциями. Рынок оценил предложение примерно в 12,6 млрд фунтов (около 14,6 млрд €) — с наценкой ~25% к тому, сколько акции Segro стоили до этого на бирже. Совет директоров Segro предложение отклонил, назвав его заниженным. По английским правилам поглощений у Prologis есть срок: до 22 июля она обязана либо официально подтвердить твёрдое предложение (и, вероятно, поднять цену), либо отступить.</w:t>
      </w:r>
    </w:p>
    <w:p>
      <w:pPr>
        <w:spacing w:before="20" w:after="20" w:line="264" w:lineRule="auto"/>
        <w:ind w:left="283"/>
        <w:jc w:val="left"/>
        <w:shd w:val="clear" w:color="auto" w:fill="E7F4EE"/>
      </w:pPr>
      <w:r>
        <w:rPr>
          <w:rFonts w:ascii="Calibri" w:hAnsi="Calibri" w:cs="Calibri"/>
          <w:b/>
          <w:i w:val="0"/>
          <w:color w:val="1E7A4D"/>
          <w:sz w:val="18"/>
        </w:rPr>
        <w:t xml:space="preserve">  Почему важно:  </w:t>
      </w:r>
      <w:r>
        <w:rPr>
          <w:rFonts w:ascii="Calibri" w:hAnsi="Calibri" w:cs="Calibri"/>
          <w:b w:val="0"/>
          <w:i w:val="0"/>
          <w:color w:val="222B36"/>
          <w:sz w:val="18"/>
        </w:rPr>
        <w:t xml:space="preserve">Громкая сделка такого размера становится ценовым ориентиром для похожих, соседних портфелей — а Segro того же масштаба, что и крупные владельцы складов в Нидерландах (CTP, WDP). Раз кто-то готов переплатить за европейские склады, это довод в пользу того, что сектор в целом недооценён.  </w:t>
      </w:r>
    </w:p>
    <w:p>
      <w:pPr>
        <w:spacing w:before="0" w:after="100" w:line="240" w:lineRule="auto"/>
        <w:ind w:left="283"/>
        <w:jc w:val="left"/>
      </w:pPr>
      <w:r>
        <w:rPr>
          <w:rFonts w:ascii="Calibri" w:hAnsi="Calibri" w:cs="Calibri"/>
          <w:b w:val="0"/>
          <w:i/>
          <w:color w:val="6B7785"/>
          <w:sz w:val="17"/>
        </w:rPr>
        <w:t xml:space="preserve">   📅 2026-06-24   •   Источник: Reuters / Bloomberg; Prologis (PR Newswire)</w:t>
      </w:r>
      <w:r>
        <w:rPr>
          <w:rFonts w:ascii="Calibri" w:hAnsi="Calibri" w:cs="Calibri"/>
          <w:b w:val="0"/>
          <w:i w:val="0"/>
          <w:color w:val="6B7785"/>
          <w:sz w:val="17"/>
        </w:rPr>
        <w:t xml:space="preserve">   </w:t>
      </w:r>
      <w:hyperlink r:id="rId13">
        <w:r>
          <w:rPr>
            <w:color w:val="1155CC"/>
            <w:sz w:val="17.0"/>
            <w:rFonts w:ascii="Calibri" w:hAnsi="Calibri"/>
            <w:u w:val="single"/>
          </w:rPr>
          <w:t xml:space="preserve">ссылка ↗</w:t>
        </w:r>
      </w:hyperlink>
    </w:p>
    <w:p>
      <w:pPr>
        <w:keepNext/>
        <w:spacing w:before="200" w:after="60" w:line="269" w:lineRule="auto"/>
        <w:jc w:val="left"/>
        <w:pBdr>
          <w:bottom w:val="single" w:sz="6" w:space="2" w:color="D7DEE6"/>
        </w:pBdr>
      </w:pPr>
      <w:r>
        <w:rPr>
          <w:rFonts w:ascii="Calibri" w:hAnsi="Calibri" w:cs="Calibri"/>
          <w:b/>
          <w:i w:val="0"/>
          <w:color w:val="1E4466"/>
          <w:sz w:val="23"/>
        </w:rPr>
        <w:t>Статистика</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5669"/>
        <w:gridCol w:w="3855"/>
      </w:tblGrid>
      <w:tr>
        <w:tc>
          <w:tcPr>
            <w:tcW w:type="dxa" w:w="4762"/>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Показатель</w:t>
            </w:r>
          </w:p>
        </w:tc>
        <w:tc>
          <w:tcPr>
            <w:tcW w:type="dxa" w:w="4762"/>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Значение / динамика</w:t>
            </w:r>
          </w:p>
        </w:tc>
      </w:tr>
      <w:tr>
        <w:tc>
          <w:tcPr>
            <w:tcW w:type="dxa" w:w="5669"/>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Здесь два числа, которые на первый взгляд противоречат друг другу, — и в этом вся суть. Первое: аренда складов (сколько площадей арендаторы сняли за квартал) за первые три месяца 2026 года выросла на +10,5% к тому же периоду год назад — примерно до 833 000 м². Склады бизнесу нужны, спрос живой. Второе: вложения в покупку складов за тот же период рухнули на −60% — примерно до 265 млн €. Инвесторы склады почти перестали покупать: мешают дорогие кредиты, подорожавшая стройка и та самая нехватка электромощности — покупатель не хочет переплачивать, а продавец не готов сильно сбрасывать цену.</w:t>
            </w:r>
          </w:p>
          <w:p>
            <w:pPr>
              <w:spacing w:before="20" w:after="0"/>
            </w:pPr>
            <w:r>
              <w:rPr>
                <w:rFonts w:ascii="Calibri" w:hAnsi="Calibri" w:cs="Calibri"/>
                <w:b w:val="0"/>
                <w:i/>
                <w:color w:val="6B7785"/>
                <w:sz w:val="16"/>
              </w:rPr>
              <w:t>→ Классическая ситуация «бизнес здоров, но сделок нет»: купля-продажа замерла из-за цены денег, а не из-за слабого спроса. Раз спрос на аренду держится, а цены на склады уже не падают, дно по цене, скорее всего, близко. Настоящие скидки появятся, только если кому-то из владельцев с большими долгами придётся срочно продавать при перекредитовании — пока это лишь возможный сценарий.</w:t>
            </w:r>
          </w:p>
        </w:tc>
        <w:tc>
          <w:tcPr>
            <w:tcW w:type="dxa" w:w="3855"/>
            <w:shd w:val="clear" w:color="auto" w:fill="F4F6F8"/>
            <w:tcMar>
              <w:top w:w="80" w:type="dxa"/>
              <w:bottom w:w="80" w:type="dxa"/>
              <w:start w:w="140" w:type="dxa"/>
              <w:end w:w="140" w:type="dxa"/>
              <w:left w:w="140" w:type="dxa"/>
              <w:right w:w="140" w:type="dxa"/>
            </w:tcMar>
          </w:tcPr>
          <w:p>
            <w:pPr>
              <w:spacing w:after="0"/>
            </w:pPr>
            <w:r>
              <w:rPr>
                <w:rFonts w:ascii="Calibri" w:hAnsi="Calibri" w:cs="Calibri"/>
                <w:b/>
                <w:i w:val="0"/>
                <w:color w:val="1E7A4D"/>
                <w:sz w:val="19"/>
              </w:rPr>
              <w:t xml:space="preserve">▲ </w:t>
            </w:r>
            <w:r>
              <w:rPr>
                <w:rFonts w:ascii="Calibri" w:hAnsi="Calibri" w:cs="Calibri"/>
                <w:b/>
                <w:i w:val="0"/>
                <w:color w:val="222B36"/>
                <w:sz w:val="19"/>
              </w:rPr>
              <w:t>аренда складов +10,5% за год; вложения в покупку −60% за год</w:t>
            </w:r>
          </w:p>
          <w:p>
            <w:pPr>
              <w:spacing w:before="20" w:after="0"/>
            </w:pPr>
            <w:r>
              <w:rPr>
                <w:rFonts w:ascii="Calibri" w:hAnsi="Calibri" w:cs="Calibri"/>
                <w:b w:val="0"/>
                <w:i/>
                <w:color w:val="6B7785"/>
                <w:sz w:val="15"/>
              </w:rPr>
              <w:t>Cushman &amp; Wakefield Netherlands</w:t>
            </w:r>
            <w:hyperlink r:id="rId14">
              <w:r>
                <w:rPr>
                  <w:color w:val="1155CC"/>
                  <w:sz w:val="15.0"/>
                  <w:rFonts w:ascii="Calibri" w:hAnsi="Calibri"/>
                  <w:u w:val="single"/>
                </w:rPr>
                <w:t xml:space="preserve">  ↗</w:t>
              </w:r>
            </w:hyperlink>
          </w:p>
        </w:tc>
      </w:tr>
      <w:tr>
        <w:tc>
          <w:tcPr>
            <w:tcW w:type="dxa" w:w="5669"/>
            <w:shd w:val="clear" w:color="auto" w:fill="FFFFFF"/>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Биржа как будто говорит оценщикам складов: «на бумаге эти объекты стоят 100, но я готова платить только 78». CTP и WDP — две крупные компании, которым принадлежат десятки складов по всей Европе; их акции торгуются на бирже, поэтому по цене акций видно, как рынок оценивает склады прямо сейчас. Так вот, акции CTP стоят примерно на 21,7% дешевле, чем сами склады этой компании оценены в её же отчётности. При этом аналитики банков, наоборот, советуют эти акции покупать и ждут, что они подорожают примерно на 30%.</w:t>
            </w:r>
          </w:p>
          <w:p>
            <w:pPr>
              <w:spacing w:before="20" w:after="0"/>
            </w:pPr>
            <w:r>
              <w:rPr>
                <w:rFonts w:ascii="Calibri" w:hAnsi="Calibri" w:cs="Calibri"/>
                <w:b w:val="0"/>
                <w:i/>
                <w:color w:val="6B7785"/>
                <w:sz w:val="16"/>
              </w:rPr>
              <w:t>→ Биржа переоценивает склады каждый день и обычно реагирует раньше официальных оценщиков недвижимости. Раз она оценивает публичные склады дешевле их «бумажной» цены, есть риск, что и оценки соседних частных складов немного завышены и позже их поправят вниз. Простыми словами: два свидетеля — биржа и аналитики — говорят разное. Это повод не паниковать, но и не считать текущие оценки складов железобетонными.</w:t>
            </w:r>
          </w:p>
        </w:tc>
        <w:tc>
          <w:tcPr>
            <w:tcW w:type="dxa" w:w="3855"/>
            <w:shd w:val="clear" w:color="auto" w:fill="FFFFFF"/>
            <w:tcMar>
              <w:top w:w="80" w:type="dxa"/>
              <w:bottom w:w="80" w:type="dxa"/>
              <w:start w:w="140" w:type="dxa"/>
              <w:end w:w="140" w:type="dxa"/>
              <w:left w:w="140" w:type="dxa"/>
              <w:right w:w="140" w:type="dxa"/>
            </w:tcMar>
          </w:tcPr>
          <w:p>
            <w:pPr>
              <w:spacing w:after="0"/>
            </w:pPr>
            <w:r>
              <w:rPr>
                <w:rFonts w:ascii="Calibri" w:hAnsi="Calibri" w:cs="Calibri"/>
                <w:b/>
                <w:i w:val="0"/>
                <w:color w:val="1E7A4D"/>
                <w:sz w:val="19"/>
              </w:rPr>
              <w:t xml:space="preserve">▲ </w:t>
            </w:r>
            <w:r>
              <w:rPr>
                <w:rFonts w:ascii="Calibri" w:hAnsi="Calibri" w:cs="Calibri"/>
                <w:b/>
                <w:i w:val="0"/>
                <w:color w:val="222B36"/>
                <w:sz w:val="19"/>
              </w:rPr>
              <w:t>акции CTP на ~21,7% дешевле «бумажной» цены складов; аналитики ждут роста ~+30%</w:t>
            </w:r>
          </w:p>
          <w:p>
            <w:pPr>
              <w:spacing w:before="20" w:after="0"/>
            </w:pPr>
            <w:r>
              <w:rPr>
                <w:rFonts w:ascii="Calibri" w:hAnsi="Calibri" w:cs="Calibri"/>
                <w:b w:val="0"/>
                <w:i/>
                <w:color w:val="6B7785"/>
                <w:sz w:val="15"/>
              </w:rPr>
              <w:t>Investing.com / MarketScreener; CTP IR</w:t>
            </w:r>
            <w:hyperlink r:id="rId15">
              <w:r>
                <w:rPr>
                  <w:color w:val="1155CC"/>
                  <w:sz w:val="15.0"/>
                  <w:rFonts w:ascii="Calibri" w:hAnsi="Calibri"/>
                  <w:u w:val="single"/>
                </w:rPr>
                <w:t xml:space="preserve">  ↗</w:t>
              </w:r>
            </w:hyperlink>
          </w:p>
        </w:tc>
      </w:tr>
    </w:tbl>
    <w:p>
      <w:pPr>
        <w:spacing w:before="0" w:after="40" w:line="269" w:lineRule="auto"/>
        <w:jc w:val="left"/>
      </w:pPr>
    </w:p>
    <w:p>
      <w:pPr>
        <w:keepNext/>
        <w:spacing w:before="120" w:after="20"/>
        <w:jc w:val="center"/>
      </w:pPr>
      <w:r>
        <w:drawing>
          <wp:inline xmlns:a="http://schemas.openxmlformats.org/drawingml/2006/main" xmlns:pic="http://schemas.openxmlformats.org/drawingml/2006/picture">
            <wp:extent cx="5903999" cy="3334153"/>
            <wp:docPr id="2" name="Picture 2"/>
            <wp:cNvGraphicFramePr>
              <a:graphicFrameLocks noChangeAspect="1"/>
            </wp:cNvGraphicFramePr>
            <a:graphic>
              <a:graphicData uri="http://schemas.openxmlformats.org/drawingml/2006/picture">
                <pic:pic>
                  <pic:nvPicPr>
                    <pic:cNvPr id="0" name="logistics_demand_capital_gap.png"/>
                    <pic:cNvPicPr/>
                  </pic:nvPicPr>
                  <pic:blipFill>
                    <a:blip r:embed="rId16"/>
                    <a:stretch>
                      <a:fillRect/>
                    </a:stretch>
                  </pic:blipFill>
                  <pic:spPr>
                    <a:xfrm>
                      <a:off x="0" y="0"/>
                      <a:ext cx="5903999" cy="3334153"/>
                    </a:xfrm>
                    <a:prstGeom prst="rect"/>
                  </pic:spPr>
                </pic:pic>
              </a:graphicData>
            </a:graphic>
          </wp:inline>
        </w:drawing>
      </w:r>
    </w:p>
    <w:p>
      <w:pPr>
        <w:spacing w:before="0" w:after="160" w:line="259" w:lineRule="auto"/>
        <w:jc w:val="center"/>
      </w:pPr>
      <w:r>
        <w:rPr>
          <w:rFonts w:ascii="Calibri" w:hAnsi="Calibri" w:cs="Calibri"/>
          <w:b w:val="0"/>
          <w:i/>
          <w:color w:val="6B7785"/>
          <w:sz w:val="18"/>
        </w:rPr>
        <w:t>+10,5% к аренде против −60% к покупкам: спрос и деньги разошлись.</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EAF3EE"/>
            <w:tcMar>
              <w:top w:w="140" w:type="dxa"/>
              <w:bottom w:w="140" w:type="dxa"/>
              <w:start w:w="220" w:type="dxa"/>
              <w:end w:w="220" w:type="dxa"/>
              <w:left w:w="220" w:type="dxa"/>
              <w:right w:w="220" w:type="dxa"/>
            </w:tcMar>
            <w:tcBorders>
              <w:left w:val="single" w:sz="36" w:space="0" w:color="16846F"/>
            </w:tcBorders>
          </w:tcPr>
          <w:p>
            <w:pPr>
              <w:spacing w:after="40"/>
            </w:pPr>
            <w:r>
              <w:rPr>
                <w:rFonts w:ascii="Calibri" w:hAnsi="Calibri" w:cs="Calibri"/>
                <w:b/>
                <w:i w:val="0"/>
                <w:color w:val="105A4C"/>
                <w:sz w:val="18"/>
              </w:rPr>
              <w:t>ВЫВОД</w:t>
            </w:r>
          </w:p>
          <w:p>
            <w:pPr>
              <w:spacing w:after="0" w:line="269" w:lineRule="auto"/>
            </w:pPr>
            <w:r>
              <w:rPr>
                <w:rFonts w:ascii="Calibri" w:hAnsi="Calibri" w:cs="Calibri"/>
                <w:b w:val="0"/>
                <w:i w:val="0"/>
                <w:color w:val="222B36"/>
                <w:sz w:val="21"/>
              </w:rPr>
              <w:t>Пропуском на логистический рынок стала электрическая мощность, а не деньги. Спрос на аренду жив, цены на лучшие склады почти два года стоят на месте, а сделки стоят не потому, что склады не нужны, — а потому, что кредиты дороги и сеть перегружена.</w:t>
            </w:r>
          </w:p>
        </w:tc>
      </w:tr>
    </w:tbl>
    <w:p>
      <w:pPr>
        <w:spacing w:before="0" w:after="12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FFF6E5"/>
            <w:tcMar>
              <w:top w:w="100" w:type="dxa"/>
              <w:bottom w:w="100" w:type="dxa"/>
              <w:start w:w="220" w:type="dxa"/>
              <w:end w:w="220" w:type="dxa"/>
              <w:left w:w="220" w:type="dxa"/>
              <w:right w:w="220" w:type="dxa"/>
            </w:tcMar>
            <w:tcBorders>
              <w:left w:val="single" w:sz="30" w:space="0" w:color="C0791C"/>
            </w:tcBorders>
          </w:tcPr>
          <w:p>
            <w:pPr>
              <w:spacing w:after="0" w:line="264" w:lineRule="auto"/>
            </w:pPr>
            <w:r>
              <w:rPr>
                <w:rFonts w:ascii="Calibri" w:hAnsi="Calibri" w:cs="Calibri"/>
                <w:b/>
                <w:i w:val="0"/>
                <w:color w:val="8A5510"/>
                <w:sz w:val="18"/>
              </w:rPr>
              <w:t xml:space="preserve">👁  ЗА ЧЕМ СЛЕДИТЬ.  </w:t>
            </w:r>
            <w:r>
              <w:rPr>
                <w:rFonts w:ascii="Calibri" w:hAnsi="Calibri" w:cs="Calibri"/>
                <w:b w:val="0"/>
                <w:i w:val="0"/>
                <w:color w:val="222B36"/>
                <w:sz w:val="20"/>
              </w:rPr>
              <w:t>30 июля — полугодовой отчёт CTP: он задаст ценовой ориентир для всего сектора складов. И 22 июля — дедлайн Prologis по Segro: подтвердит предложение или откажется.</w:t>
            </w:r>
          </w:p>
        </w:tc>
      </w:tr>
    </w:tbl>
    <w:p>
      <w:pPr>
        <w:spacing w:before="0" w:after="16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C0791C"/>
            <w:tcMar>
              <w:top w:w="120" w:type="dxa"/>
              <w:bottom w:w="120" w:type="dxa"/>
              <w:start w:w="200" w:type="dxa"/>
              <w:end w:w="200" w:type="dxa"/>
              <w:left w:w="200" w:type="dxa"/>
              <w:right w:w="200" w:type="dxa"/>
            </w:tcMar>
          </w:tcPr>
          <w:p>
            <w:pPr>
              <w:keepNext/>
              <w:spacing w:after="0"/>
            </w:pPr>
            <w:r/>
            <w:r>
              <w:rPr>
                <w:rFonts w:ascii="Calibri" w:hAnsi="Calibri" w:cs="Calibri"/>
                <w:b/>
                <w:i w:val="0"/>
                <w:color w:val="FFFFFF"/>
                <w:sz w:val="28"/>
              </w:rPr>
              <w:t>🏪  Коммерция (стрит-ритейл, торговые центры)</w:t>
            </w:r>
          </w:p>
        </w:tc>
      </w:tr>
    </w:tbl>
    <w:p>
      <w:pPr>
        <w:keepNext/>
        <w:spacing w:before="200" w:after="60" w:line="269" w:lineRule="auto"/>
        <w:jc w:val="left"/>
        <w:pBdr>
          <w:bottom w:val="single" w:sz="6" w:space="2" w:color="D7DEE6"/>
        </w:pBdr>
      </w:pPr>
      <w:r>
        <w:rPr>
          <w:rFonts w:ascii="Calibri" w:hAnsi="Calibri" w:cs="Calibri"/>
          <w:b/>
          <w:i w:val="0"/>
          <w:color w:val="8A5510"/>
          <w:sz w:val="23"/>
        </w:rPr>
        <w:t>Новости</w:t>
      </w:r>
    </w:p>
    <w:p>
      <w:pPr>
        <w:spacing w:before="60" w:after="20" w:line="269" w:lineRule="auto"/>
        <w:ind w:left="283" w:hanging="198"/>
        <w:jc w:val="left"/>
      </w:pPr>
      <w:r>
        <w:rPr>
          <w:rFonts w:ascii="Calibri" w:hAnsi="Calibri" w:cs="Calibri"/>
          <w:b/>
          <w:i w:val="0"/>
          <w:color w:val="B03A3A"/>
          <w:sz w:val="21"/>
        </w:rPr>
        <w:t xml:space="preserve">▼  </w:t>
      </w:r>
      <w:r>
        <w:rPr>
          <w:rFonts w:ascii="Calibri" w:hAnsi="Calibri" w:cs="Calibri"/>
          <w:b w:val="0"/>
          <w:i w:val="0"/>
          <w:color w:val="222B36"/>
          <w:sz w:val="21"/>
        </w:rPr>
        <w:t>Государство притормозило ужесточение налогового правила, из-за которого покупать недвижимость в кредит стало менее выгодно, — а крупнейшая ассоциация риелторов NVM Business 29 июня потребовала это правило вообще смягчить. Теперь фон. Когда компания покупает недвижимость на кредит, она платит банку проценты. Раньше эти проценты целиком уменьшали её налог на прибыль — то есть кредит был выгоден. С 2019 года действует правило (пришло из ЕС), которое разрешает списывать из налога только часть процентов; называется это earningsstripping. Налог у таких компаний вырос. Для тех, кто держит недвижимость, правило собирались сделать ещё строже, но пока поставили на паузу — ждут общего решения ЕС.</w:t>
      </w:r>
    </w:p>
    <w:p>
      <w:pPr>
        <w:spacing w:before="20" w:after="20" w:line="264" w:lineRule="auto"/>
        <w:ind w:left="283"/>
        <w:jc w:val="left"/>
        <w:shd w:val="clear" w:color="auto" w:fill="FBEAEA"/>
      </w:pPr>
      <w:r>
        <w:rPr>
          <w:rFonts w:ascii="Calibri" w:hAnsi="Calibri" w:cs="Calibri"/>
          <w:b/>
          <w:i w:val="0"/>
          <w:color w:val="B03A3A"/>
          <w:sz w:val="18"/>
        </w:rPr>
        <w:t xml:space="preserve">  Почему важно:  </w:t>
      </w:r>
      <w:r>
        <w:rPr>
          <w:rFonts w:ascii="Calibri" w:hAnsi="Calibri" w:cs="Calibri"/>
          <w:b w:val="0"/>
          <w:i w:val="0"/>
          <w:color w:val="222B36"/>
          <w:sz w:val="18"/>
        </w:rPr>
        <w:t xml:space="preserve">Почти вся коммерческая недвижимость покупается частично на кредит. Если проценты по нему нельзя полностью вычесть из налога, вкладываться в торговую недвижимость и стройку становится менее выгодно — и инвестиции тормозятся. Простыми словами: пауза в ужесточении — передышка для владельцев, но не отмена. Правила ещё могут поменяться, поэтому строить планы в расчёте на дешёвый кредит рискованно.  </w:t>
      </w:r>
    </w:p>
    <w:p>
      <w:pPr>
        <w:spacing w:before="0" w:after="100" w:line="240" w:lineRule="auto"/>
        <w:ind w:left="283"/>
        <w:jc w:val="left"/>
      </w:pPr>
      <w:r>
        <w:rPr>
          <w:rFonts w:ascii="Calibri" w:hAnsi="Calibri" w:cs="Calibri"/>
          <w:b w:val="0"/>
          <w:i/>
          <w:color w:val="6B7785"/>
          <w:sz w:val="17"/>
        </w:rPr>
        <w:t xml:space="preserve">   📅 2026-06-29   •   Источник: NVM Business — Nieuws</w:t>
      </w:r>
      <w:r>
        <w:rPr>
          <w:rFonts w:ascii="Calibri" w:hAnsi="Calibri" w:cs="Calibri"/>
          <w:b w:val="0"/>
          <w:i w:val="0"/>
          <w:color w:val="6B7785"/>
          <w:sz w:val="17"/>
        </w:rPr>
        <w:t xml:space="preserve">   </w:t>
      </w:r>
      <w:hyperlink r:id="rId17">
        <w:r>
          <w:rPr>
            <w:color w:val="1155CC"/>
            <w:sz w:val="17.0"/>
            <w:rFonts w:ascii="Calibri" w:hAnsi="Calibri"/>
            <w:u w:val="single"/>
          </w:rPr>
          <w:t xml:space="preserve">ссылка ↗</w:t>
        </w:r>
      </w:hyperlink>
    </w:p>
    <w:p>
      <w:pPr>
        <w:keepNext/>
        <w:spacing w:before="200" w:after="60" w:line="269" w:lineRule="auto"/>
        <w:jc w:val="left"/>
        <w:pBdr>
          <w:bottom w:val="single" w:sz="6" w:space="2" w:color="D7DEE6"/>
        </w:pBdr>
      </w:pPr>
      <w:r>
        <w:rPr>
          <w:rFonts w:ascii="Calibri" w:hAnsi="Calibri" w:cs="Calibri"/>
          <w:b/>
          <w:i w:val="0"/>
          <w:color w:val="8A5510"/>
          <w:sz w:val="23"/>
        </w:rPr>
        <w:t>Статистика</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5669"/>
        <w:gridCol w:w="3855"/>
      </w:tblGrid>
      <w:tr>
        <w:tc>
          <w:tcPr>
            <w:tcW w:type="dxa" w:w="4762"/>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Показатель</w:t>
            </w:r>
          </w:p>
        </w:tc>
        <w:tc>
          <w:tcPr>
            <w:tcW w:type="dxa" w:w="4762"/>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Значение / динамика</w:t>
            </w:r>
          </w:p>
        </w:tc>
      </w:tr>
      <w:tr>
        <w:tc>
          <w:tcPr>
            <w:tcW w:type="dxa" w:w="5669"/>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Все магазины страны пересчитывает компания Locatus — и вот её итог 2025 года. Доля пустующих торговых помещений выросла с 6,7% в начале года до 7,0% к концу. Скачок небольшой, но важен не он, а тренд: число магазинов сокращается уже десятый год подряд — примерно с 207 000 до 205 000 за год. Причём закрываются именно магазины (одежда, товары, электроника — часть покупок ушла в интернет), а кафе, рестораны и парикмахерские, наоборот, держатся: туда за услугой или впечатлением нужно прийти лично.</w:t>
            </w:r>
          </w:p>
          <w:p>
            <w:pPr>
              <w:spacing w:before="20" w:after="0"/>
            </w:pPr>
            <w:r>
              <w:rPr>
                <w:rFonts w:ascii="Calibri" w:hAnsi="Calibri" w:cs="Calibri"/>
                <w:b w:val="0"/>
                <w:i/>
                <w:color w:val="6B7785"/>
                <w:sz w:val="16"/>
              </w:rPr>
              <w:t>→ Раньше пустые витрины часто переделывали в жильё, и это скрывало проблему; теперь этот запас исчерпан, и пустых магазинов становится заметно больше. Слабые точки в центрах городов закрываются и отпускают арендаторов — часть из них переезжает в удобные торговые центры на окраинах, куда можно приехать на машине и припарковаться. Поэтому окраинные форматы чувствуют себя лучше, чем классические торговые улицы в центре.</w:t>
            </w:r>
          </w:p>
        </w:tc>
        <w:tc>
          <w:tcPr>
            <w:tcW w:type="dxa" w:w="3855"/>
            <w:shd w:val="clear" w:color="auto" w:fill="F4F6F8"/>
            <w:tcMar>
              <w:top w:w="80" w:type="dxa"/>
              <w:bottom w:w="80" w:type="dxa"/>
              <w:start w:w="140" w:type="dxa"/>
              <w:end w:w="140" w:type="dxa"/>
              <w:left w:w="140" w:type="dxa"/>
              <w:right w:w="140" w:type="dxa"/>
            </w:tcMar>
          </w:tcPr>
          <w:p>
            <w:pPr>
              <w:spacing w:after="0"/>
            </w:pPr>
            <w:r>
              <w:rPr>
                <w:rFonts w:ascii="Calibri" w:hAnsi="Calibri" w:cs="Calibri"/>
                <w:b/>
                <w:i w:val="0"/>
                <w:color w:val="B03A3A"/>
                <w:sz w:val="19"/>
              </w:rPr>
              <w:t xml:space="preserve">▼ </w:t>
            </w:r>
            <w:r>
              <w:rPr>
                <w:rFonts w:ascii="Calibri" w:hAnsi="Calibri" w:cs="Calibri"/>
                <w:b/>
                <w:i w:val="0"/>
                <w:color w:val="222B36"/>
                <w:sz w:val="19"/>
              </w:rPr>
              <w:t>пустых магазинов 7,0% (было 6,7%); магазинов всё меньше десятый год подряд</w:t>
            </w:r>
          </w:p>
          <w:p>
            <w:pPr>
              <w:spacing w:before="20" w:after="0"/>
            </w:pPr>
            <w:r>
              <w:rPr>
                <w:rFonts w:ascii="Calibri" w:hAnsi="Calibri" w:cs="Calibri"/>
                <w:b w:val="0"/>
                <w:i/>
                <w:color w:val="6B7785"/>
                <w:sz w:val="15"/>
              </w:rPr>
              <w:t>Locatus</w:t>
            </w:r>
            <w:hyperlink r:id="rId18">
              <w:r>
                <w:rPr>
                  <w:color w:val="1155CC"/>
                  <w:sz w:val="15.0"/>
                  <w:rFonts w:ascii="Calibri" w:hAnsi="Calibri"/>
                  <w:u w:val="single"/>
                </w:rPr>
                <w:t xml:space="preserve">  ↗</w:t>
              </w:r>
            </w:hyperlink>
          </w:p>
        </w:tc>
      </w:tr>
    </w:tbl>
    <w:p>
      <w:pPr>
        <w:spacing w:before="0" w:after="4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EAF3EE"/>
            <w:tcMar>
              <w:top w:w="140" w:type="dxa"/>
              <w:bottom w:w="140" w:type="dxa"/>
              <w:start w:w="220" w:type="dxa"/>
              <w:end w:w="220" w:type="dxa"/>
              <w:left w:w="220" w:type="dxa"/>
              <w:right w:w="220" w:type="dxa"/>
            </w:tcMar>
            <w:tcBorders>
              <w:left w:val="single" w:sz="36" w:space="0" w:color="16846F"/>
            </w:tcBorders>
          </w:tcPr>
          <w:p>
            <w:pPr>
              <w:spacing w:after="40"/>
            </w:pPr>
            <w:r>
              <w:rPr>
                <w:rFonts w:ascii="Calibri" w:hAnsi="Calibri" w:cs="Calibri"/>
                <w:b/>
                <w:i w:val="0"/>
                <w:color w:val="105A4C"/>
                <w:sz w:val="18"/>
              </w:rPr>
              <w:t>ВЫВОД</w:t>
            </w:r>
          </w:p>
          <w:p>
            <w:pPr>
              <w:spacing w:after="0" w:line="269" w:lineRule="auto"/>
            </w:pPr>
            <w:r>
              <w:rPr>
                <w:rFonts w:ascii="Calibri" w:hAnsi="Calibri" w:cs="Calibri"/>
                <w:b w:val="0"/>
                <w:i w:val="0"/>
                <w:color w:val="222B36"/>
                <w:sz w:val="21"/>
              </w:rPr>
              <w:t>Торговая недвижимость не в кризисе, но идёт тихая сортировка: деньги уходят от «квадратных метров» к стабильному доходу и хорошему месту. Главный риск — налоговое давление на владельцев с большими долгами.</w:t>
            </w:r>
          </w:p>
        </w:tc>
      </w:tr>
    </w:tbl>
    <w:p>
      <w:pPr>
        <w:spacing w:before="0" w:after="12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16846F"/>
            <w:tcMar>
              <w:top w:w="120" w:type="dxa"/>
              <w:bottom w:w="120" w:type="dxa"/>
              <w:start w:w="200" w:type="dxa"/>
              <w:end w:w="200" w:type="dxa"/>
              <w:left w:w="200" w:type="dxa"/>
              <w:right w:w="200" w:type="dxa"/>
            </w:tcMar>
          </w:tcPr>
          <w:p>
            <w:pPr>
              <w:keepNext/>
              <w:spacing w:after="0"/>
            </w:pPr>
            <w:r/>
            <w:r>
              <w:rPr>
                <w:rFonts w:ascii="Calibri" w:hAnsi="Calibri" w:cs="Calibri"/>
                <w:b/>
                <w:i w:val="0"/>
                <w:color w:val="FFFFFF"/>
                <w:sz w:val="28"/>
              </w:rPr>
              <w:t>🏠  Жилая недвижимость</w:t>
            </w:r>
          </w:p>
        </w:tc>
      </w:tr>
    </w:tbl>
    <w:p>
      <w:pPr>
        <w:keepNext/>
        <w:spacing w:before="200" w:after="60" w:line="269" w:lineRule="auto"/>
        <w:jc w:val="left"/>
        <w:pBdr>
          <w:bottom w:val="single" w:sz="6" w:space="2" w:color="D7DEE6"/>
        </w:pBdr>
      </w:pPr>
      <w:r>
        <w:rPr>
          <w:rFonts w:ascii="Calibri" w:hAnsi="Calibri" w:cs="Calibri"/>
          <w:b/>
          <w:i w:val="0"/>
          <w:color w:val="105A4C"/>
          <w:sz w:val="23"/>
        </w:rPr>
        <w:t>Изменения в законах и регулировании</w:t>
      </w:r>
    </w:p>
    <w:p>
      <w:pPr>
        <w:spacing w:before="60" w:after="20" w:line="269" w:lineRule="auto"/>
        <w:ind w:left="283" w:hanging="198"/>
        <w:jc w:val="left"/>
      </w:pPr>
      <w:r>
        <w:rPr>
          <w:rFonts w:ascii="Calibri" w:hAnsi="Calibri" w:cs="Calibri"/>
          <w:b/>
          <w:i w:val="0"/>
          <w:color w:val="B03A3A"/>
          <w:sz w:val="21"/>
        </w:rPr>
        <w:t xml:space="preserve">▼  </w:t>
      </w:r>
      <w:r>
        <w:rPr>
          <w:rFonts w:ascii="Calibri" w:hAnsi="Calibri" w:cs="Calibri"/>
          <w:b w:val="0"/>
          <w:i w:val="0"/>
          <w:color w:val="222B36"/>
          <w:sz w:val="21"/>
        </w:rPr>
        <w:t>Сейчас частник в Нидерландах платит налог с дохода, которого могло и не быть. Налог на недвижимость (не для собственного проживания) считается по «придуманной» доходности: государство само прикидывает, сколько владелец в среднем мог бы заработать, и берёт налог с этой воображаемой суммы — сколько он заработал на самом деле, никого не интересует. Этот налог называется box 3. Готовится переход на честную схему: платить будут с реального дохода — с фактической арендной платы каждый год плюс с подорожания квартиры при её продаже. По плану — с 2028 года. 30 июня верхняя палата парламента отложила окончательное решение (ждёт доработку закона), а голосование по спорным пунктам назначили на 7 июля.</w:t>
      </w:r>
    </w:p>
    <w:p>
      <w:pPr>
        <w:spacing w:before="20" w:after="20" w:line="264" w:lineRule="auto"/>
        <w:ind w:left="283"/>
        <w:jc w:val="left"/>
        <w:shd w:val="clear" w:color="auto" w:fill="FBEAEA"/>
      </w:pPr>
      <w:r>
        <w:rPr>
          <w:rFonts w:ascii="Calibri" w:hAnsi="Calibri" w:cs="Calibri"/>
          <w:b/>
          <w:i w:val="0"/>
          <w:color w:val="B03A3A"/>
          <w:sz w:val="18"/>
        </w:rPr>
        <w:t xml:space="preserve">  Почему важно:  </w:t>
      </w:r>
      <w:r>
        <w:rPr>
          <w:rFonts w:ascii="Calibri" w:hAnsi="Calibri" w:cs="Calibri"/>
          <w:b w:val="0"/>
          <w:i w:val="0"/>
          <w:color w:val="222B36"/>
          <w:sz w:val="18"/>
        </w:rPr>
        <w:t xml:space="preserve">Налог с реального дохода для многих арендодателей окажется выше сегодняшнего — особенно у тех, кто зарабатывает на аренде немного. Чистая прибыль от сдачи жилья (особенно через компанию BV) снизится, и часть мелких частных инвесторов решит, что сдавать стало невыгодно, и начнёт продавать квартиры — вероятно, к 2027–28 годам. Для рынка это будущий приток жилья в продажу.  </w:t>
      </w:r>
    </w:p>
    <w:p>
      <w:pPr>
        <w:spacing w:before="0" w:after="100" w:line="240" w:lineRule="auto"/>
        <w:ind w:left="283"/>
        <w:jc w:val="left"/>
      </w:pPr>
      <w:r>
        <w:rPr>
          <w:rFonts w:ascii="Calibri" w:hAnsi="Calibri" w:cs="Calibri"/>
          <w:b w:val="0"/>
          <w:i/>
          <w:color w:val="6B7785"/>
          <w:sz w:val="17"/>
        </w:rPr>
        <w:t xml:space="preserve">   📅 2026-06-30   •   Источник: Eerste Kamer der Staten-Generaal</w:t>
      </w:r>
      <w:r>
        <w:rPr>
          <w:rFonts w:ascii="Calibri" w:hAnsi="Calibri" w:cs="Calibri"/>
          <w:b w:val="0"/>
          <w:i w:val="0"/>
          <w:color w:val="6B7785"/>
          <w:sz w:val="17"/>
        </w:rPr>
        <w:t xml:space="preserve">   </w:t>
      </w:r>
      <w:hyperlink r:id="rId19">
        <w:r>
          <w:rPr>
            <w:color w:val="1155CC"/>
            <w:sz w:val="17.0"/>
            <w:rFonts w:ascii="Calibri" w:hAnsi="Calibri"/>
            <w:u w:val="single"/>
          </w:rPr>
          <w:t xml:space="preserve">ссылка ↗</w:t>
        </w:r>
      </w:hyperlink>
    </w:p>
    <w:p>
      <w:pPr>
        <w:keepNext/>
        <w:spacing w:before="200" w:after="60" w:line="269" w:lineRule="auto"/>
        <w:jc w:val="left"/>
        <w:pBdr>
          <w:bottom w:val="single" w:sz="6" w:space="2" w:color="D7DEE6"/>
        </w:pBdr>
      </w:pPr>
      <w:r>
        <w:rPr>
          <w:rFonts w:ascii="Calibri" w:hAnsi="Calibri" w:cs="Calibri"/>
          <w:b/>
          <w:i w:val="0"/>
          <w:color w:val="105A4C"/>
          <w:sz w:val="23"/>
        </w:rPr>
        <w:t>Новости</w:t>
      </w:r>
    </w:p>
    <w:p>
      <w:pPr>
        <w:spacing w:before="60" w:after="20" w:line="269" w:lineRule="auto"/>
        <w:ind w:left="283" w:hanging="198"/>
        <w:jc w:val="left"/>
      </w:pPr>
      <w:r>
        <w:rPr>
          <w:rFonts w:ascii="Calibri" w:hAnsi="Calibri" w:cs="Calibri"/>
          <w:b/>
          <w:i w:val="0"/>
          <w:color w:val="1E7A4D"/>
          <w:sz w:val="21"/>
        </w:rPr>
        <w:t xml:space="preserve">▲  </w:t>
      </w:r>
      <w:r>
        <w:rPr>
          <w:rFonts w:ascii="Calibri" w:hAnsi="Calibri" w:cs="Calibri"/>
          <w:b w:val="0"/>
          <w:i w:val="0"/>
          <w:color w:val="222B36"/>
          <w:sz w:val="21"/>
        </w:rPr>
        <w:t>Чтобы понять новость, нужен контекст. В Нидерландах много лет действует так называемый «азотный замок»: стройку нельзя начать, пока не докажешь, что она не превысит нормы по выбросам азота рядом с охраняемой природой. Из-за этого зависли тысячи проектов жилья. 26 июня правительство представило пакет мер на ~20 млрд €, чтобы этот замок приоткрыть. Главное для стройки: проекты с очень маленькими выбросами азота освободят от лишних природоохранных разрешений. По оценкам, из-за азота под угрозой сейчас около 244 000 домов.</w:t>
      </w:r>
    </w:p>
    <w:p>
      <w:pPr>
        <w:spacing w:before="20" w:after="20" w:line="264" w:lineRule="auto"/>
        <w:ind w:left="283"/>
        <w:jc w:val="left"/>
        <w:shd w:val="clear" w:color="auto" w:fill="E7F4EE"/>
      </w:pPr>
      <w:r>
        <w:rPr>
          <w:rFonts w:ascii="Calibri" w:hAnsi="Calibri" w:cs="Calibri"/>
          <w:b/>
          <w:i w:val="0"/>
          <w:color w:val="1E7A4D"/>
          <w:sz w:val="18"/>
        </w:rPr>
        <w:t xml:space="preserve">  Почему важно:  </w:t>
      </w:r>
      <w:r>
        <w:rPr>
          <w:rFonts w:ascii="Calibri" w:hAnsi="Calibri" w:cs="Calibri"/>
          <w:b w:val="0"/>
          <w:i w:val="0"/>
          <w:color w:val="222B36"/>
          <w:sz w:val="18"/>
        </w:rPr>
        <w:t xml:space="preserve">Если пакет заработает, значительная часть застрявшей жилищной стройки снова станет возможной — а нехватка жилья в стране огромная. Но новость хорошая, а не сегодняшняя: закон уйдёт в парламент только в октябре, реальный эффект ждут к концу 2027 года, и по дороге возможны судебные споры. Закладывать это в планы стоит как сценарий, а не как свершившийся факт.  </w:t>
      </w:r>
    </w:p>
    <w:p>
      <w:pPr>
        <w:spacing w:before="0" w:after="100" w:line="240" w:lineRule="auto"/>
        <w:ind w:left="283"/>
        <w:jc w:val="left"/>
      </w:pPr>
      <w:r>
        <w:rPr>
          <w:rFonts w:ascii="Calibri" w:hAnsi="Calibri" w:cs="Calibri"/>
          <w:b w:val="0"/>
          <w:i/>
          <w:color w:val="6B7785"/>
          <w:sz w:val="17"/>
        </w:rPr>
        <w:t xml:space="preserve">   📅 2026-06-26   •   Источник: Rijksoverheid</w:t>
      </w:r>
      <w:r>
        <w:rPr>
          <w:rFonts w:ascii="Calibri" w:hAnsi="Calibri" w:cs="Calibri"/>
          <w:b w:val="0"/>
          <w:i w:val="0"/>
          <w:color w:val="6B7785"/>
          <w:sz w:val="17"/>
        </w:rPr>
        <w:t xml:space="preserve">   </w:t>
      </w:r>
      <w:hyperlink r:id="rId20">
        <w:r>
          <w:rPr>
            <w:color w:val="1155CC"/>
            <w:sz w:val="17.0"/>
            <w:rFonts w:ascii="Calibri" w:hAnsi="Calibri"/>
            <w:u w:val="single"/>
          </w:rPr>
          <w:t xml:space="preserve">ссылка ↗</w:t>
        </w:r>
      </w:hyperlink>
    </w:p>
    <w:p>
      <w:pPr>
        <w:spacing w:before="60" w:after="20" w:line="269" w:lineRule="auto"/>
        <w:ind w:left="283" w:hanging="198"/>
        <w:jc w:val="left"/>
      </w:pPr>
      <w:r>
        <w:rPr>
          <w:rFonts w:ascii="Calibri" w:hAnsi="Calibri" w:cs="Calibri"/>
          <w:b/>
          <w:i w:val="0"/>
          <w:color w:val="1E7A4D"/>
          <w:sz w:val="21"/>
        </w:rPr>
        <w:t xml:space="preserve">▲  </w:t>
      </w:r>
      <w:r>
        <w:rPr>
          <w:rFonts w:ascii="Calibri" w:hAnsi="Calibri" w:cs="Calibri"/>
          <w:b w:val="0"/>
          <w:i w:val="0"/>
          <w:color w:val="222B36"/>
          <w:sz w:val="21"/>
        </w:rPr>
        <w:t>Vesteda — крупнейший в Нидерландах фонд арендного жилья: это когда много инвесторов (например, пенсионные фонды) вместе владеют десятками тысяч квартир и получают доход от аренды; у Vesteda около 28 000 квартир. Инвесторы такого фонда могут попросить вернуть им деньги — «выйти» из фонда. В марте заявок на выход набралось аж на 4,1 млрд €, и рынок испугался: если инвесторы массово побегут, фонду придётся распродавать квартиры, и цены на арендное жильё могут обвалиться. Но в итоге, 26 июня, оказалось, что реально забрали лишь 765 млн € — в пять раз меньше, чем боялись.</w:t>
      </w:r>
    </w:p>
    <w:p>
      <w:pPr>
        <w:spacing w:before="20" w:after="20" w:line="264" w:lineRule="auto"/>
        <w:ind w:left="283"/>
        <w:jc w:val="left"/>
        <w:shd w:val="clear" w:color="auto" w:fill="E7F4EE"/>
      </w:pPr>
      <w:r>
        <w:rPr>
          <w:rFonts w:ascii="Calibri" w:hAnsi="Calibri" w:cs="Calibri"/>
          <w:b/>
          <w:i w:val="0"/>
          <w:color w:val="1E7A4D"/>
          <w:sz w:val="18"/>
        </w:rPr>
        <w:t xml:space="preserve">  Почему важно:  </w:t>
      </w:r>
      <w:r>
        <w:rPr>
          <w:rFonts w:ascii="Calibri" w:hAnsi="Calibri" w:cs="Calibri"/>
          <w:b w:val="0"/>
          <w:i w:val="0"/>
          <w:color w:val="222B36"/>
          <w:sz w:val="18"/>
        </w:rPr>
        <w:t xml:space="preserve">Массовое бегство крупных инвесторов из арендного жилья — один из главных страхов этого рынка, и он не подтвердился. Крупные деньги остаются в аренде, а вот частных арендодателей может выдавить готовящийся налог box 3: тогда рынок поменяет владельцев, а не сожмётся. Обвала цен на арендные портфели ждать не стоит — по крайней мере, пока.  </w:t>
      </w:r>
    </w:p>
    <w:p>
      <w:pPr>
        <w:spacing w:before="0" w:after="100" w:line="240" w:lineRule="auto"/>
        <w:ind w:left="283"/>
        <w:jc w:val="left"/>
      </w:pPr>
      <w:r>
        <w:rPr>
          <w:rFonts w:ascii="Calibri" w:hAnsi="Calibri" w:cs="Calibri"/>
          <w:b w:val="0"/>
          <w:i/>
          <w:color w:val="6B7785"/>
          <w:sz w:val="17"/>
        </w:rPr>
        <w:t xml:space="preserve">   📅 2026-06-26   •   Источник: Vesteda Newsroom / IR</w:t>
      </w:r>
      <w:r>
        <w:rPr>
          <w:rFonts w:ascii="Calibri" w:hAnsi="Calibri" w:cs="Calibri"/>
          <w:b w:val="0"/>
          <w:i w:val="0"/>
          <w:color w:val="6B7785"/>
          <w:sz w:val="17"/>
        </w:rPr>
        <w:t xml:space="preserve">   </w:t>
      </w:r>
      <w:hyperlink r:id="rId21">
        <w:r>
          <w:rPr>
            <w:color w:val="1155CC"/>
            <w:sz w:val="17.0"/>
            <w:rFonts w:ascii="Calibri" w:hAnsi="Calibri"/>
            <w:u w:val="single"/>
          </w:rPr>
          <w:t xml:space="preserve">ссылка ↗</w:t>
        </w:r>
      </w:hyperlink>
    </w:p>
    <w:p>
      <w:pPr>
        <w:spacing w:before="60" w:after="20" w:line="269" w:lineRule="auto"/>
        <w:ind w:left="283" w:hanging="198"/>
        <w:jc w:val="left"/>
      </w:pPr>
      <w:r>
        <w:rPr>
          <w:rFonts w:ascii="Calibri" w:hAnsi="Calibri" w:cs="Calibri"/>
          <w:b/>
          <w:i w:val="0"/>
          <w:color w:val="1E7A4D"/>
          <w:sz w:val="21"/>
        </w:rPr>
        <w:t xml:space="preserve">▲  </w:t>
      </w:r>
      <w:r>
        <w:rPr>
          <w:rFonts w:ascii="Calibri" w:hAnsi="Calibri" w:cs="Calibri"/>
          <w:b w:val="0"/>
          <w:i w:val="0"/>
          <w:color w:val="222B36"/>
          <w:sz w:val="21"/>
        </w:rPr>
        <w:t>Ещё один сигнал о том, куда идут крупные деньги. Bouwinvest — крупная нидерландская управляющая компания, которая вкладывает деньги пенсионных фондов в недвижимость, — увеличила свой фонд жилья для пожилых людей (это специальные дома с уходом и поддержкой). В фонд вошли два новых крупных пенсионных фонда, включая PME, — для него это вообще первое вложение в такую недвижимость. Число инвесторов фонда выросло с 4 до 6, а вложенные деньги — со 130 до 263,5 млн €.</w:t>
      </w:r>
    </w:p>
    <w:p>
      <w:pPr>
        <w:spacing w:before="20" w:after="20" w:line="264" w:lineRule="auto"/>
        <w:ind w:left="283"/>
        <w:jc w:val="left"/>
        <w:shd w:val="clear" w:color="auto" w:fill="E7F4EE"/>
      </w:pPr>
      <w:r>
        <w:rPr>
          <w:rFonts w:ascii="Calibri" w:hAnsi="Calibri" w:cs="Calibri"/>
          <w:b/>
          <w:i w:val="0"/>
          <w:color w:val="1E7A4D"/>
          <w:sz w:val="18"/>
        </w:rPr>
        <w:t xml:space="preserve">  Почему важно:  </w:t>
      </w:r>
      <w:r>
        <w:rPr>
          <w:rFonts w:ascii="Calibri" w:hAnsi="Calibri" w:cs="Calibri"/>
          <w:b w:val="0"/>
          <w:i w:val="0"/>
          <w:color w:val="222B36"/>
          <w:sz w:val="18"/>
        </w:rPr>
        <w:t xml:space="preserve">К обычной аренде инвесторы охладели — а здесь деньги за раз удвоились. Население Нидерландов стареет, подходящего жилья с уходом для пожилых не хватает, и крупные пенсионные фонды считают этот узкий сегмент надёжным и перспективным независимо от общего охлаждения рынка.  </w:t>
      </w:r>
    </w:p>
    <w:p>
      <w:pPr>
        <w:spacing w:before="0" w:after="100" w:line="240" w:lineRule="auto"/>
        <w:ind w:left="283"/>
        <w:jc w:val="left"/>
      </w:pPr>
      <w:r>
        <w:rPr>
          <w:rFonts w:ascii="Calibri" w:hAnsi="Calibri" w:cs="Calibri"/>
          <w:b w:val="0"/>
          <w:i/>
          <w:color w:val="6B7785"/>
          <w:sz w:val="17"/>
        </w:rPr>
        <w:t xml:space="preserve">   📅 2026-06-30   •   Источник: Vastgoedjournaal / Bouwinvest</w:t>
      </w:r>
      <w:r>
        <w:rPr>
          <w:rFonts w:ascii="Calibri" w:hAnsi="Calibri" w:cs="Calibri"/>
          <w:b w:val="0"/>
          <w:i w:val="0"/>
          <w:color w:val="6B7785"/>
          <w:sz w:val="17"/>
        </w:rPr>
        <w:t xml:space="preserve">   </w:t>
      </w:r>
      <w:hyperlink r:id="rId22">
        <w:r>
          <w:rPr>
            <w:color w:val="1155CC"/>
            <w:sz w:val="17.0"/>
            <w:rFonts w:ascii="Calibri" w:hAnsi="Calibri"/>
            <w:u w:val="single"/>
          </w:rPr>
          <w:t xml:space="preserve">ссылка ↗</w:t>
        </w:r>
      </w:hyperlink>
    </w:p>
    <w:p>
      <w:pPr>
        <w:keepNext/>
        <w:spacing w:before="200" w:after="60" w:line="269" w:lineRule="auto"/>
        <w:jc w:val="left"/>
        <w:pBdr>
          <w:bottom w:val="single" w:sz="6" w:space="2" w:color="D7DEE6"/>
        </w:pBdr>
      </w:pPr>
      <w:r>
        <w:rPr>
          <w:rFonts w:ascii="Calibri" w:hAnsi="Calibri" w:cs="Calibri"/>
          <w:b/>
          <w:i w:val="0"/>
          <w:color w:val="105A4C"/>
          <w:sz w:val="23"/>
        </w:rPr>
        <w:t>Статистика</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5669"/>
        <w:gridCol w:w="3855"/>
      </w:tblGrid>
      <w:tr>
        <w:tc>
          <w:tcPr>
            <w:tcW w:type="dxa" w:w="4762"/>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Показатель</w:t>
            </w:r>
          </w:p>
        </w:tc>
        <w:tc>
          <w:tcPr>
            <w:tcW w:type="dxa" w:w="4762"/>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Значение / динамика</w:t>
            </w:r>
          </w:p>
        </w:tc>
      </w:tr>
      <w:tr>
        <w:tc>
          <w:tcPr>
            <w:tcW w:type="dxa" w:w="5669"/>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Свежие данные статистического бюро CBS: в мае жильё стоило на 4,4% дороже, чем год назад, средняя цена сделки — 487 383 €. Рост продолжается, но замедляется, и сделок стало меньше — на 2,5% за год. Отдельно важен прогноз: крупные банки (Rabobank, ABN AMRO) и центральный банк ожидают, что бурный рост цен последних лет выдыхается — дальше цены будут прибавлять лишь примерно 2,8–4% в год, а не рывками, как раньше.</w:t>
            </w:r>
          </w:p>
          <w:p>
            <w:pPr>
              <w:spacing w:before="20" w:after="0"/>
            </w:pPr>
            <w:r>
              <w:rPr>
                <w:rFonts w:ascii="Calibri" w:hAnsi="Calibri" w:cs="Calibri"/>
                <w:b w:val="0"/>
                <w:i/>
                <w:color w:val="6B7785"/>
                <w:sz w:val="16"/>
              </w:rPr>
              <w:t>→ Цены не падают, потому что жилья в стране остро не хватает, а желающих купить по-прежнему больше, чем предложения. Но заработать на быстром подорожании становится сложнее, поэтому для инвестора важнее стабильный доход от аренды, а не рост цены. А продавать теперь приходится дольше — покупателей с деньгами стало меньше.</w:t>
            </w:r>
          </w:p>
        </w:tc>
        <w:tc>
          <w:tcPr>
            <w:tcW w:type="dxa" w:w="3855"/>
            <w:shd w:val="clear" w:color="auto" w:fill="F4F6F8"/>
            <w:tcMar>
              <w:top w:w="80" w:type="dxa"/>
              <w:bottom w:w="80" w:type="dxa"/>
              <w:start w:w="140" w:type="dxa"/>
              <w:end w:w="140" w:type="dxa"/>
              <w:left w:w="140" w:type="dxa"/>
              <w:right w:w="140" w:type="dxa"/>
            </w:tcMar>
          </w:tcPr>
          <w:p>
            <w:pPr>
              <w:spacing w:after="0"/>
            </w:pPr>
            <w:r>
              <w:rPr>
                <w:rFonts w:ascii="Calibri" w:hAnsi="Calibri" w:cs="Calibri"/>
                <w:b/>
                <w:i w:val="0"/>
                <w:color w:val="1E7A4D"/>
                <w:sz w:val="19"/>
              </w:rPr>
              <w:t xml:space="preserve">▲ </w:t>
            </w:r>
            <w:r>
              <w:rPr>
                <w:rFonts w:ascii="Calibri" w:hAnsi="Calibri" w:cs="Calibri"/>
                <w:b/>
                <w:i w:val="0"/>
                <w:color w:val="222B36"/>
                <w:sz w:val="19"/>
              </w:rPr>
              <w:t>цены +4,4% за год; средняя цена €487 383; прогноз — замедление до +2,8–4% в год</w:t>
            </w:r>
          </w:p>
          <w:p>
            <w:pPr>
              <w:spacing w:before="20" w:after="0"/>
            </w:pPr>
            <w:r>
              <w:rPr>
                <w:rFonts w:ascii="Calibri" w:hAnsi="Calibri" w:cs="Calibri"/>
                <w:b w:val="0"/>
                <w:i/>
                <w:color w:val="6B7785"/>
                <w:sz w:val="15"/>
              </w:rPr>
              <w:t>CBS StatLine / Kadaster</w:t>
            </w:r>
            <w:hyperlink r:id="rId23">
              <w:r>
                <w:rPr>
                  <w:color w:val="1155CC"/>
                  <w:sz w:val="15.0"/>
                  <w:rFonts w:ascii="Calibri" w:hAnsi="Calibri"/>
                  <w:u w:val="single"/>
                </w:rPr>
                <w:t xml:space="preserve">  ↗</w:t>
              </w:r>
            </w:hyperlink>
          </w:p>
        </w:tc>
      </w:tr>
    </w:tbl>
    <w:p>
      <w:pPr>
        <w:spacing w:before="0" w:after="40" w:line="269" w:lineRule="auto"/>
        <w:jc w:val="left"/>
      </w:pPr>
    </w:p>
    <w:p>
      <w:pPr>
        <w:keepNext/>
        <w:spacing w:before="120" w:after="20"/>
        <w:jc w:val="center"/>
      </w:pPr>
      <w:r>
        <w:drawing>
          <wp:inline xmlns:a="http://schemas.openxmlformats.org/drawingml/2006/main" xmlns:pic="http://schemas.openxmlformats.org/drawingml/2006/picture">
            <wp:extent cx="5903999" cy="2790898"/>
            <wp:docPr id="3" name="Picture 3"/>
            <wp:cNvGraphicFramePr>
              <a:graphicFrameLocks noChangeAspect="1"/>
            </wp:cNvGraphicFramePr>
            <a:graphic>
              <a:graphicData uri="http://schemas.openxmlformats.org/drawingml/2006/picture">
                <pic:pic>
                  <pic:nvPicPr>
                    <pic:cNvPr id="0" name="vesteda_redemption_ba.png"/>
                    <pic:cNvPicPr/>
                  </pic:nvPicPr>
                  <pic:blipFill>
                    <a:blip r:embed="rId24"/>
                    <a:stretch>
                      <a:fillRect/>
                    </a:stretch>
                  </pic:blipFill>
                  <pic:spPr>
                    <a:xfrm>
                      <a:off x="0" y="0"/>
                      <a:ext cx="5903999" cy="2790898"/>
                    </a:xfrm>
                    <a:prstGeom prst="rect"/>
                  </pic:spPr>
                </pic:pic>
              </a:graphicData>
            </a:graphic>
          </wp:inline>
        </w:drawing>
      </w:r>
    </w:p>
    <w:p>
      <w:pPr>
        <w:spacing w:before="0" w:after="160" w:line="259" w:lineRule="auto"/>
        <w:jc w:val="center"/>
      </w:pPr>
      <w:r>
        <w:rPr>
          <w:rFonts w:ascii="Calibri" w:hAnsi="Calibri" w:cs="Calibri"/>
          <w:b w:val="0"/>
          <w:i/>
          <w:color w:val="6B7785"/>
          <w:sz w:val="18"/>
        </w:rPr>
        <w:t>В марте боялись выхода на 4,1 млрд € — реально забрали 0,765 млрд.</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EAF3EE"/>
            <w:tcMar>
              <w:top w:w="140" w:type="dxa"/>
              <w:bottom w:w="140" w:type="dxa"/>
              <w:start w:w="220" w:type="dxa"/>
              <w:end w:w="220" w:type="dxa"/>
              <w:left w:w="220" w:type="dxa"/>
              <w:right w:w="220" w:type="dxa"/>
            </w:tcMar>
            <w:tcBorders>
              <w:left w:val="single" w:sz="36" w:space="0" w:color="16846F"/>
            </w:tcBorders>
          </w:tcPr>
          <w:p>
            <w:pPr>
              <w:spacing w:after="40"/>
            </w:pPr>
            <w:r>
              <w:rPr>
                <w:rFonts w:ascii="Calibri" w:hAnsi="Calibri" w:cs="Calibri"/>
                <w:b/>
                <w:i w:val="0"/>
                <w:color w:val="105A4C"/>
                <w:sz w:val="18"/>
              </w:rPr>
              <w:t>ВЫВОД</w:t>
            </w:r>
          </w:p>
          <w:p>
            <w:pPr>
              <w:spacing w:after="0" w:line="269" w:lineRule="auto"/>
            </w:pPr>
            <w:r>
              <w:rPr>
                <w:rFonts w:ascii="Calibri" w:hAnsi="Calibri" w:cs="Calibri"/>
                <w:b w:val="0"/>
                <w:i w:val="0"/>
                <w:color w:val="222B36"/>
                <w:sz w:val="21"/>
              </w:rPr>
              <w:t>Жильё входит в фазу «дорого, но без разгона», и состав владельцев может смениться: пенсионные деньги остаются, частников поджимает готовящийся налог. Развилка — box 3: если его примут, владельцы со слабой доходностью получат стимул выходить к 2027–28 годам.</w:t>
            </w:r>
          </w:p>
        </w:tc>
      </w:tr>
    </w:tbl>
    <w:p>
      <w:pPr>
        <w:spacing w:before="0" w:after="12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FFF6E5"/>
            <w:tcMar>
              <w:top w:w="100" w:type="dxa"/>
              <w:bottom w:w="100" w:type="dxa"/>
              <w:start w:w="220" w:type="dxa"/>
              <w:end w:w="220" w:type="dxa"/>
              <w:left w:w="220" w:type="dxa"/>
              <w:right w:w="220" w:type="dxa"/>
            </w:tcMar>
            <w:tcBorders>
              <w:left w:val="single" w:sz="30" w:space="0" w:color="C0791C"/>
            </w:tcBorders>
          </w:tcPr>
          <w:p>
            <w:pPr>
              <w:spacing w:after="0" w:line="264" w:lineRule="auto"/>
            </w:pPr>
            <w:r>
              <w:rPr>
                <w:rFonts w:ascii="Calibri" w:hAnsi="Calibri" w:cs="Calibri"/>
                <w:b/>
                <w:i w:val="0"/>
                <w:color w:val="8A5510"/>
                <w:sz w:val="18"/>
              </w:rPr>
              <w:t xml:space="preserve">👁  ЗА ЧЕМ СЛЕДИТЬ.  </w:t>
            </w:r>
            <w:r>
              <w:rPr>
                <w:rFonts w:ascii="Calibri" w:hAnsi="Calibri" w:cs="Calibri"/>
                <w:b w:val="0"/>
                <w:i w:val="0"/>
                <w:color w:val="222B36"/>
                <w:sz w:val="20"/>
              </w:rPr>
              <w:t>7 июля — голосование Сената по box 3, ключевая дата для частных арендодателей.</w:t>
            </w:r>
          </w:p>
        </w:tc>
      </w:tr>
    </w:tbl>
    <w:p>
      <w:pPr>
        <w:spacing w:before="0" w:after="16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1F3A5F"/>
            <w:tcMar>
              <w:top w:w="120" w:type="dxa"/>
              <w:bottom w:w="120" w:type="dxa"/>
              <w:start w:w="200" w:type="dxa"/>
              <w:end w:w="200" w:type="dxa"/>
              <w:left w:w="200" w:type="dxa"/>
              <w:right w:w="200" w:type="dxa"/>
            </w:tcMar>
          </w:tcPr>
          <w:p>
            <w:pPr>
              <w:keepNext/>
              <w:spacing w:after="0"/>
            </w:pPr>
            <w:r/>
            <w:r>
              <w:rPr>
                <w:rFonts w:ascii="Calibri" w:hAnsi="Calibri" w:cs="Calibri"/>
                <w:b/>
                <w:i w:val="0"/>
                <w:color w:val="FFFFFF"/>
                <w:sz w:val="28"/>
              </w:rPr>
              <w:t>🧭  Картина недели и прогноз</w:t>
            </w:r>
          </w:p>
        </w:tc>
      </w:tr>
    </w:tbl>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EEF2F6"/>
            <w:tcMar>
              <w:top w:w="140" w:type="dxa"/>
              <w:bottom w:w="140" w:type="dxa"/>
              <w:start w:w="200" w:type="dxa"/>
              <w:end w:w="200" w:type="dxa"/>
              <w:left w:w="200" w:type="dxa"/>
              <w:right w:w="200" w:type="dxa"/>
            </w:tcMar>
          </w:tcPr>
          <w:p>
            <w:pPr>
              <w:spacing w:after="0" w:line="283" w:lineRule="auto"/>
            </w:pPr>
            <w:r>
              <w:rPr>
                <w:rFonts w:ascii="Calibri" w:hAnsi="Calibri" w:cs="Calibri"/>
                <w:b w:val="0"/>
                <w:i w:val="0"/>
                <w:color w:val="222B36"/>
                <w:sz w:val="21"/>
              </w:rPr>
              <w:t>Сюжеты недели упираются в один и тот же вопрос — цену мощности и денег: сеть Брабанта закрылась, стройку обещают разблокировать лишь к концу 2027, а ставки развернулись вверх, хотя кредиты пока дешёвые. Дальше — три развязки подряд: 7 июля Сенат голосует по налогу box 3, 22 июля Prologis обязана решиться по Segro, 30 июля выходит полугодовой отчёт CTP. К августу станет яснее, кто прав насчёт складов: осторожная биржа или Prologis, готовый переплатить четверть.</w:t>
            </w:r>
          </w:p>
        </w:tc>
      </w:tr>
    </w:tbl>
    <w:p>
      <w:pPr>
        <w:spacing w:before="0" w:after="12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C0791C"/>
            <w:tcMar>
              <w:top w:w="120" w:type="dxa"/>
              <w:bottom w:w="120" w:type="dxa"/>
              <w:start w:w="200" w:type="dxa"/>
              <w:end w:w="200" w:type="dxa"/>
              <w:left w:w="200" w:type="dxa"/>
              <w:right w:w="200" w:type="dxa"/>
            </w:tcMar>
          </w:tcPr>
          <w:p>
            <w:pPr>
              <w:keepNext/>
              <w:spacing w:after="0"/>
            </w:pPr>
            <w:r/>
            <w:r>
              <w:rPr>
                <w:rFonts w:ascii="Calibri" w:hAnsi="Calibri" w:cs="Calibri"/>
                <w:b/>
                <w:i w:val="0"/>
                <w:color w:val="FFFFFF"/>
                <w:sz w:val="28"/>
              </w:rPr>
              <w:t>📅  Календарь: за чем следить</w:t>
            </w:r>
          </w:p>
        </w:tc>
      </w:tr>
    </w:tbl>
    <w:p>
      <w:pPr>
        <w:spacing w:before="0" w:after="4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1531"/>
        <w:gridCol w:w="6406"/>
        <w:gridCol w:w="1587"/>
      </w:tblGrid>
      <w:tr>
        <w:tc>
          <w:tcPr>
            <w:tcW w:type="dxa" w:w="3175"/>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Дата</w:t>
            </w:r>
          </w:p>
        </w:tc>
        <w:tc>
          <w:tcPr>
            <w:tcW w:type="dxa" w:w="3175"/>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Событие</w:t>
            </w:r>
          </w:p>
        </w:tc>
        <w:tc>
          <w:tcPr>
            <w:tcW w:type="dxa" w:w="3175"/>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Сегмент</w:t>
            </w:r>
          </w:p>
        </w:tc>
      </w:tr>
      <w:tr>
        <w:tc>
          <w:tcPr>
            <w:tcW w:type="dxa" w:w="1531"/>
            <w:shd w:val="clear" w:color="auto" w:fill="F4F6F8"/>
            <w:tcMar>
              <w:top w:w="80" w:type="dxa"/>
              <w:bottom w:w="80" w:type="dxa"/>
              <w:start w:w="140" w:type="dxa"/>
              <w:end w:w="140" w:type="dxa"/>
              <w:left w:w="140" w:type="dxa"/>
              <w:right w:w="140" w:type="dxa"/>
            </w:tcMar>
          </w:tcPr>
          <w:p>
            <w:pPr>
              <w:spacing w:after="0"/>
            </w:pPr>
            <w:r>
              <w:rPr>
                <w:rFonts w:ascii="Calibri" w:hAnsi="Calibri" w:cs="Calibri"/>
                <w:b/>
                <w:i w:val="0"/>
                <w:color w:val="222B36"/>
                <w:sz w:val="19"/>
              </w:rPr>
              <w:t>2026-07-01</w:t>
            </w:r>
          </w:p>
        </w:tc>
        <w:tc>
          <w:tcPr>
            <w:tcW w:type="dxa" w:w="6406"/>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  Новые правила подключения к сети (сеть Брабанта закрывается для мелких потребителей) и большинство норм закона о жилстрое</w:t>
            </w:r>
          </w:p>
          <w:p>
            <w:pPr>
              <w:spacing w:before="20" w:after="0"/>
            </w:pPr>
            <w:r>
              <w:rPr>
                <w:rFonts w:ascii="Calibri" w:hAnsi="Calibri" w:cs="Calibri"/>
                <w:b w:val="0"/>
                <w:i/>
                <w:color w:val="6B7785"/>
                <w:sz w:val="16"/>
              </w:rPr>
              <w:t>→ Новые подключения на юге уходят в очередь на годы; объекты с готовой мощностью дорожают.</w:t>
            </w:r>
          </w:p>
        </w:tc>
        <w:tc>
          <w:tcPr>
            <w:tcW w:type="dxa" w:w="1587"/>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индустриал</w:t>
            </w:r>
          </w:p>
        </w:tc>
      </w:tr>
      <w:tr>
        <w:tc>
          <w:tcPr>
            <w:tcW w:type="dxa" w:w="1531"/>
            <w:shd w:val="clear" w:color="auto" w:fill="FFFFFF"/>
            <w:tcMar>
              <w:top w:w="80" w:type="dxa"/>
              <w:bottom w:w="80" w:type="dxa"/>
              <w:start w:w="140" w:type="dxa"/>
              <w:end w:w="140" w:type="dxa"/>
              <w:left w:w="140" w:type="dxa"/>
              <w:right w:w="140" w:type="dxa"/>
            </w:tcMar>
          </w:tcPr>
          <w:p>
            <w:pPr>
              <w:spacing w:after="0"/>
            </w:pPr>
            <w:r>
              <w:rPr>
                <w:rFonts w:ascii="Calibri" w:hAnsi="Calibri" w:cs="Calibri"/>
                <w:b/>
                <w:i w:val="0"/>
                <w:color w:val="222B36"/>
                <w:sz w:val="19"/>
              </w:rPr>
              <w:t>2026-07-07</w:t>
            </w:r>
          </w:p>
        </w:tc>
        <w:tc>
          <w:tcPr>
            <w:tcW w:type="dxa" w:w="6406"/>
            <w:shd w:val="clear" w:color="auto" w:fill="FFFFFF"/>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  Голосование Сената по налогу box 3 (реальный доход)</w:t>
            </w:r>
          </w:p>
          <w:p>
            <w:pPr>
              <w:spacing w:before="20" w:after="0"/>
            </w:pPr>
            <w:r>
              <w:rPr>
                <w:rFonts w:ascii="Calibri" w:hAnsi="Calibri" w:cs="Calibri"/>
                <w:b w:val="0"/>
                <w:i/>
                <w:color w:val="6B7785"/>
                <w:sz w:val="16"/>
              </w:rPr>
              <w:t>→ Если примут — частные арендодатели со слабой доходностью получат стимул выходить из аренды к 2027–28 годам.</w:t>
            </w:r>
          </w:p>
        </w:tc>
        <w:tc>
          <w:tcPr>
            <w:tcW w:type="dxa" w:w="1587"/>
            <w:shd w:val="clear" w:color="auto" w:fill="FFFFFF"/>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жильё</w:t>
            </w:r>
          </w:p>
        </w:tc>
      </w:tr>
      <w:tr>
        <w:tc>
          <w:tcPr>
            <w:tcW w:type="dxa" w:w="1531"/>
            <w:shd w:val="clear" w:color="auto" w:fill="F4F6F8"/>
            <w:tcMar>
              <w:top w:w="80" w:type="dxa"/>
              <w:bottom w:w="80" w:type="dxa"/>
              <w:start w:w="140" w:type="dxa"/>
              <w:end w:w="140" w:type="dxa"/>
              <w:left w:w="140" w:type="dxa"/>
              <w:right w:w="140" w:type="dxa"/>
            </w:tcMar>
          </w:tcPr>
          <w:p>
            <w:pPr>
              <w:spacing w:after="0"/>
            </w:pPr>
            <w:r>
              <w:rPr>
                <w:rFonts w:ascii="Calibri" w:hAnsi="Calibri" w:cs="Calibri"/>
                <w:b/>
                <w:i w:val="0"/>
                <w:color w:val="222B36"/>
                <w:sz w:val="19"/>
              </w:rPr>
              <w:t>2026-07-22</w:t>
            </w:r>
          </w:p>
        </w:tc>
        <w:tc>
          <w:tcPr>
            <w:tcW w:type="dxa" w:w="6406"/>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  Дедлайн Prologis по Segro: подтвердить твёрдое предложение или отступить</w:t>
            </w:r>
          </w:p>
          <w:p>
            <w:pPr>
              <w:spacing w:before="20" w:after="0"/>
            </w:pPr>
            <w:r>
              <w:rPr>
                <w:rFonts w:ascii="Calibri" w:hAnsi="Calibri" w:cs="Calibri"/>
                <w:b w:val="0"/>
                <w:i/>
                <w:color w:val="6B7785"/>
                <w:sz w:val="16"/>
              </w:rPr>
              <w:t>→ Подтвердит и поднимет цену — планка для складов в Европе сдвинется вверх; откажется — эпизод останется разовым.</w:t>
            </w:r>
          </w:p>
        </w:tc>
        <w:tc>
          <w:tcPr>
            <w:tcW w:type="dxa" w:w="1587"/>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индустриал</w:t>
            </w:r>
          </w:p>
        </w:tc>
      </w:tr>
      <w:tr>
        <w:tc>
          <w:tcPr>
            <w:tcW w:type="dxa" w:w="1531"/>
            <w:shd w:val="clear" w:color="auto" w:fill="FFFFFF"/>
            <w:tcMar>
              <w:top w:w="80" w:type="dxa"/>
              <w:bottom w:w="80" w:type="dxa"/>
              <w:start w:w="140" w:type="dxa"/>
              <w:end w:w="140" w:type="dxa"/>
              <w:left w:w="140" w:type="dxa"/>
              <w:right w:w="140" w:type="dxa"/>
            </w:tcMar>
          </w:tcPr>
          <w:p>
            <w:pPr>
              <w:spacing w:after="0"/>
            </w:pPr>
            <w:r>
              <w:rPr>
                <w:rFonts w:ascii="Calibri" w:hAnsi="Calibri" w:cs="Calibri"/>
                <w:b/>
                <w:i w:val="0"/>
                <w:color w:val="222B36"/>
                <w:sz w:val="19"/>
              </w:rPr>
              <w:t>2026-07-30</w:t>
            </w:r>
          </w:p>
        </w:tc>
        <w:tc>
          <w:tcPr>
            <w:tcW w:type="dxa" w:w="6406"/>
            <w:shd w:val="clear" w:color="auto" w:fill="FFFFFF"/>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  Полугодовой отчёт CTP</w:t>
            </w:r>
          </w:p>
          <w:p>
            <w:pPr>
              <w:spacing w:before="20" w:after="0"/>
            </w:pPr>
            <w:r>
              <w:rPr>
                <w:rFonts w:ascii="Calibri" w:hAnsi="Calibri" w:cs="Calibri"/>
                <w:b w:val="0"/>
                <w:i/>
                <w:color w:val="6B7785"/>
                <w:sz w:val="16"/>
              </w:rPr>
              <w:t>→ Покажет, сколько склады стоят «по бумагам».</w:t>
            </w:r>
          </w:p>
        </w:tc>
        <w:tc>
          <w:tcPr>
            <w:tcW w:type="dxa" w:w="1587"/>
            <w:shd w:val="clear" w:color="auto" w:fill="FFFFFF"/>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индустриал</w:t>
            </w:r>
          </w:p>
        </w:tc>
      </w:tr>
      <w:tr>
        <w:tc>
          <w:tcPr>
            <w:tcW w:type="dxa" w:w="1531"/>
            <w:shd w:val="clear" w:color="auto" w:fill="F4F6F8"/>
            <w:tcMar>
              <w:top w:w="80" w:type="dxa"/>
              <w:bottom w:w="80" w:type="dxa"/>
              <w:start w:w="140" w:type="dxa"/>
              <w:end w:w="140" w:type="dxa"/>
              <w:left w:w="140" w:type="dxa"/>
              <w:right w:w="140" w:type="dxa"/>
            </w:tcMar>
          </w:tcPr>
          <w:p>
            <w:pPr>
              <w:spacing w:after="0"/>
            </w:pPr>
            <w:r>
              <w:rPr>
                <w:rFonts w:ascii="Calibri" w:hAnsi="Calibri" w:cs="Calibri"/>
                <w:b/>
                <w:i w:val="0"/>
                <w:color w:val="222B36"/>
                <w:sz w:val="19"/>
              </w:rPr>
              <w:t>2026-10-01</w:t>
            </w:r>
          </w:p>
        </w:tc>
        <w:tc>
          <w:tcPr>
            <w:tcW w:type="dxa" w:w="6406"/>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  Азотный законопроект уходит в парламент</w:t>
            </w:r>
          </w:p>
          <w:p>
            <w:pPr>
              <w:spacing w:before="20" w:after="0"/>
            </w:pPr>
            <w:r>
              <w:rPr>
                <w:rFonts w:ascii="Calibri" w:hAnsi="Calibri" w:cs="Calibri"/>
                <w:b w:val="0"/>
                <w:i/>
                <w:color w:val="6B7785"/>
                <w:sz w:val="16"/>
              </w:rPr>
              <w:t>→ Если пройдёт — разрешения на ~244 000 домов начнут разблокироваться к концу 2027 года.</w:t>
            </w:r>
          </w:p>
        </w:tc>
        <w:tc>
          <w:tcPr>
            <w:tcW w:type="dxa" w:w="1587"/>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жильё</w:t>
            </w:r>
          </w:p>
        </w:tc>
      </w:tr>
    </w:tbl>
    <w:p>
      <w:pPr>
        <w:spacing w:before="0" w:after="12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5D6D7E"/>
            <w:tcMar>
              <w:top w:w="120" w:type="dxa"/>
              <w:bottom w:w="120" w:type="dxa"/>
              <w:start w:w="200" w:type="dxa"/>
              <w:end w:w="200" w:type="dxa"/>
              <w:left w:w="200" w:type="dxa"/>
              <w:right w:w="200" w:type="dxa"/>
            </w:tcMar>
          </w:tcPr>
          <w:p>
            <w:pPr>
              <w:keepNext/>
              <w:spacing w:after="0"/>
            </w:pPr>
            <w:r/>
            <w:r>
              <w:rPr>
                <w:rFonts w:ascii="Calibri" w:hAnsi="Calibri" w:cs="Calibri"/>
                <w:b/>
                <w:i w:val="0"/>
                <w:color w:val="FFFFFF"/>
                <w:sz w:val="28"/>
              </w:rPr>
              <w:t>📖  Словарь терминов</w:t>
            </w:r>
          </w:p>
        </w:tc>
      </w:tr>
    </w:tbl>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2835"/>
        <w:gridCol w:w="6690"/>
      </w:tblGrid>
      <w:tr>
        <w:tc>
          <w:tcPr>
            <w:tcW w:type="dxa" w:w="2835"/>
            <w:shd w:val="clear" w:color="auto" w:fill="F4F6F8"/>
            <w:tcMar>
              <w:top w:w="60" w:type="dxa"/>
              <w:bottom w:w="60" w:type="dxa"/>
              <w:start w:w="140" w:type="dxa"/>
              <w:end w:w="140" w:type="dxa"/>
              <w:left w:w="140" w:type="dxa"/>
              <w:right w:w="140" w:type="dxa"/>
            </w:tcMar>
          </w:tcPr>
          <w:p>
            <w:pPr>
              <w:spacing w:after="0"/>
            </w:pPr>
            <w:r>
              <w:rPr>
                <w:rFonts w:ascii="Calibri" w:hAnsi="Calibri" w:cs="Calibri"/>
                <w:b/>
                <w:i w:val="0"/>
                <w:color w:val="1F3A5F"/>
                <w:sz w:val="19"/>
              </w:rPr>
              <w:t>netcongestie (перегрузка сети)</w:t>
            </w:r>
          </w:p>
        </w:tc>
        <w:tc>
          <w:tcPr>
            <w:tcW w:type="dxa" w:w="6690"/>
            <w:shd w:val="clear" w:color="auto" w:fill="F4F6F8"/>
            <w:tcMar>
              <w:top w:w="60" w:type="dxa"/>
              <w:bottom w:w="60" w:type="dxa"/>
              <w:start w:w="140" w:type="dxa"/>
              <w:end w:w="140" w:type="dxa"/>
              <w:left w:w="140" w:type="dxa"/>
              <w:right w:w="140" w:type="dxa"/>
            </w:tcMar>
          </w:tcPr>
          <w:p>
            <w:pPr>
              <w:spacing w:after="0"/>
            </w:pPr>
            <w:r>
              <w:rPr>
                <w:rFonts w:ascii="Calibri" w:hAnsi="Calibri" w:cs="Calibri"/>
                <w:b w:val="0"/>
                <w:i w:val="0"/>
                <w:color w:val="222B36"/>
                <w:sz w:val="19"/>
              </w:rPr>
              <w:t>электросети не хватает мощности на всех, новые подключения уходят в очередь на годы. Образ — шоссе в час пик: провода есть, свободной полосы нет.</w:t>
            </w:r>
          </w:p>
        </w:tc>
      </w:tr>
      <w:tr>
        <w:tc>
          <w:tcPr>
            <w:tcW w:type="dxa" w:w="2835"/>
            <w:shd w:val="clear" w:color="auto" w:fill="FFFFFF"/>
            <w:tcMar>
              <w:top w:w="60" w:type="dxa"/>
              <w:bottom w:w="60" w:type="dxa"/>
              <w:start w:w="140" w:type="dxa"/>
              <w:end w:w="140" w:type="dxa"/>
              <w:left w:w="140" w:type="dxa"/>
              <w:right w:w="140" w:type="dxa"/>
            </w:tcMar>
          </w:tcPr>
          <w:p>
            <w:pPr>
              <w:spacing w:after="0"/>
            </w:pPr>
            <w:r>
              <w:rPr>
                <w:rFonts w:ascii="Calibri" w:hAnsi="Calibri" w:cs="Calibri"/>
                <w:b/>
                <w:i w:val="0"/>
                <w:color w:val="1F3A5F"/>
                <w:sz w:val="19"/>
              </w:rPr>
              <w:t>box 3</w:t>
            </w:r>
          </w:p>
        </w:tc>
        <w:tc>
          <w:tcPr>
            <w:tcW w:type="dxa" w:w="6690"/>
            <w:shd w:val="clear" w:color="auto" w:fill="FFFFFF"/>
            <w:tcMar>
              <w:top w:w="60" w:type="dxa"/>
              <w:bottom w:w="60" w:type="dxa"/>
              <w:start w:w="140" w:type="dxa"/>
              <w:end w:w="140" w:type="dxa"/>
              <w:left w:w="140" w:type="dxa"/>
              <w:right w:w="140" w:type="dxa"/>
            </w:tcMar>
          </w:tcPr>
          <w:p>
            <w:pPr>
              <w:spacing w:after="0"/>
            </w:pPr>
            <w:r>
              <w:rPr>
                <w:rFonts w:ascii="Calibri" w:hAnsi="Calibri" w:cs="Calibri"/>
                <w:b w:val="0"/>
                <w:i w:val="0"/>
                <w:color w:val="222B36"/>
                <w:sz w:val="19"/>
              </w:rPr>
              <w:t>нидерландский налог на капитал физлиц (в т.ч. недвижимость не для собственного проживания). Обсуждается переход на налог с реального дохода от аренды и подорожания при продаже, старт намечен на 2028.</w:t>
            </w:r>
          </w:p>
        </w:tc>
      </w:tr>
      <w:tr>
        <w:tc>
          <w:tcPr>
            <w:tcW w:type="dxa" w:w="2835"/>
            <w:shd w:val="clear" w:color="auto" w:fill="F4F6F8"/>
            <w:tcMar>
              <w:top w:w="60" w:type="dxa"/>
              <w:bottom w:w="60" w:type="dxa"/>
              <w:start w:w="140" w:type="dxa"/>
              <w:end w:w="140" w:type="dxa"/>
              <w:left w:w="140" w:type="dxa"/>
              <w:right w:w="140" w:type="dxa"/>
            </w:tcMar>
          </w:tcPr>
          <w:p>
            <w:pPr>
              <w:spacing w:after="0"/>
            </w:pPr>
            <w:r>
              <w:rPr>
                <w:rFonts w:ascii="Calibri" w:hAnsi="Calibri" w:cs="Calibri"/>
                <w:b/>
                <w:i w:val="0"/>
                <w:color w:val="1F3A5F"/>
                <w:sz w:val="19"/>
              </w:rPr>
              <w:t>earningsstripping</w:t>
            </w:r>
          </w:p>
        </w:tc>
        <w:tc>
          <w:tcPr>
            <w:tcW w:type="dxa" w:w="6690"/>
            <w:shd w:val="clear" w:color="auto" w:fill="F4F6F8"/>
            <w:tcMar>
              <w:top w:w="60" w:type="dxa"/>
              <w:bottom w:w="60" w:type="dxa"/>
              <w:start w:w="140" w:type="dxa"/>
              <w:end w:w="140" w:type="dxa"/>
              <w:left w:w="140" w:type="dxa"/>
              <w:right w:w="140" w:type="dxa"/>
            </w:tcMar>
          </w:tcPr>
          <w:p>
            <w:pPr>
              <w:spacing w:after="0"/>
            </w:pPr>
            <w:r>
              <w:rPr>
                <w:rFonts w:ascii="Calibri" w:hAnsi="Calibri" w:cs="Calibri"/>
                <w:b w:val="0"/>
                <w:i w:val="0"/>
                <w:color w:val="222B36"/>
                <w:sz w:val="19"/>
              </w:rPr>
              <w:t>правило ЕС (с 2019), которое разрешает вычитать из налога только часть процентов по кредиту. Делает заёмные деньги для недвижимости дороже.</w:t>
            </w:r>
          </w:p>
        </w:tc>
      </w:tr>
      <w:tr>
        <w:tc>
          <w:tcPr>
            <w:tcW w:type="dxa" w:w="2835"/>
            <w:shd w:val="clear" w:color="auto" w:fill="FFFFFF"/>
            <w:tcMar>
              <w:top w:w="60" w:type="dxa"/>
              <w:bottom w:w="60" w:type="dxa"/>
              <w:start w:w="140" w:type="dxa"/>
              <w:end w:w="140" w:type="dxa"/>
              <w:left w:w="140" w:type="dxa"/>
              <w:right w:w="140" w:type="dxa"/>
            </w:tcMar>
          </w:tcPr>
          <w:p>
            <w:pPr>
              <w:spacing w:after="0"/>
            </w:pPr>
            <w:r>
              <w:rPr>
                <w:rFonts w:ascii="Calibri" w:hAnsi="Calibri" w:cs="Calibri"/>
                <w:b/>
                <w:i w:val="0"/>
                <w:color w:val="1F3A5F"/>
                <w:sz w:val="19"/>
              </w:rPr>
              <w:t>BV</w:t>
            </w:r>
          </w:p>
        </w:tc>
        <w:tc>
          <w:tcPr>
            <w:tcW w:type="dxa" w:w="6690"/>
            <w:shd w:val="clear" w:color="auto" w:fill="FFFFFF"/>
            <w:tcMar>
              <w:top w:w="60" w:type="dxa"/>
              <w:bottom w:w="60" w:type="dxa"/>
              <w:start w:w="140" w:type="dxa"/>
              <w:end w:w="140" w:type="dxa"/>
              <w:left w:w="140" w:type="dxa"/>
              <w:right w:w="140" w:type="dxa"/>
            </w:tcMar>
          </w:tcPr>
          <w:p>
            <w:pPr>
              <w:spacing w:after="0"/>
            </w:pPr>
            <w:r>
              <w:rPr>
                <w:rFonts w:ascii="Calibri" w:hAnsi="Calibri" w:cs="Calibri"/>
                <w:b w:val="0"/>
                <w:i w:val="0"/>
                <w:color w:val="222B36"/>
                <w:sz w:val="19"/>
              </w:rPr>
              <w:t>нидерландская частная компания (аналог ООО). Через неё часто держат недвижимость, и на неё распространяются корпоративные налоги.</w:t>
            </w:r>
          </w:p>
        </w:tc>
      </w:tr>
    </w:tbl>
    <w:p>
      <w:pPr>
        <w:spacing w:before="0" w:after="12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5D6D7E"/>
            <w:tcMar>
              <w:top w:w="120" w:type="dxa"/>
              <w:bottom w:w="120" w:type="dxa"/>
              <w:start w:w="200" w:type="dxa"/>
              <w:end w:w="200" w:type="dxa"/>
              <w:left w:w="200" w:type="dxa"/>
              <w:right w:w="200" w:type="dxa"/>
            </w:tcMar>
          </w:tcPr>
          <w:p>
            <w:pPr>
              <w:keepNext/>
              <w:spacing w:after="0"/>
            </w:pPr>
            <w:r/>
            <w:r>
              <w:rPr>
                <w:rFonts w:ascii="Calibri" w:hAnsi="Calibri" w:cs="Calibri"/>
                <w:b/>
                <w:i w:val="0"/>
                <w:color w:val="FFFFFF"/>
                <w:sz w:val="28"/>
              </w:rPr>
              <w:t>🔗  Источники</w:t>
            </w:r>
          </w:p>
        </w:tc>
      </w:tr>
    </w:tbl>
    <w:p>
      <w:pPr>
        <w:spacing w:before="0" w:after="40" w:line="269" w:lineRule="auto"/>
        <w:jc w:val="left"/>
      </w:pPr>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CBS StatLine / Kadaster (цены жилья, сделки)  </w:t>
      </w:r>
      <w:hyperlink r:id="rId23">
        <w:r>
          <w:rPr>
            <w:color w:val="1155CC"/>
            <w:sz w:val="18"/>
            <w:rFonts w:ascii="Calibri" w:hAnsi="Calibri"/>
            <w:u w:val="single"/>
          </w:rPr>
          <w:t xml:space="preserve">https://www.cbs.nl/nl-nl/nieuws/2026/26/koopwoningen-in-mei-ruim-4-procent-duurder-dan-jaar-eerder</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Cushman &amp; Wakefield — логистика NL, I кв. 2026  </w:t>
      </w:r>
      <w:hyperlink r:id="rId14">
        <w:r>
          <w:rPr>
            <w:color w:val="1155CC"/>
            <w:sz w:val="18"/>
            <w:rFonts w:ascii="Calibri" w:hAnsi="Calibri"/>
            <w:u w:val="single"/>
          </w:rPr>
          <w:t xml:space="preserve">https://www.cushmanwakefield.com/en/netherlands/news/2026/05/dutch-logistics-real-estate-market-remains-resilient</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CBRE Netherlands — доходности логистики  </w:t>
      </w:r>
      <w:hyperlink r:id="rId25">
        <w:r>
          <w:rPr>
            <w:color w:val="1155CC"/>
            <w:sz w:val="18"/>
            <w:rFonts w:ascii="Calibri" w:hAnsi="Calibri"/>
            <w:u w:val="single"/>
          </w:rPr>
          <w:t xml:space="preserve">https://www.cbre.nl/insights/reports/grotere-regionale-verschillen-sturen-rendementen-in-logistiek-vastgoed</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Locatus — пустующие магазины 2025  </w:t>
      </w:r>
      <w:hyperlink r:id="rId18">
        <w:r>
          <w:rPr>
            <w:color w:val="1155CC"/>
            <w:sz w:val="18"/>
            <w:rFonts w:ascii="Calibri" w:hAnsi="Calibri"/>
            <w:u w:val="single"/>
          </w:rPr>
          <w:t xml:space="preserve">https://locatus.com/blog/nederlandse-winkelleegstand-2025/</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Rijksoverheid — азотный пакет 26.06.2026  </w:t>
      </w:r>
      <w:hyperlink r:id="rId20">
        <w:r>
          <w:rPr>
            <w:color w:val="1155CC"/>
            <w:sz w:val="18"/>
            <w:rFonts w:ascii="Calibri" w:hAnsi="Calibri"/>
            <w:u w:val="single"/>
          </w:rPr>
          <w:t xml:space="preserve">https://www.rijksoverheid.nl/actueel/nieuws/2026/06/26/kabinet-haalt-nederland-van-het-stikstofslot-met-stevig-pakket-weer-ruimte-voor-boer-natuur-en-bouw</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Eerste Kamer — box 3  </w:t>
      </w:r>
      <w:hyperlink r:id="rId19">
        <w:r>
          <w:rPr>
            <w:color w:val="1155CC"/>
            <w:sz w:val="18"/>
            <w:rFonts w:ascii="Calibri" w:hAnsi="Calibri"/>
            <w:u w:val="single"/>
          </w:rPr>
          <w:t xml:space="preserve">https://www.eerstekamer.nl/nieuws/20260630/senaat_houdt_stemming_box_3_wet</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Vesteda Newsroom / IR  </w:t>
      </w:r>
      <w:hyperlink r:id="rId21">
        <w:r>
          <w:rPr>
            <w:color w:val="1155CC"/>
            <w:sz w:val="18"/>
            <w:rFonts w:ascii="Calibri" w:hAnsi="Calibri"/>
            <w:u w:val="single"/>
          </w:rPr>
          <w:t xml:space="preserve">https://news.vesteda.com/vesteda-redemption-volume-set-at--765-million-and-fund-terms-amended/</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NVM Business — Nieuws  </w:t>
      </w:r>
      <w:hyperlink r:id="rId17">
        <w:r>
          <w:rPr>
            <w:color w:val="1155CC"/>
            <w:sz w:val="18"/>
            <w:rFonts w:ascii="Calibri" w:hAnsi="Calibri"/>
            <w:u w:val="single"/>
          </w:rPr>
          <w:t xml:space="preserve">https://www.nvm.nl/nieuws/</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Financieel Management / Omroep Brabant — netcongestie  </w:t>
      </w:r>
      <w:hyperlink r:id="rId12">
        <w:r>
          <w:rPr>
            <w:color w:val="1155CC"/>
            <w:sz w:val="18"/>
            <w:rFonts w:ascii="Calibri" w:hAnsi="Calibri"/>
            <w:u w:val="single"/>
          </w:rPr>
          <w:t xml:space="preserve">https://financieel-management.nl/artikel/stroomnet-brabant-volledig-op-slot-voor-alle-bedrijven/</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Investing.com / MarketScreener — оценки CTP/WDP  </w:t>
      </w:r>
      <w:hyperlink r:id="rId15">
        <w:r>
          <w:rPr>
            <w:color w:val="1155CC"/>
            <w:sz w:val="18"/>
            <w:rFonts w:ascii="Calibri" w:hAnsi="Calibri"/>
            <w:u w:val="single"/>
          </w:rPr>
          <w:t xml:space="preserve">https://www.investing.com/equities/ctp-nv-consensus-estimates</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RaboResearch — прогноз рынка жилья  </w:t>
      </w:r>
      <w:hyperlink r:id="rId26">
        <w:r>
          <w:rPr>
            <w:color w:val="1155CC"/>
            <w:sz w:val="18"/>
            <w:rFonts w:ascii="Calibri" w:hAnsi="Calibri"/>
            <w:u w:val="single"/>
          </w:rPr>
          <w:t xml:space="preserve">https://www.rabobank.nl/kennis/d011529617-kwartaalbericht-woningmarkt-einde-van-de-prijsrally-huizenmarkt-koelt-af</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Vastgoedmarkt — обзор логистики  </w:t>
      </w:r>
      <w:hyperlink r:id="rId27">
        <w:r>
          <w:rPr>
            <w:color w:val="1155CC"/>
            <w:sz w:val="18"/>
            <w:rFonts w:ascii="Calibri" w:hAnsi="Calibri"/>
            <w:u w:val="single"/>
          </w:rPr>
          <w:t xml:space="preserve">https://www.vastgoedmarkt.nl/198511/wat-je-nu-moet-weten-over-logistiek</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Reuters / Bloomberg / US News — Prologis-Segro  </w:t>
      </w:r>
      <w:hyperlink r:id="rId13">
        <w:r>
          <w:rPr>
            <w:color w:val="1155CC"/>
            <w:sz w:val="18"/>
            <w:rFonts w:ascii="Calibri" w:hAnsi="Calibri"/>
            <w:u w:val="single"/>
          </w:rPr>
          <w:t xml:space="preserve">https://www.usnews.com/news/top-news/articles/2026-06-24/u-s-based-prologis-takes-16-6-billion-bid-for-uk-landlord-segro-public-after-rejection</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Vastgoedjournaal — Bouwinvest Senior Living Fund  </w:t>
      </w:r>
      <w:hyperlink r:id="rId22">
        <w:r>
          <w:rPr>
            <w:color w:val="1155CC"/>
            <w:sz w:val="18"/>
            <w:rFonts w:ascii="Calibri" w:hAnsi="Calibri"/>
            <w:u w:val="single"/>
          </w:rPr>
          <w:t xml:space="preserve">https://vastgoedjournaal.nl/news/73539/twee-pensioenfondsen-stappen-in-ouderenfonds-bouwinvest</w:t>
        </w:r>
      </w:hyperlink>
    </w:p>
    <w:p>
      <w:pPr>
        <w:spacing w:before="200" w:after="0" w:line="269" w:lineRule="auto"/>
        <w:jc w:val="left"/>
      </w:pPr>
    </w:p>
    <w:p>
      <w:pPr>
        <w:spacing w:before="120" w:after="0" w:line="269" w:lineRule="auto"/>
        <w:jc w:val="left"/>
        <w:pBdr>
          <w:top w:val="single" w:sz="6" w:space="4" w:color="D7DEE6"/>
        </w:pBdr>
      </w:pPr>
      <w:r>
        <w:rPr>
          <w:rFonts w:ascii="Calibri" w:hAnsi="Calibri" w:cs="Calibri"/>
          <w:b w:val="0"/>
          <w:i/>
          <w:color w:val="6B7785"/>
          <w:sz w:val="16"/>
        </w:rPr>
        <w:t>Дисклеймер: материал носит информационно-аналитический характер, подготовлен на основе открытых источников и не является инвестиционной рекомендацией. Проверяйте данные по первоисточникам перед принятием решений.</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785"/>
        <w:sz w:val="16"/>
      </w:rPr>
      <w:t xml:space="preserve">Стр. </w:t>
      <w:fldChar w:fldCharType="begin"/>
      <w:instrText xml:space="preserve">PAGE</w:instrText>
      <w:fldChar w:fldCharType="end"/>
    </w:r>
    <w:r>
      <w:rPr>
        <w:rFonts w:ascii="Calibri" w:hAnsi="Calibri"/>
        <w:color w:val="6B7785"/>
        <w:sz w:val="16"/>
      </w:rPr>
      <w:t xml:space="preserve"> из </w:t>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b w:val="0"/>
        <w:i w:val="0"/>
        <w:color w:val="6B7785"/>
        <w:sz w:val="16"/>
      </w:rPr>
      <w:t>Недвижимость Нидерландов · 23–30 июня 2026 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color w:val="222B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financieel-management.nl/artikel/stroomnet-brabant-volledig-op-slot-voor-alle-bedrijven/" TargetMode="External"/><Relationship Id="rId13" Type="http://schemas.openxmlformats.org/officeDocument/2006/relationships/hyperlink" Target="https://www.usnews.com/news/top-news/articles/2026-06-24/u-s-based-prologis-takes-16-6-billion-bid-for-uk-landlord-segro-public-after-rejection" TargetMode="External"/><Relationship Id="rId14" Type="http://schemas.openxmlformats.org/officeDocument/2006/relationships/hyperlink" Target="https://www.cushmanwakefield.com/en/netherlands/news/2026/05/dutch-logistics-real-estate-market-remains-resilient" TargetMode="External"/><Relationship Id="rId15" Type="http://schemas.openxmlformats.org/officeDocument/2006/relationships/hyperlink" Target="https://www.investing.com/equities/ctp-nv-consensus-estimates" TargetMode="External"/><Relationship Id="rId16" Type="http://schemas.openxmlformats.org/officeDocument/2006/relationships/image" Target="media/image2.png"/><Relationship Id="rId17" Type="http://schemas.openxmlformats.org/officeDocument/2006/relationships/hyperlink" Target="https://www.nvm.nl/nieuws/" TargetMode="External"/><Relationship Id="rId18" Type="http://schemas.openxmlformats.org/officeDocument/2006/relationships/hyperlink" Target="https://locatus.com/blog/nederlandse-winkelleegstand-2025/" TargetMode="External"/><Relationship Id="rId19" Type="http://schemas.openxmlformats.org/officeDocument/2006/relationships/hyperlink" Target="https://www.eerstekamer.nl/nieuws/20260630/senaat_houdt_stemming_box_3_wet" TargetMode="External"/><Relationship Id="rId20" Type="http://schemas.openxmlformats.org/officeDocument/2006/relationships/hyperlink" Target="https://www.rijksoverheid.nl/actueel/nieuws/2026/06/26/kabinet-haalt-nederland-van-het-stikstofslot-met-stevig-pakket-weer-ruimte-voor-boer-natuur-en-bouw" TargetMode="External"/><Relationship Id="rId21" Type="http://schemas.openxmlformats.org/officeDocument/2006/relationships/hyperlink" Target="https://news.vesteda.com/vesteda-redemption-volume-set-at--765-million-and-fund-terms-amended/" TargetMode="External"/><Relationship Id="rId22" Type="http://schemas.openxmlformats.org/officeDocument/2006/relationships/hyperlink" Target="https://vastgoedjournaal.nl/news/73539/twee-pensioenfondsen-stappen-in-ouderenfonds-bouwinvest" TargetMode="External"/><Relationship Id="rId23" Type="http://schemas.openxmlformats.org/officeDocument/2006/relationships/hyperlink" Target="https://www.cbs.nl/nl-nl/nieuws/2026/26/koopwoningen-in-mei-ruim-4-procent-duurder-dan-jaar-eerder" TargetMode="External"/><Relationship Id="rId24" Type="http://schemas.openxmlformats.org/officeDocument/2006/relationships/image" Target="media/image3.png"/><Relationship Id="rId25" Type="http://schemas.openxmlformats.org/officeDocument/2006/relationships/hyperlink" Target="https://www.cbre.nl/insights/reports/grotere-regionale-verschillen-sturen-rendementen-in-logistiek-vastgoed" TargetMode="External"/><Relationship Id="rId26" Type="http://schemas.openxmlformats.org/officeDocument/2006/relationships/hyperlink" Target="https://www.rabobank.nl/kennis/d011529617-kwartaalbericht-woningmarkt-einde-van-de-prijsrally-huizenmarkt-koelt-af" TargetMode="External"/><Relationship Id="rId27" Type="http://schemas.openxmlformats.org/officeDocument/2006/relationships/hyperlink" Target="https://www.vastgoedmarkt.nl/198511/wat-je-nu-moet-weten-over-logistie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