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1C19" w:sz="4" w:space="2"/>
        </w:pBdr>
        <w:spacing w:after="0" w:before="1450"/>
      </w:pPr>
      <w:r>
        <w:rPr>
          <w:sz w:val="4"/>
          <w:szCs w:val="4"/>
        </w:rPr>
        <w:t xml:space="preserve"> </w:t>
      </w:r>
    </w:p>
    <w:p>
      <w:pPr>
        <w:spacing w:after="0" w:before="230"/>
      </w:pPr>
      <w:r>
        <w:rPr>
          <w:rFonts w:ascii="PT Sans" w:cs="PT Sans" w:eastAsia="PT Sans" w:hAnsi="PT Sans"/>
          <w:caps/>
          <w:color w:val="963F26"/>
          <w:spacing w:val="34"/>
          <w:sz w:val="17"/>
          <w:szCs w:val="17"/>
        </w:rPr>
        <w:t xml:space="preserve">Исследование вакантных помещений</w:t>
      </w:r>
    </w:p>
    <w:p>
      <w:pPr>
        <w:spacing w:after="0" w:before="640"/>
      </w:pPr>
      <w:r>
        <w:rPr>
          <w:rFonts w:ascii="PT Serif" w:cs="PT Serif" w:eastAsia="PT Serif" w:hAnsi="PT Serif"/>
          <w:b/>
          <w:bCs/>
          <w:color w:val="1E1C19"/>
          <w:sz w:val="84"/>
          <w:szCs w:val="84"/>
        </w:rPr>
        <w:t xml:space="preserve">ТЦ «Амбар 1»</w:t>
      </w:r>
    </w:p>
    <w:p>
      <w:pPr>
        <w:spacing w:after="0" w:before="230"/>
      </w:pPr>
      <w:r>
        <w:rPr>
          <w:rFonts w:ascii="PT Serif" w:cs="PT Serif" w:eastAsia="PT Serif" w:hAnsi="PT Serif"/>
          <w:color w:val="23303A"/>
          <w:sz w:val="26"/>
          <w:szCs w:val="26"/>
        </w:rPr>
        <w:t xml:space="preserve">село Ильинское, улица Ленина, 28</w:t>
      </w:r>
    </w:p>
    <w:p>
      <w:pPr>
        <w:spacing w:after="0" w:before="30"/>
      </w:pPr>
      <w:r>
        <w:rPr>
          <w:rFonts w:ascii="PT Serif" w:cs="PT Serif" w:eastAsia="PT Serif" w:hAnsi="PT Serif"/>
          <w:color w:val="6E6860"/>
          <w:sz w:val="20"/>
          <w:szCs w:val="20"/>
        </w:rPr>
        <w:t xml:space="preserve">Московская область · городской округ Красногорск</w:t>
      </w:r>
    </w:p>
    <w:p>
      <w:pPr>
        <w:pBdr>
          <w:bottom w:val="single" w:color="BCB4A8" w:sz="3" w:space="2"/>
        </w:pBdr>
        <w:spacing w:after="0" w:before="1080"/>
      </w:pPr>
      <w:r>
        <w:rPr>
          <w:sz w:val="4"/>
          <w:szCs w:val="4"/>
        </w:rPr>
        <w:t xml:space="preserve"> </w:t>
      </w:r>
    </w:p>
    <w:p>
      <w:pPr>
        <w:spacing w:after="0" w:before="230"/>
      </w:pPr>
      <w:r>
        <w:rPr>
          <w:sz w:val="4"/>
          <w:szCs w:val="4"/>
        </w:rPr>
        <w:t xml:space="preserve"> 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8"/>
        <w:gridCol w:w="3368"/>
        <w:gridCol w:w="3370"/>
      </w:tblGrid>
      <w:tr>
        <w:tc>
          <w:tcPr>
            <w:tcW w:type="dxa" w:w="336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340"/>
            </w:tcMar>
          </w:tcPr>
          <w:p>
            <w:pPr>
              <w:spacing w:after="60"/>
            </w:pPr>
            <w:r>
              <w:rPr>
                <w:rFonts w:ascii="PT Serif" w:cs="PT Serif" w:eastAsia="PT Serif" w:hAnsi="PT Serif"/>
                <w:color w:val="1E1C19"/>
                <w:sz w:val="40"/>
                <w:szCs w:val="40"/>
              </w:rPr>
              <w:t xml:space="preserve">3 года</w:t>
            </w:r>
          </w:p>
          <w:p>
            <w:pPr>
              <w:spacing w:after="0"/>
            </w:pPr>
            <w:r>
              <w:rPr>
                <w:rFonts w:ascii="PT Sans Narrow" w:cs="PT Sans Narrow" w:eastAsia="PT Sans Narrow" w:hAnsi="PT Sans Narrow"/>
                <w:color w:val="6E6860"/>
                <w:sz w:val="15"/>
                <w:szCs w:val="15"/>
              </w:rPr>
              <w:t xml:space="preserve">помещения не сдаются</w:t>
            </w:r>
            <w:r>
              <w:rPr>
                <w:rFonts w:ascii="PT Sans Narrow" w:cs="PT Sans Narrow" w:eastAsia="PT Sans Narrow" w:hAnsi="PT Sans Narrow"/>
                <w:color w:val="6E6860"/>
                <w:sz w:val="15"/>
                <w:szCs w:val="15"/>
              </w:rPr>
              <w:br/>
              <w:t xml:space="preserve">с момента покупки</w:t>
            </w:r>
          </w:p>
        </w:tc>
        <w:tc>
          <w:tcPr>
            <w:tcW w:type="dxa" w:w="336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340"/>
            </w:tcMar>
          </w:tcPr>
          <w:p>
            <w:pPr>
              <w:spacing w:after="60"/>
            </w:pPr>
            <w:r>
              <w:rPr>
                <w:rFonts w:ascii="PT Serif" w:cs="PT Serif" w:eastAsia="PT Serif" w:hAnsi="PT Serif"/>
                <w:color w:val="1E1C19"/>
                <w:sz w:val="40"/>
                <w:szCs w:val="40"/>
              </w:rPr>
              <w:t xml:space="preserve">515,4 м²</w:t>
            </w:r>
          </w:p>
          <w:p>
            <w:pPr>
              <w:spacing w:after="0"/>
            </w:pPr>
            <w:r>
              <w:rPr>
                <w:rFonts w:ascii="PT Sans Narrow" w:cs="PT Sans Narrow" w:eastAsia="PT Sans Narrow" w:hAnsi="PT Sans Narrow"/>
                <w:color w:val="6E6860"/>
                <w:sz w:val="15"/>
                <w:szCs w:val="15"/>
              </w:rPr>
              <w:t xml:space="preserve">в объявлениях —</w:t>
            </w:r>
            <w:r>
              <w:rPr>
                <w:rFonts w:ascii="PT Sans Narrow" w:cs="PT Sans Narrow" w:eastAsia="PT Sans Narrow" w:hAnsi="PT Sans Narrow"/>
                <w:color w:val="6E6860"/>
                <w:sz w:val="15"/>
                <w:szCs w:val="15"/>
              </w:rPr>
              <w:br/>
              <w:t xml:space="preserve">тремя лотами</w:t>
            </w:r>
          </w:p>
        </w:tc>
        <w:tc>
          <w:tcPr>
            <w:tcW w:type="dxa" w:w="3368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340"/>
            </w:tcMar>
          </w:tcPr>
          <w:p>
            <w:pPr>
              <w:spacing w:after="60"/>
            </w:pPr>
            <w:r>
              <w:rPr>
                <w:rFonts w:ascii="PT Serif" w:cs="PT Serif" w:eastAsia="PT Serif" w:hAnsi="PT Serif"/>
                <w:color w:val="1E1C19"/>
                <w:sz w:val="40"/>
                <w:szCs w:val="40"/>
              </w:rPr>
              <w:t xml:space="preserve">911,5 м²</w:t>
            </w:r>
          </w:p>
          <w:p>
            <w:pPr>
              <w:spacing w:after="0"/>
            </w:pPr>
            <w:r>
              <w:rPr>
                <w:rFonts w:ascii="PT Sans Narrow" w:cs="PT Sans Narrow" w:eastAsia="PT Sans Narrow" w:hAnsi="PT Sans Narrow"/>
                <w:color w:val="6E6860"/>
                <w:sz w:val="15"/>
                <w:szCs w:val="15"/>
              </w:rPr>
              <w:t xml:space="preserve">в презентации</w:t>
            </w:r>
            <w:r>
              <w:rPr>
                <w:rFonts w:ascii="PT Sans Narrow" w:cs="PT Sans Narrow" w:eastAsia="PT Sans Narrow" w:hAnsi="PT Sans Narrow"/>
                <w:color w:val="6E6860"/>
                <w:sz w:val="15"/>
                <w:szCs w:val="15"/>
              </w:rPr>
              <w:br/>
              <w:t xml:space="preserve">собственника — одним</w:t>
            </w:r>
          </w:p>
        </w:tc>
      </w:tr>
    </w:tbl>
    <w:p>
      <w:pPr>
        <w:pBdr>
          <w:bottom w:val="single" w:color="BCB4A8" w:sz="3" w:space="2"/>
        </w:pBdr>
        <w:spacing w:after="0" w:before="250"/>
      </w:pPr>
      <w:r>
        <w:rPr>
          <w:sz w:val="4"/>
          <w:szCs w:val="4"/>
        </w:rPr>
        <w:t xml:space="preserve"> </w:t>
      </w:r>
    </w:p>
    <w:p>
      <w:pPr>
        <w:spacing w:after="0" w:before="250"/>
        <w:ind w:right="1100"/>
      </w:pPr>
      <w:r>
        <w:rPr>
          <w:rFonts w:ascii="PT Serif" w:cs="PT Serif" w:eastAsia="PT Serif" w:hAnsi="PT Serif"/>
          <w:color w:val="6E6860"/>
          <w:sz w:val="19"/>
          <w:szCs w:val="19"/>
        </w:rPr>
        <w:t xml:space="preserve">Причины простоя · бенчмарк ставок · локационный анализ · оценка презентации · тир-лист арендаторов · сценарии и NPV</w:t>
      </w:r>
    </w:p>
    <w:p>
      <w:pPr>
        <w:pBdr>
          <w:top w:val="single" w:color="1E1C19" w:sz="4" w:space="12"/>
        </w:pBdr>
        <w:spacing w:after="0" w:before="2600"/>
      </w:pPr>
      <w:r>
        <w:rPr>
          <w:rFonts w:ascii="PT Sans" w:cs="PT Sans" w:eastAsia="PT Sans" w:hAnsi="PT Sans"/>
          <w:caps/>
          <w:color w:val="1E1C19"/>
          <w:spacing w:val="26"/>
          <w:sz w:val="17"/>
          <w:szCs w:val="17"/>
        </w:rPr>
        <w:t xml:space="preserve">Сентябрь 2026</w:t>
      </w:r>
    </w:p>
    <w:p>
      <w:r>
        <w:br w:type="page"/>
      </w:r>
    </w:p>
    <w:p>
      <w:pPr>
        <w:spacing w:after="60"/>
      </w:pPr>
      <w:r>
        <w:rPr>
          <w:rFonts w:ascii="PT Sans" w:cs="PT Sans" w:eastAsia="PT Sans" w:hAnsi="PT Sans"/>
          <w:caps/>
          <w:color w:val="963F26"/>
          <w:spacing w:val="30"/>
          <w:sz w:val="17"/>
          <w:szCs w:val="17"/>
        </w:rPr>
        <w:t xml:space="preserve">Содержание</w:t>
      </w:r>
    </w:p>
    <w:p>
      <w:pPr>
        <w:pBdr>
          <w:bottom w:val="single" w:color="1E1C19" w:sz="8" w:space="2"/>
        </w:pBdr>
        <w:spacing w:after="240"/>
      </w:pPr>
      <w:r>
        <w:rPr>
          <w:sz w:val="4"/>
          <w:szCs w:val="4"/>
        </w:rPr>
        <w:t xml:space="preserve"> 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1. Резюме для собственника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3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1.1. Вердикт по ставкам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3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1.2. Три главные причины вакансии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3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1.3. Топ-5 арендаторов для первого обзвона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4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1.4. Пять действий на ближайшие 90 дней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4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2. Паспорт помещений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5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2.1. Сводная таблица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5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2.2. Что показывает генплан участка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6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2.3. Помещение №1 — 430,5 м², 2 этаж, терраса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7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2.4. Помещение №2 — 39,6 м², 2 этаж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8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2.5. Помещение №3 — 45,3 м², 3 этаж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9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3. Бенчмарк арендных ставок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9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3.1. Выборка: одиннадцать сопоставимых предложений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10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3.2. Что в этой выборке определяет ставку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11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3.3. Где рынок действительно закрывается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12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3.4. Поправка на площадь и на террасу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12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3.5. Рыночный контекст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13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3.6. Вердикт по каждому помещению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13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4. Локационный анализ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15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4.1. Расположение и конкурентное окружение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15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4.2. Жители соседних локаций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17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4.3. Трафик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19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4.4. Социально-экономический контекст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21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5. Почему помещения вакантны три года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22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5.1. Матрица «объективно / управляемо»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22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5.2. Пять ошибок, которые видит арендатор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23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6. Оценка текущей презентации объекта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24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6.1. Что презентация исправила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24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6.2. Что она создала заново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25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6.3. Вердикт и что сделать с ней в ближайший месяц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26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7. Тир-лист потенциальных арендаторов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28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7.1. Пять категорий для холодного предложения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35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8. Сценарии и оценка NPV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35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9. План действий на 90 дней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37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10. Источники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38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11. Приложение: методология, допущения и ограничения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39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11.1. Методология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39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11.2. Ключевые допущения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40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11.3. Что проверить до принятия решений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40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11.4. Чего не удалось проверить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41</w:t>
      </w:r>
    </w:p>
    <w:p>
      <w:pPr>
        <w:tabs>
          <w:tab w:val="right" w:pos="10066" w:leader="dot"/>
        </w:tabs>
        <w:spacing w:after="4" w:before="0" w:line="220" w:lineRule="auto"/>
        <w:ind w:left="360" w:right="0"/>
      </w:pPr>
      <w:r>
        <w:rPr>
          <w:rFonts w:ascii="PT Serif" w:cs="PT Serif" w:eastAsia="PT Serif" w:hAnsi="PT Serif"/>
          <w:b w:val="false"/>
          <w:bCs w:val="false"/>
          <w:color w:val="23303A"/>
          <w:sz w:val="18"/>
          <w:szCs w:val="18"/>
        </w:rPr>
        <w:t xml:space="preserve">11.5. Неразрешённое противоречие</w:t>
      </w:r>
      <w:r>
        <w:rPr>
          <w:rFonts w:ascii="PT Sans" w:cs="PT Sans" w:eastAsia="PT Sans" w:hAnsi="PT Sans"/>
          <w:color w:val="6E6860"/>
          <w:sz w:val="16"/>
          <w:szCs w:val="16"/>
        </w:rPr>
        <w:t xml:space="preserve">	42</w:t>
      </w:r>
    </w:p>
    <w:p>
      <w:pPr>
        <w:pBdr>
          <w:bottom w:val="single" w:color="E4DED4" w:sz="2" w:space="4"/>
        </w:pBdr>
        <w:tabs>
          <w:tab w:val="right" w:pos="10066" w:leader="none"/>
        </w:tabs>
        <w:spacing w:after="26" w:before="96" w:line="220" w:lineRule="auto"/>
        <w:ind w:left="0" w:right="0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12. Приложение: широкая выгрузка ЦИАН для сверки</w:t>
      </w:r>
      <w:r>
        <w:rPr>
          <w:rFonts w:ascii="PT Sans" w:cs="PT Sans" w:eastAsia="PT Sans" w:hAnsi="PT Sans"/>
          <w:color w:val="963F26"/>
          <w:sz w:val="18"/>
          <w:szCs w:val="18"/>
        </w:rPr>
        <w:t xml:space="preserve">	42</w:t>
      </w:r>
    </w:p>
    <w:p>
      <w:r>
        <w:br w:type="page"/>
      </w:r>
    </w:p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1.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Резюме для собственника</w:t>
      </w:r>
    </w:p>
    <w:p>
      <w:pPr>
        <w:spacing w:after="170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Вывод в одном абзаце.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Здание не является проблемой: архитектура современная, продуктовый якорь, аптека, пекарня, ПВЗ и цветочный магазин работают, рейтинг ТЦ 4,4 при 68 оценках, а посетители в отзывах ни разу не жалуются на пустоту. Проблема сосредоточена в лизинговой воронке: помещения продаются по ставкам, не соответствующим этажу, через единственный аффилированный канал, с ошибками в объявлениях, устаревшими материалами и позиционированием, под которое в этой локации нет рынка. Из восьми причин вакансии на управляемые приходится около 67% совокупного веса. Первый пакет мер стоит порядка 350 тыс. ₽ и по нашей модели даёт прирост NPV около 6,0 млн ₽ за три года.</w:t>
      </w:r>
    </w:p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На чём построены выводы о ставках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Расчётная база — выборка из 11 сопоставимых предложений ЦИАН, отобранных вручную и проверенных по карточке. Пять лотов на первом этаже, пять на втором, один на третьем: этого хватает, чтобы посчитать поправку на этаж по самой выборке и увидеть, на какой ставке лоты реально уходят с рынка. Широкая машинная выгрузка по округу приведена как сверка. Агрегаторы в расчёт не вошли; Авито закрыл доступ.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Главное, что это даёт сверх агрегаторов, — дата создания каждого объявления, а значит фактический срок экспозиции. Он показывает не то, сколько собственник хочет получить, а то, соглашается ли с этим рынок.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1.1. Вердикт по ставкам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1700"/>
        <w:gridCol w:w="1750"/>
        <w:gridCol w:w="2350"/>
        <w:gridCol w:w="180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</w:t>
            </w:r>
          </w:p>
        </w:tc>
        <w:tc>
          <w:tcPr>
            <w:tcW w:type="dxa" w:w="1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Текущая ставка</w:t>
            </w:r>
          </w:p>
        </w:tc>
        <w:tc>
          <w:tcPr>
            <w:tcW w:type="dxa" w:w="17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Вердикт</w:t>
            </w:r>
          </w:p>
        </w:tc>
        <w:tc>
          <w:tcPr>
            <w:tcW w:type="dxa" w:w="23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Рекомендуемая ставка</w:t>
            </w:r>
          </w:p>
        </w:tc>
        <w:tc>
          <w:tcPr>
            <w:tcW w:type="dxa" w:w="18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Целевой срок сдачи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— 430,5 м², 2 этаж,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терраса, потолки 3,9 м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499 000 ₽/мес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13 909 ₽/м²/год</w:t>
            </w:r>
          </w:p>
        </w:tc>
        <w:tc>
          <w:tcPr>
            <w:tcW w:type="dxa" w:w="1750"/>
            <w:tcBorders>
              <w:bottom w:val="single" w:color="E4DED4" w:sz="2"/>
            </w:tcBorders>
            <w:shd w:fill="2F4A61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ЗАНИЖЕНА</w:t>
            </w:r>
          </w:p>
        </w:tc>
        <w:tc>
          <w:tcPr>
            <w:tcW w:type="dxa" w:w="23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16 500–18 500 ₽/м²/год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592–664 тыс. ₽/мес</w:t>
            </w:r>
          </w:p>
        </w:tc>
        <w:tc>
          <w:tcPr>
            <w:tcW w:type="dxa" w:w="1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после нарезки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и реконцепции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№2 — 39,6 м², 2 этаж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129 000 ₽/мес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39 091 ₽/м²/год</w:t>
            </w:r>
          </w:p>
        </w:tc>
        <w:tc>
          <w:tcPr>
            <w:tcW w:type="dxa" w:w="1750"/>
            <w:tcBorders>
              <w:bottom w:val="single" w:color="E4DED4" w:sz="2"/>
            </w:tcBorders>
            <w:shd w:fill="8E3A22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ЗАВЫШЕНА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на 61% к медиане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своего этажа</w:t>
            </w:r>
          </w:p>
        </w:tc>
        <w:tc>
          <w:tcPr>
            <w:tcW w:type="dxa" w:w="23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24 000–26 000 ₽/м²/год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79–86 тыс. ₽/мес</w:t>
            </w:r>
          </w:p>
        </w:tc>
        <w:tc>
          <w:tcPr>
            <w:tcW w:type="dxa" w:w="1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3–4 месяца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№3 — 45,3 м², 3 этаж,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«офис»</w:t>
            </w:r>
          </w:p>
        </w:tc>
        <w:tc>
          <w:tcPr>
            <w:tcW w:type="dxa" w:w="1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98 000 ₽/мес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25 960 ₽/м²/год</w:t>
            </w:r>
          </w:p>
        </w:tc>
        <w:tc>
          <w:tcPr>
            <w:tcW w:type="dxa" w:w="1750"/>
            <w:tcBorders>
              <w:bottom w:val="single" w:color="1E1C19" w:sz="10"/>
            </w:tcBorders>
            <w:shd w:fill="C98B62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ЗАВЫШЕНА +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ошибка позиционирования</w:t>
            </w:r>
          </w:p>
        </w:tc>
        <w:tc>
          <w:tcPr>
            <w:tcW w:type="dxa" w:w="23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20 000–23 000 ₽/м²/год</w:t>
            </w:r>
          </w:p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76–87 тыс. ₽/мес</w:t>
            </w:r>
          </w:p>
        </w:tc>
        <w:tc>
          <w:tcPr>
            <w:tcW w:type="dxa" w:w="18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2–3 месяца</w:t>
            </w:r>
          </w:p>
        </w:tc>
      </w:tr>
    </w:tbl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Расчёт: ₽/м²/год = ставка ₽/мес × 12 ÷ площадь. Источник наших ставок — объявления metrplus.com, обновлены 27.07.2026 и 12.08.2026. Рекомендуемые ставки выведены из выборки раздела 3: медиана этажа и уровень, на котором лоты выборки реально уходят с рынка.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1.2. Три главные причины вакансии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23303A"/>
          <w:sz w:val="21"/>
          <w:szCs w:val="21"/>
        </w:rPr>
        <w:t xml:space="preserve">1. Ставка №2 и №3 не привязана к этажу (вклад ≈22%).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Медиана пяти малых блоков второго этажа в выборке — 24 286 ₽/м²/год. Мы просим 39 091: на 61% больше и дороже каждого из пяти. Причём три лота по 24 000–24 286 уходят за два-четыре месяца, а два по 30 000 стоят 1160 и 1489 дней — граница между «сдаётся» и «стоит годами» проходит ровно там. По №3 единственное наблюдение третьего этажа — 23 333 ₽/м²/год при 343 днях экспозиции, мы просим 25 960. При этом в собственной презентации 2023 года владелец оценивал 2-й этаж в 2 000 ₽/м²/мес, а сегодня просит за малый блок того же этажа 3 258 ₽/м²/мес.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23303A"/>
          <w:sz w:val="21"/>
          <w:szCs w:val="21"/>
        </w:rPr>
        <w:t xml:space="preserve">2. Единственный канал продаж и ошибки в объявлениях (вклад ≈18%).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Полный скан карты сайта дал ровно четыре объявления, все — на metrplus.com, аффилированном с собственником. Прямая выгрузка ЦИАН подтверждает: среди 277 объявлений коммерческой аренды всего округа нет ни одного по улице Ленина, 28. При этом соседний корпус того же собственника — ул. Ленина, 26, ТЦ «Амбар-2» — на ЦИАН размещён. Канал существует и работает, но 515 вакантных метров Корпуса I в него не заведены. Вдобавок в объявлениях не указаны НДС, OPEX и коммунальные платежи, а кадастровый номер в двух из них — от соседнего здания.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23303A"/>
          <w:sz w:val="21"/>
          <w:szCs w:val="21"/>
        </w:rPr>
        <w:t xml:space="preserve">3. Позиционирование, под которое нет рынка (вклад ≈15%).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Помещение №3 продаётся как «офис на первой линии», тогда как офисного рынка в Ильинском не существует: единственное офисное предложение в селе стоит в экспозиции 1486 дней, а малых блоков выше второго этажа в коридоре нет ни одного. Помещение №2 названо «торговой площадью», хотя это внутренняя комната без витрины. Помещение №1 предлагается «под офис, коворкинг, спортивную или танцевальную студию» — четыре разных продукта в одном тексте.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1.3. Топ-5 арендаторов для первого обзвона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0"/>
        <w:gridCol w:w="2100"/>
        <w:gridCol w:w="1600"/>
        <w:gridCol w:w="5886"/>
      </w:tblGrid>
      <w:tr>
        <w:trPr>
          <w:tblHeader/>
        </w:trPr>
        <w:tc>
          <w:tcPr>
            <w:tcW w:type="dxa" w:w="5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center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№</w:t>
            </w:r>
          </w:p>
        </w:tc>
        <w:tc>
          <w:tcPr>
            <w:tcW w:type="dxa" w:w="2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Компания</w:t>
            </w:r>
          </w:p>
        </w:tc>
        <w:tc>
          <w:tcPr>
            <w:tcW w:type="dxa" w:w="1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</w:t>
            </w:r>
          </w:p>
        </w:tc>
        <w:tc>
          <w:tcPr>
            <w:tcW w:type="dxa" w:w="588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Почему именно они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Бэби-клуб / Бэби-сад</w:t>
            </w:r>
          </w:p>
        </w:tc>
        <w:tc>
          <w:tcPr>
            <w:tcW w:type="dxa" w:w="1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целиком</w:t>
            </w:r>
          </w:p>
        </w:tc>
        <w:tc>
          <w:tcPr>
            <w:tcW w:type="dxa" w:w="58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160 клубов и садов, формат «Бэби-сад» от 140 м². Терраса — прогулочная зона, которую в обычном ТЦ сделать негде. Субсидия МО 14 500 ₽/мес на ребёнка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SoloSalon</w:t>
            </w:r>
          </w:p>
        </w:tc>
        <w:tc>
          <w:tcPr>
            <w:tcW w:type="dxa" w:w="1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целиком</w:t>
            </w:r>
          </w:p>
        </w:tc>
        <w:tc>
          <w:tcPr>
            <w:tcW w:type="dxa" w:w="58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50 адресов, открытие на Аминьевской в сентябре 2026. 430 м² = 15–20 рабочих мест. Бьюти-спрос на этом адресе уже доказан пятью операторами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4hands</w:t>
            </w:r>
          </w:p>
        </w:tc>
        <w:tc>
          <w:tcPr>
            <w:tcW w:type="dxa" w:w="1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№2 (39,6 м²)</w:t>
            </w:r>
          </w:p>
        </w:tc>
        <w:tc>
          <w:tcPr>
            <w:tcW w:type="dxa" w:w="58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221 точка. Их регламент: 30–100 м², ТЦ либо жилой дом, мокрая точка, от 15 кВт — совпадение по всем пунктам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Art of Pilates</w:t>
            </w:r>
          </w:p>
        </w:tc>
        <w:tc>
          <w:tcPr>
            <w:tcW w:type="dxa" w:w="1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№1, блок 150 м²</w:t>
            </w:r>
          </w:p>
        </w:tc>
        <w:tc>
          <w:tcPr>
            <w:tcW w:type="dxa" w:w="58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Формат 100–150 м² и от 150 м². Потолки 3,9 м — их прямое требование под реформеры. Посещение по записи не перегружает 42 парковки</w:t>
            </w:r>
          </w:p>
        </w:tc>
      </w:tr>
      <w:tr>
        <w:trPr>
          <w:cantSplit/>
        </w:trPr>
        <w:tc>
          <w:tcPr>
            <w:tcW w:type="dxa" w:w="5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Laser Love</w:t>
            </w:r>
          </w:p>
        </w:tc>
        <w:tc>
          <w:tcPr>
            <w:tcW w:type="dxa" w:w="1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№3 (45,3 м²)</w:t>
            </w:r>
          </w:p>
        </w:tc>
        <w:tc>
          <w:tcPr>
            <w:tcW w:type="dxa" w:w="588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237 студий; опубликованная 13.03.2026 стратегия — плюс 10 клиник в Москве в 2026. №3 уже имеет отделку бьюти-студии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1.4. Пять действий на ближайшие 90 дней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0"/>
        <w:gridCol w:w="1250"/>
        <w:gridCol w:w="1500"/>
        <w:gridCol w:w="2656"/>
      </w:tblGrid>
      <w:tr>
        <w:trPr>
          <w:tblHeader/>
        </w:trPr>
        <w:tc>
          <w:tcPr>
            <w:tcW w:type="dxa" w:w="4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12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Срок</w:t>
            </w:r>
          </w:p>
        </w:tc>
        <w:tc>
          <w:tcPr>
            <w:tcW w:type="dxa" w:w="1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Стоимость</w:t>
            </w:r>
          </w:p>
        </w:tc>
        <w:tc>
          <w:tcPr>
            <w:tcW w:type="dxa" w:w="265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Ожидаемый эффект</w:t>
            </w:r>
          </w:p>
        </w:tc>
      </w:tr>
      <w:tr>
        <w:trPr>
          <w:cantSplit/>
        </w:trPr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Пересчитать ставки: №2 до 79–86 тыс. ₽/мес, №3 до 76–87 тыс. ₽/мес; опубликовать НДС, OPEX, коммунальные, каникулы и индексацию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 дней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0 ₽</w:t>
            </w:r>
          </w:p>
        </w:tc>
        <w:tc>
          <w:tcPr>
            <w:tcW w:type="dxa" w:w="265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Снимает 22% веса причин; делает объект считаемым для сетей</w:t>
            </w:r>
          </w:p>
        </w:tc>
      </w:tr>
      <w:tr>
        <w:trPr>
          <w:cantSplit/>
        </w:trPr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Переупаковать №3 из «офиса» в готовую бьюти-/медицинскую студию, №2 — в «услуги», убрать упоминание ПВЗ Wildberries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14 дней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~50 тыс. ₽</w:t>
            </w:r>
          </w:p>
        </w:tc>
        <w:tc>
          <w:tcPr>
            <w:tcW w:type="dxa" w:w="265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Снимает 15% веса; прекращает поток заведомо отказных обращений</w:t>
            </w:r>
          </w:p>
        </w:tc>
      </w:tr>
      <w:tr>
        <w:trPr>
          <w:cantSplit/>
        </w:trPr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Завести все три помещения на ЦИАН — туда, где уже размещён Корпус II, — плюс Авито и Яндекс.Недвижимость; заказать профессиональную съёмку с планировками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30 дней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~300 тыс. ₽</w:t>
            </w:r>
          </w:p>
        </w:tc>
        <w:tc>
          <w:tcPr>
            <w:tcW w:type="dxa" w:w="265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Снимает 18% веса; объект впервые появляется там, где его ищут</w:t>
            </w:r>
          </w:p>
        </w:tc>
      </w:tr>
      <w:tr>
        <w:trPr>
          <w:cantSplit/>
        </w:trPr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Проверить кадастровый номер выпиской ЕГРН; устранить риск по лестнице (антискользящее покрытие, поручни, маркировка)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45 дней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~350 тыс. ₽</w:t>
            </w:r>
          </w:p>
        </w:tc>
        <w:tc>
          <w:tcPr>
            <w:tcW w:type="dxa" w:w="265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Убирает юридический блокер сделки и главную претензию в отзывах</w:t>
            </w:r>
          </w:p>
        </w:tc>
      </w:tr>
      <w:tr>
        <w:trPr>
          <w:cantSplit/>
        </w:trPr>
        <w:tc>
          <w:tcPr>
            <w:tcW w:type="dxa" w:w="4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Начать адресный обзвон по тир-листу: 26 компаний уровня S и A</w:t>
            </w:r>
          </w:p>
        </w:tc>
        <w:tc>
          <w:tcPr>
            <w:tcW w:type="dxa" w:w="12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90 дней</w:t>
            </w:r>
          </w:p>
        </w:tc>
        <w:tc>
          <w:tcPr>
            <w:tcW w:type="dxa" w:w="1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время брокера</w:t>
            </w:r>
          </w:p>
        </w:tc>
        <w:tc>
          <w:tcPr>
            <w:tcW w:type="dxa" w:w="265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Воронка вместо ожидания входящих</w:t>
            </w:r>
          </w:p>
        </w:tc>
      </w:tr>
    </w:tbl>
    <w:tbl>
      <w:tblPr>
        <w:tblW w:type="dxa" w:w="10106"/>
        <w:tblInd w:type="dxa" w:w="0"/>
        <w:tblBorders>
          <w:top w:val="single" w:color="2F4A61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F4A61"/>
                <w:spacing w:val="16"/>
                <w:sz w:val="17"/>
                <w:szCs w:val="17"/>
              </w:rPr>
              <w:t xml:space="preserve">Что это даёт в деньгах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Сценарий «оставить как есть» даёт NPV минус 0,34 млн ₽ за три года: эксплуатация вакантных площадей стоит дороже, чем приносит поздняя сдача одного помещения.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Сценарий «коррекция цены и упаковки» при затратах 350 тыс. ₽ даёт NPV 5,69 млн ₽ — прирост 6,03 млн ₽.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Лучший по NPV сценарий — якорь на льготной ставке в помещении №1: 8,62 млн ₽ при CAPEX 3,35 млн ₽.</w:t>
            </w:r>
          </w:p>
        </w:tc>
      </w:tr>
    </w:tbl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2.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Паспорт помещений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Все три помещения расположены в Корпусе I комплекса «Амбар» по адресу ул. Ленина, 28. Комплекс состоит из двух зданий: Корпус I (2 191,5 м², наш объект) и Корпус II — ТЦ «Амбар-2», ул. Ленина, 26 (1 414 м²), открытый в 2026 году. Общая площадь комплекса — 3 615,5 м², электрическая мощность 670 кВт, охрана и видеонаблюдение 24/7.</w:t>
      </w:r>
    </w:p>
    <w:p>
      <w:pPr>
        <w:spacing w:after="30" w:before="100"/>
        <w:jc w:val="center"/>
      </w:pPr>
      <w:r>
        <w:drawing>
          <wp:inline distT="0" distB="0" distL="0" distR="0">
            <wp:extent cx="60960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4DED4" w:sz="2" w:space="6"/>
        </w:pBdr>
        <w:spacing w:after="17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Фасад ТЦ «Амбар-1». Читаются вывески: «Бьюти Сфера», OZON, «Пятёрочка», «Аптека 36,6», кафе-пекарня «Хлебная почта», цветы «Ирис». Вывески «Бьюти Сферы» и OZON размещены на уровне 2-го этажа — прецедент фасадной вывески для верхних этажей существует.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2.1. Сводная таблица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6"/>
        <w:gridCol w:w="2600"/>
        <w:gridCol w:w="2600"/>
        <w:gridCol w:w="2600"/>
      </w:tblGrid>
      <w:tr>
        <w:trPr>
          <w:tblHeader/>
        </w:trPr>
        <w:tc>
          <w:tcPr>
            <w:tcW w:type="dxa" w:w="23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Параметр</w:t>
            </w:r>
          </w:p>
        </w:tc>
        <w:tc>
          <w:tcPr>
            <w:tcW w:type="dxa" w:w="2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 №1</w:t>
            </w:r>
          </w:p>
        </w:tc>
        <w:tc>
          <w:tcPr>
            <w:tcW w:type="dxa" w:w="2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 №2</w:t>
            </w:r>
          </w:p>
        </w:tc>
        <w:tc>
          <w:tcPr>
            <w:tcW w:type="dxa" w:w="2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 №3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Название в объявлении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Торговая площадь с террасой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Торговая площадь 39,6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Офис на первой линии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Площадь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430,5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39,6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45,3 м²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Этаж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Высота потолков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3,9 м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3,9 м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 указана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Ставка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499 000 ₽/мес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129 000 ₽/мес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98 000 ₽/мес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₽/м²/год (расчёт)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13 909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7"/>
                <w:szCs w:val="17"/>
              </w:rPr>
              <w:t xml:space="preserve">39 091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8A5A2E"/>
                <w:sz w:val="17"/>
                <w:szCs w:val="17"/>
              </w:rPr>
              <w:t xml:space="preserve">25 960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Терраса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Да, не благоустроена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Мокрая точка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 (санузел 6,7 м²)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Витрина / фасадное остекление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Нет, одно арочное окно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Нет, но хорошая линия окон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Состояние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Разнородное: от банкетной отделки до OSB-шелла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Свежий ремонт, нейтральный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Отделка бьюти-студии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Делимость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Да, заявлена в объявлении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Состав по плану БТИ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12 помещений: 131,7 + 61,0 + 49,7 + 36,1 + 31,9 + 28,4 + 26,3 + 19,9 + 19,0 + 16,1 + 12,2 + 7,7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Помещение №20 на плане 2-го этажа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Помещения 10 (25,4) + 12 (13,2) + 11 (6,7) м²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Обновлено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27.07.2026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27.07.2026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12.08.2026</w:t>
            </w:r>
          </w:p>
        </w:tc>
      </w:tr>
      <w:tr>
        <w:trPr>
          <w:cantSplit/>
        </w:trPr>
        <w:tc>
          <w:tcPr>
            <w:tcW w:type="dxa" w:w="23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Объявление</w:t>
            </w:r>
          </w:p>
        </w:tc>
        <w:tc>
          <w:tcPr>
            <w:tcW w:type="dxa" w:w="2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uyb_fvsomjiwvnt6d-4jv">
              <w:r>
                <w:rPr>
                  <w:rFonts w:ascii="PT Sans" w:cs="PT Sans" w:eastAsia="PT Sans" w:hAnsi="PT Sans"/>
                  <w:color w:val="30536F"/>
                  <w:sz w:val="17"/>
                  <w:szCs w:val="17"/>
                  <w:u w:val="single"/>
                </w:rPr>
                <w:t xml:space="preserve">Открыть карточку</w:t>
              </w:r>
            </w:hyperlink>
          </w:p>
        </w:tc>
        <w:tc>
          <w:tcPr>
            <w:tcW w:type="dxa" w:w="2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tvutnew3rrracapxlarkz">
              <w:r>
                <w:rPr>
                  <w:rFonts w:ascii="PT Sans" w:cs="PT Sans" w:eastAsia="PT Sans" w:hAnsi="PT Sans"/>
                  <w:color w:val="30536F"/>
                  <w:sz w:val="17"/>
                  <w:szCs w:val="17"/>
                  <w:u w:val="single"/>
                </w:rPr>
                <w:t xml:space="preserve">Открыть карточку</w:t>
              </w:r>
            </w:hyperlink>
          </w:p>
        </w:tc>
        <w:tc>
          <w:tcPr>
            <w:tcW w:type="dxa" w:w="2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zy8kjtnqyyaetsdlv6q4y">
              <w:r>
                <w:rPr>
                  <w:rFonts w:ascii="PT Sans" w:cs="PT Sans" w:eastAsia="PT Sans" w:hAnsi="PT Sans"/>
                  <w:color w:val="30536F"/>
                  <w:sz w:val="17"/>
                  <w:szCs w:val="17"/>
                  <w:u w:val="single"/>
                </w:rPr>
                <w:t xml:space="preserve">Открыть карточку</w:t>
              </w:r>
            </w:hyperlink>
          </w:p>
        </w:tc>
      </w:tr>
    </w:tbl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Адреса карточек полностью — в разделах 2.3–2.5. Корпус II, ТЦ «Амбар-2», ул. Ленина, 26: metrplus.com/commercial-projects/commercial-projects-rent/arenda-pomeshcheniy-v-torgovom-tsentre-ambar-2. Страница комплекса: metrplus.com/commercial-projects/nashi-obyekty/torgovyy-tsentr-v-ilinskom.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2.2. Что показывает генплан участка</w:t>
      </w:r>
    </w:p>
    <w:p>
      <w:pPr>
        <w:spacing w:after="30" w:before="100"/>
        <w:jc w:val="center"/>
      </w:pPr>
      <w:r>
        <w:drawing>
          <wp:inline distT="0" distB="0" distL="0" distR="0">
            <wp:extent cx="4000500" cy="490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4DED4" w:sz="2" w:space="6"/>
        </w:pBdr>
        <w:spacing w:after="17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Схема участка из материалов объявления. Корпус I (ул. Ленина, 28) — западное здание; Корпус II (ул. Ленина, 26) — восточное, ближе к дороге. Парковка пронумерована с 1 по 42.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Вывод: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формулировка «на первой линии Ильинского шоссе» требует оговорки. Корпус I отделён от шоссе парковочным полем, а с восточной стороны фронт частично занимает Корпус II. Первая линия — у комплекса в целом, но вход в наше здание ведёт из внутреннего двора-парковки. Кроме того, 42 парковочных места — это парковка всего комплекса из двух корпусов, а в объявлениях она подаётся как ресурс одного помещения.</w:t>
      </w:r>
    </w:p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Расхождение по числу парковочных мест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Презентация собственника (июнь 2023) и схема участка: 57 мест. Объявления 2026 года: 42 места. Карточка здания на ЦИАН: 12 мест. Разброс — 4,75 раза.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Для локации, где пешеходный трафик отсутствует, а прямой конкурент располагает 120 местами, это параметр первого порядка. Требует замера на объекте.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2.3. Помещение №1 — 430,5 м², 2 этаж, терраса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Объявление: </w:t>
      </w:r>
      <w:hyperlink w:history="1" r:id="rIdjjay-bhbgvomzzr88nolj">
        <w:r>
          <w:rPr>
            <w:rFonts w:ascii="PT Sans" w:cs="PT Sans" w:eastAsia="PT Sans" w:hAnsi="PT Sans"/>
            <w:color w:val="30536F"/>
            <w:sz w:val="21"/>
            <w:szCs w:val="21"/>
            <w:u w:val="single"/>
          </w:rPr>
          <w:t xml:space="preserve">metrplus.com/commercial-projects/commercial-projects-rent/torgovaya-ploshchad-s-terrasoy-tts-ambar-1</w:t>
        </w:r>
      </w:hyperlink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8"/>
        <w:gridCol w:w="3368"/>
        <w:gridCol w:w="3368"/>
      </w:tblGrid>
      <w:tr>
        <w:tc>
          <w:tcPr>
            <w:tcW w:type="dxa" w:w="3368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2882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8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2882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8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2882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E4DED4" w:sz="2" w:space="6"/>
        </w:pBdr>
        <w:spacing w:after="170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Слева направо: терраса; зал с глянцевым керамогранитом, аркой и люстрами; зал с обшивкой OSB и открытым чёрным потолком. Три фотографии одного лота.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Оценка.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Внутри 430,5 м² собраны разнородные залы. Часть отделана в стилистике банкетного зала середины 2000-х — глянцевый тёмно-бордовый керамогранит, арочные проёмы, кирпичная кладка, люстры, деревянные балки. Другая часть представляет собой шелл с обшивкой OSB, серым ламинатом и открытыми коммуникациями. Формулировка объявления «с современным ремонтом» справедлива лишь для части площади.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Свет: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неравномерный. Банкетные залы тёмные, зал с OSB имеет небольшие окна.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Терраса: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большая, с видом на поля, но это бетонная площадка на плитке — без навеса, озеленения, мебели, освещения и ветрозащиты. Сегодня это бетонная площадка; чтобы она работала как веранда, нужны вложения.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Главная проблема: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смешение банкетного глянца и шелла отпугивает сразу несколько типов арендаторов — каждый видит чужой недоамортизированный ремонт, который придётся демонтировать за свой счёт.</w:t>
      </w:r>
    </w:p>
    <w:p>
      <w:pPr>
        <w:spacing w:after="30" w:before="100"/>
        <w:jc w:val="center"/>
      </w:pPr>
      <w:r>
        <w:drawing>
          <wp:inline distT="0" distB="0" distL="0" distR="0">
            <wp:extent cx="3429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4DED4" w:sz="2" w:space="6"/>
        </w:pBdr>
        <w:spacing w:after="17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План 2-го этажа, М 1:200. Красным — предлагаемые 430,5 м². Не выделенное помещение №20 (39,6 м²) — это лот №2, сдаваемый отдельно.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2.4. Помещение №2 — 39,6 м², 2 этаж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Объявление: </w:t>
      </w:r>
      <w:hyperlink w:history="1" r:id="rIdwtcll-obnpncwehnvatu3">
        <w:r>
          <w:rPr>
            <w:rFonts w:ascii="PT Sans" w:cs="PT Sans" w:eastAsia="PT Sans" w:hAnsi="PT Sans"/>
            <w:color w:val="30536F"/>
            <w:sz w:val="21"/>
            <w:szCs w:val="21"/>
            <w:u w:val="single"/>
          </w:rPr>
          <w:t xml:space="preserve">metrplus.com/commercial-projects/commercial-projects-rent/torgovaya-ploshchad-39-6-m-tts-ambar-1</w:t>
        </w:r>
      </w:hyperlink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3"/>
        <w:gridCol w:w="5053"/>
      </w:tblGrid>
      <w:tr>
        <w:tc>
          <w:tcPr>
            <w:tcW w:type="dxa" w:w="5053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2019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3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857500" cy="431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E4DED4" w:sz="2" w:space="6"/>
        </w:pBdr>
        <w:spacing w:after="170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Слева — интерьер помещения; справа — его положение на плане 2-го этажа (выделено красным).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Оценка.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Ремонт свежий и аккуратный: белые стены, светлый ламинат, точечные светильники. Но по плану помещение находится в середине этажа, вдали от торца, и имеет одно небольшое арочное окно. Витрины и фасадного остекления нет. Это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кабинетная, а не торговая типология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. Название «торговая площадь» — фактическая ошибка: покупательского обзора нет, импульсной покупки быть не может. Для арендатора, ищущего торговлю, объект не подходит; для арендатора, ищущего кабинет под услуги, он не находится, потому что описан как торговый.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2.5. Помещение №3 — 45,3 м², 3 этаж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Объявление: </w:t>
      </w:r>
      <w:hyperlink w:history="1" r:id="rId6tdsmq0h6nqjttljiznd8">
        <w:r>
          <w:rPr>
            <w:rFonts w:ascii="PT Sans" w:cs="PT Sans" w:eastAsia="PT Sans" w:hAnsi="PT Sans"/>
            <w:color w:val="30536F"/>
            <w:sz w:val="21"/>
            <w:szCs w:val="21"/>
            <w:u w:val="single"/>
          </w:rPr>
          <w:t xml:space="preserve">metrplus.com/commercial-projects/commercial-projects-rent/ofis-na-pervoy-linii-bts-ambar</w:t>
        </w:r>
      </w:hyperlink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68"/>
        <w:gridCol w:w="3368"/>
        <w:gridCol w:w="3368"/>
      </w:tblGrid>
      <w:tr>
        <w:tc>
          <w:tcPr>
            <w:tcW w:type="dxa" w:w="3368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2882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8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2882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68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28825" cy="2705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E4DED4" w:sz="2" w:space="6"/>
        </w:pBdr>
        <w:spacing w:after="170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Слева направо: интерьер с ресепшн-стойкой, креслами и зеркалами; комната с линией из пяти окон; общий коридор 3-го этажа с креслами ожидания.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Оценка.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Объявление продаёт «просторный светлый офис», а фотографии показывают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оборудованный бьюти-салон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: ресепшн, парикмахерские кресла, зеркала, стеллаж с продукцией, постеры с причёсками. Потенциальный арендатор не понимает, что именно сдаётся — пустые кабинеты, работающий салон или доля в нём.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23303A"/>
          <w:sz w:val="21"/>
          <w:szCs w:val="21"/>
        </w:rPr>
        <w:t xml:space="preserve">Что удалось выяснить по этому лоту.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По данным Яндекс.Карт, на 3-м этаже здания прекратили работу две бьюти-студии: «Студия красоты by Кулинич» (27 оценок) и «Студия тела Андросовой М.» (59 оценок, 57 отзывов, рейтинг 5,0). С высокой вероятностью помещение №3 — это площадь одной из них, сдаваемая «как есть». То есть объект представляет собой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готовую бьюти-студию под ключ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с отделкой, зонированием и мокрой точкой, — которую продают как офис в локации, где офисного рынка не существует. Это самая быстрая из возможных побед: смена текста объявления и фотографий без единого рубля вложений в ремонт.</w:t>
      </w:r>
    </w:p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Оценка. Прямого подтверждения, что на фотографиях именно сдаваемый блок, получить не удалось; требует сверки с собственником.</w:t>
      </w:r>
    </w:p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3.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Бенчмарк арендных ставок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Бенчмарк построен на выборке из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11 предложений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, отобранных собственником вручную и проверенных по карточке ЦИАН. Это не результат автоматического поиска: каждый лот выбран как сопоставимый по месту, типу помещения и формату аренды. Широкая машинная выгрузка по округу тоже делалась и приводится ниже как сверка, но расчётной базой служит именно эта выборка.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Как считается ставка.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У ЦИАН в коммерческой аренде цена в карточке бывает трёх видов: сумма за месяц, ставка за м² в месяц и ставка за м² в год. Без этого различия выборка читается неверно: «2 500» в карточке лота на улице Ленина — это не 2 500 ₽ за помещение, а 2 500 ₽ за метр в месяц, то есть 30 000 ₽/м²/год. Тип цены взят из поля карточки для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10 лотов из 11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; у одного поле не заполнено, и цена прочитана как сумма за месяц — в таблице он помечен звёздочкой. Все ставки — запрашиваемые, без эксплуатационных платежей.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3.1. Выборка: одиннадцать сопоставимых предложений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60"/>
        <w:gridCol w:w="620"/>
        <w:gridCol w:w="700"/>
        <w:gridCol w:w="1100"/>
        <w:gridCol w:w="1120"/>
        <w:gridCol w:w="1240"/>
        <w:gridCol w:w="2566"/>
      </w:tblGrid>
      <w:tr>
        <w:trPr>
          <w:tblHeader/>
        </w:trPr>
        <w:tc>
          <w:tcPr>
            <w:tcW w:type="dxa" w:w="276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124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 в экспозиции</w:t>
            </w:r>
          </w:p>
        </w:tc>
        <w:tc>
          <w:tcPr>
            <w:tcW w:type="dxa" w:w="256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Центральная 83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30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75 000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30 000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5"/>
                <w:szCs w:val="15"/>
              </w:rPr>
              <w:t xml:space="preserve">1 320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cy5bvbyh8zsr9k9k81wai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283508170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Ленина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175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525 000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36 000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70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ju18rwvy2xwow78ezw17r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331957732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с. Ильинское, адрес в карточке не указан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80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245 000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36 750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133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zmhbt0divjwvoqlxx9fe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329868661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Ленина 10с1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80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245 000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36 750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10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u-bc9_qlkg-cvkxy8esgy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333822157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Ленина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42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147 000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42 000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188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fzmwnsm916pstichxjwi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327894962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Ильинское-Усово, дом 9 этажей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44 000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24 000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137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yzbrtmfyzrrwnrp0mo5jp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329788014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Ильинское-Усово, дом 9 этажей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58 000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24 000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137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57waaazwdipndlibziabi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329788329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Ленина 30с1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33,6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68 000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24 286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26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gfgm1blwhre1812zh5q4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333311589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с. Ильинское, офисный центр «Ильинский»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40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100 000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30 000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5"/>
                <w:szCs w:val="15"/>
              </w:rPr>
              <w:t xml:space="preserve">1 489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olxrg5_6e1n1gjfsckp2f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277458208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Ленина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2/3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38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95 000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30 000</w:t>
            </w:r>
          </w:p>
        </w:tc>
        <w:tc>
          <w:tcPr>
            <w:tcW w:type="dxa" w:w="124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5"/>
                <w:szCs w:val="15"/>
              </w:rPr>
              <w:t xml:space="preserve">1 160</w:t>
            </w:r>
          </w:p>
        </w:tc>
        <w:tc>
          <w:tcPr>
            <w:tcW w:type="dxa" w:w="256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zdrpxjctxlvvc-hsi6poj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290241753</w:t>
              </w:r>
            </w:hyperlink>
          </w:p>
        </w:tc>
      </w:tr>
      <w:tr>
        <w:trPr>
          <w:cantSplit/>
        </w:trPr>
        <w:tc>
          <w:tcPr>
            <w:tcW w:type="dxa" w:w="276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Рублево-Успенское 17 *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3/3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180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5"/>
                <w:szCs w:val="15"/>
              </w:rPr>
              <w:t xml:space="preserve">350 000</w:t>
            </w:r>
          </w:p>
        </w:tc>
        <w:tc>
          <w:tcPr>
            <w:tcW w:type="dxa" w:w="11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5"/>
                <w:szCs w:val="15"/>
              </w:rPr>
              <w:t xml:space="preserve">23 333</w:t>
            </w:r>
          </w:p>
        </w:tc>
        <w:tc>
          <w:tcPr>
            <w:tcW w:type="dxa" w:w="124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5"/>
                <w:szCs w:val="15"/>
              </w:rPr>
              <w:t xml:space="preserve">343</w:t>
            </w:r>
          </w:p>
        </w:tc>
        <w:tc>
          <w:tcPr>
            <w:tcW w:type="dxa" w:w="256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cqmxtpzud4fau1bhkhcxn">
              <w:r>
                <w:rPr>
                  <w:rFonts w:ascii="PT Sans" w:cs="PT Sans" w:eastAsia="PT Sans" w:hAnsi="PT Sans"/>
                  <w:color w:val="30536F"/>
                  <w:sz w:val="15"/>
                  <w:szCs w:val="15"/>
                  <w:u w:val="single"/>
                </w:rPr>
                <w:t xml:space="preserve">ЦИАН 322849091</w:t>
              </w:r>
            </w:hyperlink>
          </w:p>
        </w:tc>
      </w:tr>
    </w:tbl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Срок экспозиции считается от даты создания объявления на ЦИАН по состоянию на 21 сентября 2026 года. При повторной публикации дата обнуляется, поэтому сроки в 1160 и 1489 дней — нижняя оценка. Адрес приведён так, как его отдаёт карточка; у четырёх лотов поле адреса не заполнено, для них указаны населённый пункт и узнаваемый признак объекта.</w:t>
      </w:r>
    </w:p>
    <w:p>
      <w:pPr>
        <w:spacing w:after="140" w:before="100"/>
        <w:jc w:val="center"/>
      </w:pPr>
      <w:r>
        <w:drawing>
          <wp:inline distT="0" distB="0" distL="0" distR="0">
            <wp:extent cx="61912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Наши три помещения в тех же единицах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60"/>
        <w:gridCol w:w="620"/>
        <w:gridCol w:w="700"/>
        <w:gridCol w:w="1100"/>
        <w:gridCol w:w="1120"/>
        <w:gridCol w:w="3806"/>
      </w:tblGrid>
      <w:tr>
        <w:trPr>
          <w:tblHeader/>
        </w:trPr>
        <w:tc>
          <w:tcPr>
            <w:tcW w:type="dxa" w:w="276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Помещение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м²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₽/мес</w:t>
            </w:r>
          </w:p>
        </w:tc>
        <w:tc>
          <w:tcPr>
            <w:tcW w:type="dxa" w:w="11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₽/м²/год</w:t>
            </w:r>
          </w:p>
        </w:tc>
        <w:tc>
          <w:tcPr>
            <w:tcW w:type="dxa" w:w="38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Сколько вакантно</w:t>
            </w:r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hyperlink w:history="1" r:id="rIdxvlzqima4kyfvxsepq--v">
              <w:r>
                <w:rPr>
                  <w:rFonts w:ascii="PT Sans" w:cs="PT Sans" w:eastAsia="PT Sans" w:hAnsi="PT Sans"/>
                  <w:color w:val="30536F"/>
                  <w:sz w:val="17"/>
                  <w:szCs w:val="17"/>
                  <w:u w:val="single"/>
                </w:rPr>
                <w:t xml:space="preserve">№1 — торговая площадь с террасой</w:t>
              </w:r>
            </w:hyperlink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2/3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430,5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499 000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13 909</w:t>
            </w:r>
          </w:p>
        </w:tc>
        <w:tc>
          <w:tcPr>
            <w:tcW w:type="dxa" w:w="3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около трёх лет</w:t>
            </w:r>
          </w:p>
        </w:tc>
      </w:tr>
      <w:tr>
        <w:trPr>
          <w:cantSplit/>
        </w:trPr>
        <w:tc>
          <w:tcPr>
            <w:tcW w:type="dxa" w:w="276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hyperlink w:history="1" r:id="rIdvl_4wj-ldebbkmn-prgeu">
              <w:r>
                <w:rPr>
                  <w:rFonts w:ascii="PT Sans" w:cs="PT Sans" w:eastAsia="PT Sans" w:hAnsi="PT Sans"/>
                  <w:color w:val="30536F"/>
                  <w:sz w:val="17"/>
                  <w:szCs w:val="17"/>
                  <w:u w:val="single"/>
                </w:rPr>
                <w:t xml:space="preserve">№2 — торговая площадь 39,6 м²</w:t>
              </w:r>
            </w:hyperlink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2/3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39,6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129 000</w:t>
            </w:r>
          </w:p>
        </w:tc>
        <w:tc>
          <w:tcPr>
            <w:tcW w:type="dxa" w:w="11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39 091</w:t>
            </w:r>
          </w:p>
        </w:tc>
        <w:tc>
          <w:tcPr>
            <w:tcW w:type="dxa" w:w="3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около трёх лет</w:t>
            </w:r>
          </w:p>
        </w:tc>
      </w:tr>
      <w:tr>
        <w:trPr>
          <w:cantSplit/>
        </w:trPr>
        <w:tc>
          <w:tcPr>
            <w:tcW w:type="dxa" w:w="276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r9428207xr65_fa2_of2">
              <w:r>
                <w:rPr>
                  <w:rFonts w:ascii="PT Sans" w:cs="PT Sans" w:eastAsia="PT Sans" w:hAnsi="PT Sans"/>
                  <w:color w:val="30536F"/>
                  <w:sz w:val="17"/>
                  <w:szCs w:val="17"/>
                  <w:u w:val="single"/>
                </w:rPr>
                <w:t xml:space="preserve">№3 — «офис на первой линии»</w:t>
              </w:r>
            </w:hyperlink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3/3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45,3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98 000</w:t>
            </w:r>
          </w:p>
        </w:tc>
        <w:tc>
          <w:tcPr>
            <w:tcW w:type="dxa" w:w="11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25 960</w:t>
            </w:r>
          </w:p>
        </w:tc>
        <w:tc>
          <w:tcPr>
            <w:tcW w:type="dxa" w:w="38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около трёх лет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3.2. Что в этой выборке определяет ставку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Выборка распадается по этажам почти поровну: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5 лотов на первом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,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5 на втором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и один на третьем. Это позволяет посчитать поправку на этаж прямо по ней, не обращаясь к отраслевым средним, которых для торговых центров попросту не публикуют.</w:t>
      </w:r>
    </w:p>
    <w:p>
      <w:pPr>
        <w:spacing w:after="140" w:before="10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00"/>
        <w:gridCol w:w="1000"/>
        <w:gridCol w:w="2100"/>
        <w:gridCol w:w="2400"/>
        <w:gridCol w:w="2906"/>
      </w:tblGrid>
      <w:tr>
        <w:trPr>
          <w:tblHeader/>
        </w:trPr>
        <w:tc>
          <w:tcPr>
            <w:tcW w:type="dxa" w:w="1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Этаж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Лотов</w:t>
            </w:r>
          </w:p>
        </w:tc>
        <w:tc>
          <w:tcPr>
            <w:tcW w:type="dxa" w:w="2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Медиана, ₽/м²/год</w:t>
            </w:r>
          </w:p>
        </w:tc>
        <w:tc>
          <w:tcPr>
            <w:tcW w:type="dxa" w:w="2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Диапазон</w:t>
            </w:r>
          </w:p>
        </w:tc>
        <w:tc>
          <w:tcPr>
            <w:tcW w:type="dxa" w:w="29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Медиана экспозиции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1-й этаж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36 750</w:t>
            </w:r>
          </w:p>
        </w:tc>
        <w:tc>
          <w:tcPr>
            <w:tcW w:type="dxa" w:w="2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30 000 – 42 000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133 дней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2-й этаж</w:t>
            </w:r>
          </w:p>
        </w:tc>
        <w:tc>
          <w:tcPr>
            <w:tcW w:type="dxa" w:w="1000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24 286</w:t>
            </w:r>
          </w:p>
        </w:tc>
        <w:tc>
          <w:tcPr>
            <w:tcW w:type="dxa" w:w="2400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24 000 – 30 000</w:t>
            </w:r>
          </w:p>
        </w:tc>
        <w:tc>
          <w:tcPr>
            <w:tcW w:type="dxa" w:w="2906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137 дней</w:t>
            </w:r>
          </w:p>
        </w:tc>
      </w:tr>
      <w:tr>
        <w:trPr>
          <w:cantSplit/>
        </w:trPr>
        <w:tc>
          <w:tcPr>
            <w:tcW w:type="dxa" w:w="1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3-й этаж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23 333</w:t>
            </w:r>
          </w:p>
        </w:tc>
        <w:tc>
          <w:tcPr>
            <w:tcW w:type="dxa" w:w="2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29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343 дня</w:t>
            </w:r>
          </w:p>
        </w:tc>
      </w:tr>
    </w:tbl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Рабочая поправка на этаж: 0,66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Медиана второго этажа относится к медиане первого как 0,66: 24 286 против 36 750 ₽/м²/год. Второй этаж в этой локации стоит две трети первого, и диапазоны этажей соприкасаются ровно в одной точке — 30 000 ₽/м²/год. Это одновременно самый дешёвый лот первого этажа и самый дорогой лот второго.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Цифра подтверждается независимо. Машинная выгрузка по всему городскому округу Красногорск (254 лота) даёт отношение медиан 0,70, а по блокам 200–800 м² внутри изучаемой зоны — 0,64. Три разные выборки сходятся в коридоре 0,64–0,70, поэтому коэффициент можно предъявлять в переговорах как факт, а не как оценку.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Третий этаж.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Прямое наблюдение в выборке одно: </w:t>
      </w:r>
      <w:hyperlink w:history="1" r:id="rIdted57k4o6_gbgsdtnybix">
        <w:r>
          <w:rPr>
            <w:rFonts w:ascii="PT Sans" w:cs="PT Sans" w:eastAsia="PT Sans" w:hAnsi="PT Sans"/>
            <w:color w:val="30536F"/>
            <w:sz w:val="18"/>
            <w:szCs w:val="18"/>
            <w:u w:val="single"/>
          </w:rPr>
          <w:t xml:space="preserve">zvenigorod.cian.ru/rent/commercial/322849091</w:t>
        </w:r>
      </w:hyperlink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180 м² на третьем этаже в Горках-2, 23 333 ₽/м²/год. Это на 4% ниже медианы второго этажа, и лот находится в экспозиции 343 дня. То есть третий этаж торгуется чуть ниже второго и ждёт заметно дольше.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3.3. Где рынок действительно закрывается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Запрашиваемая ставка показывает, чего хочет собственник. Срок экспозиции показывает, согласен ли с этим рынок. На втором этаже выборка делится по этой границе предельно чётко.</w:t>
      </w:r>
    </w:p>
    <w:p>
      <w:pPr>
        <w:spacing w:after="140" w:before="100"/>
        <w:jc w:val="center"/>
      </w:pPr>
      <w:r>
        <w:drawing>
          <wp:inline distT="0" distB="0" distL="0" distR="0">
            <wp:extent cx="6096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00"/>
        <w:gridCol w:w="900"/>
        <w:gridCol w:w="2400"/>
        <w:gridCol w:w="3606"/>
      </w:tblGrid>
      <w:tr>
        <w:trPr>
          <w:tblHeader/>
        </w:trPr>
        <w:tc>
          <w:tcPr>
            <w:tcW w:type="dxa" w:w="32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Группа</w:t>
            </w:r>
          </w:p>
        </w:tc>
        <w:tc>
          <w:tcPr>
            <w:tcW w:type="dxa" w:w="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Лотов</w:t>
            </w:r>
          </w:p>
        </w:tc>
        <w:tc>
          <w:tcPr>
            <w:tcW w:type="dxa" w:w="2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Ставка, ₽/м²/год</w:t>
            </w:r>
          </w:p>
        </w:tc>
        <w:tc>
          <w:tcPr>
            <w:tcW w:type="dxa" w:w="36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Срок в экспозиции</w:t>
            </w:r>
          </w:p>
        </w:tc>
      </w:tr>
      <w:tr>
        <w:trPr>
          <w:cantSplit/>
        </w:trPr>
        <w:tc>
          <w:tcPr>
            <w:tcW w:type="dxa" w:w="3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Второй этаж, стоят месяцы</w:t>
            </w:r>
          </w:p>
        </w:tc>
        <w:tc>
          <w:tcPr>
            <w:tcW w:type="dxa" w:w="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24 000 – 24 286</w:t>
            </w:r>
          </w:p>
        </w:tc>
        <w:tc>
          <w:tcPr>
            <w:tcW w:type="dxa" w:w="36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26, 137 и 137 дней</w:t>
            </w:r>
          </w:p>
        </w:tc>
      </w:tr>
      <w:tr>
        <w:trPr>
          <w:cantSplit/>
        </w:trPr>
        <w:tc>
          <w:tcPr>
            <w:tcW w:type="dxa" w:w="3200"/>
            <w:tcBorders>
              <w:bottom w:val="single" w:color="1E1C19" w:sz="10"/>
            </w:tcBorders>
            <w:shd w:fill="FDF0F0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Второй этаж, стоят годы</w:t>
            </w:r>
          </w:p>
        </w:tc>
        <w:tc>
          <w:tcPr>
            <w:tcW w:type="dxa" w:w="900"/>
            <w:tcBorders>
              <w:bottom w:val="single" w:color="1E1C19" w:sz="10"/>
            </w:tcBorders>
            <w:shd w:fill="FDF0F0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Borders>
              <w:bottom w:val="single" w:color="1E1C19" w:sz="10"/>
            </w:tcBorders>
            <w:shd w:fill="FDF0F0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7"/>
                <w:szCs w:val="17"/>
              </w:rPr>
              <w:t xml:space="preserve">30 000 – 30 000</w:t>
            </w:r>
          </w:p>
        </w:tc>
        <w:tc>
          <w:tcPr>
            <w:tcW w:type="dxa" w:w="3606"/>
            <w:tcBorders>
              <w:bottom w:val="single" w:color="1E1C19" w:sz="10"/>
            </w:tcBorders>
            <w:shd w:fill="FDF0F0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1160 и 1489 дней</w:t>
            </w:r>
          </w:p>
        </w:tc>
      </w:tr>
    </w:tbl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Граница проходит между 24 300 и 30 000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Три лота второго этажа, выставленные по 24 000–24 286 ₽/м²/год, находятся в экспозиции от 26 до 137 дней — это нормальный рабочий срок. Два лота, выставленные по 30 000, стоят 1160 и 1489 дней, то есть три и четыре года.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Площади у групп близкие — 22–34 м² против 38–40 м², — и обе группы лежат в пределах двух километров от нас. Единственное, что их по-настоящему разделяет, — цена.</w:t>
            </w:r>
          </w:p>
        </w:tc>
      </w:tr>
    </w:tbl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30 000 ₽/м²/год — это цена, по которой здесь не сдаётся ничего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В выборке три лота выставлены ровно по 30 000. Это же три самых долгих лота выборки: 1160, 1320 и 1489 дней. Четвёртый по продолжительности стоит 343 дня — разрыв больше чем втрое.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Причём один из этих трёх находится на первом этаже (Центральная, 83), а два — на втором. То есть 30 000 не сдаётся ни на каком этаже: на первом это слишком дорого для места, на втором — слишком дорого для этажа.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Обратная сторона: самый дорогой лот выборки — 42 000 ₽/м²/год на улице Ленина, 11 — стоит всего 188 дней. Там, где помещение по формату востребовано, высокая цена не мешает; где не востребовано, не спасает и скидка. Это прямо относится к помещению №1.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3.4. Поправка на площадь и на террасу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Малая площадь.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В выборке премии за дробность нет. На первом этаже блок 42 м² выставлен по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42 000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₽/м²/год, а блок 175 м² в том же доме — по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36 000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: разница всего 17%, и она укладывается в разброс между соседними зданиями. На втором этаже блоки 22, 29 и 33,6 м² стоят одинаково — 24 000–24 286.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Практический вывод: рассчитывать на надбавку за нарезку помещения №1 нельзя; нарезка даёт не цену за метр, а скорость сдачи.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Терраса.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Рыночной наценки за террасу в открытых источниках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не существует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. Ни в одном лоте выборки терраса не вынесена в цену отдельной строкой; в более широкой выгрузке по зоне — тоже: там, где она есть, её подают как бесплатное приложение к площади. Нормативный коэффициент 0,3 из приказа Минстроя № 854/пр от 25.11.2016 относится к приведённой площади жилых помещений для ДДУ и к аренде не применяется.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Рекомендация: террасу следует либо добирать в площадь с коэффициентом 0,3, либо использовать как аргумент, оправдывающий верх диапазона, но не как надбавку сверх него.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3.5. Рыночный контекст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100"/>
        <w:gridCol w:w="2700"/>
        <w:gridCol w:w="3306"/>
      </w:tblGrid>
      <w:tr>
        <w:trPr>
          <w:tblHeader/>
        </w:trPr>
        <w:tc>
          <w:tcPr>
            <w:tcW w:type="dxa" w:w="4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Показатель</w:t>
            </w:r>
          </w:p>
        </w:tc>
        <w:tc>
          <w:tcPr>
            <w:tcW w:type="dxa" w:w="2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Значение</w:t>
            </w:r>
          </w:p>
        </w:tc>
        <w:tc>
          <w:tcPr>
            <w:tcW w:type="dxa" w:w="33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Источник, дата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Ключевая ставка ЦБ РФ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14,00% — сохранена, первая пауза в цикле снижения с июня 2025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Банк России, 11.09.2026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Вакансия в ТЦ Москвы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11% (+1 п.п. г/г); пустует 742 тыс. м²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IBC Real Estate via Retail.ru, 04.09.2026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Вакансия — стабилизированные ТЦ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12% (+1 п.п. г/г); прайм и ключевые — 7%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IBC Real Estate, 04.09.2026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Вакансия по методике NF Group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6,4% (+0,9 п.п. к декабрю 2025); прогноз роста до 8%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NF Group, I полугодие 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Окружные ТЦ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9,2% (+0,7 п.п.) — худший формат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NF Group, I полугодие 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Ставка торговой галереи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до 180 тыс. ₽/м²/год; якоря — до 50 тыс.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NF Group / РБК, 28.01.2026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Трафик окружных ТЦ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−5…−8% все шесть месяцев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NF Group, I полугодие 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Новые объекты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открываются с вакансией 30–35%, заполняются 1,5–2 года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NF Group, I полугодие 2026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Прогноз ставок 2026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стагнация или коррекция вниз, кроме премиального сегмента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NF Group, Nikoliers, CORE.XP, IBC</w:t>
            </w:r>
          </w:p>
        </w:tc>
      </w:tr>
      <w:tr>
        <w:trPr>
          <w:cantSplit/>
        </w:trPr>
        <w:tc>
          <w:tcPr>
            <w:tcW w:type="dxa" w:w="4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НДС</w:t>
            </w:r>
          </w:p>
        </w:tc>
        <w:tc>
          <w:tcPr>
            <w:tcW w:type="dxa" w:w="2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повышен до 22% — назван фактором давления на ритейл</w:t>
            </w:r>
          </w:p>
        </w:tc>
        <w:tc>
          <w:tcPr>
            <w:tcW w:type="dxa" w:w="33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РБК, 28.01.2026</w:t>
            </w:r>
          </w:p>
        </w:tc>
      </w:tr>
    </w:tbl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Расхождение в оценках вакансии — и почему мы приводим обе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IBC Real Estate называет 11%, NF Group — 6,4%. Разница методологическая: NF Group считает по качественным торговым центрам определённого класса, IBC — по более широкой выборке. Мы приводим обе цифры, а не выбираем удобную.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Для нашего объекта важнее третья цифра: вакансия окружных (районных) ТЦ по NF Group — 9,2%, и это худший формат рынка. Наш объект относится именно к нему.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3.6. Вердикт по каждому помещению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Три помещения продаются разным арендаторам и сравниваются с разными лотами выборки. Общая средняя по ним не значит ничего, поэтому вердикт по каждому отдельный.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Помещение №1 — 430,5 м², 2-й этаж, терраса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Крупных блоков на верхних этажах в выборке один: </w:t>
      </w:r>
      <w:hyperlink w:history="1" r:id="rIdf1muafrnbbr609sradrdb">
        <w:r>
          <w:rPr>
            <w:rFonts w:ascii="PT Sans" w:cs="PT Sans" w:eastAsia="PT Sans" w:hAnsi="PT Sans"/>
            <w:color w:val="30536F"/>
            <w:sz w:val="18"/>
            <w:szCs w:val="18"/>
            <w:u w:val="single"/>
          </w:rPr>
          <w:t xml:space="preserve">zvenigorod.cian.ru/rent/commercial/322849091</w:t>
        </w:r>
      </w:hyperlink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180 м² на третьем этаже, 23 333 ₽/м²/год, в экспозиции 343 дня. Мы просим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13 909 ₽/м²/год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это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×0,60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к нему, то есть на 40% дешевле.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Для сравнения на первом этаже: сопоставимый по размеру блок </w:t>
      </w:r>
      <w:hyperlink w:history="1" r:id="rIdj3v23qnzvehmgdehgp0a4">
        <w:r>
          <w:rPr>
            <w:rFonts w:ascii="PT Sans" w:cs="PT Sans" w:eastAsia="PT Sans" w:hAnsi="PT Sans"/>
            <w:color w:val="30536F"/>
            <w:sz w:val="18"/>
            <w:szCs w:val="18"/>
            <w:u w:val="single"/>
          </w:rPr>
          <w:t xml:space="preserve">krasnogorsk.cian.ru/rent/commercial/331957732</w:t>
        </w:r>
      </w:hyperlink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175 м², 36 000 ₽/м²/год, в экспозиции всего 70 дней. Крупная площадь на первом этаже уходит за два месяца; крупная площадь на верхнем этаже ждёт почти год даже на Рублёвке.</w:t>
      </w:r>
    </w:p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Что это значит для помещения №1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Мы стоим дешевле единственного сопоставимого лота на 40% и три года не сдаёмся. Цена для этого помещения узким местом не является — снижать её бессмысленно, это не сработало за три года и не сработает на четвёртый.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Подтверждение — в поведении всей выборки: три лота, выставленные по 30 000 ₽/м²/год, стоят дольше всех, а самый дорогой лот по 42 000 ушёл бы за полгода. Рынок отвергает не цену, а продукт: разнородную сборку залов, неблагоустроенную террасу и четыре взаимоисключающих назначения в одном тексте объявления.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Работать надо с нарезкой, с террасой как с отдельным активом и с одним внятным назначением. Экономику обоих путей считает раздел 8.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Помещение №2 — 39,6 м², 2-й этаж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Это единственное из трёх помещений, у которого в выборке есть полноценная когорта: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5 лотов того же этажа и близкой площади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(22–40 м²), медиана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24 286 ₽/м²/год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. Мы просим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39 091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на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61% выше медианы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и дороже каждого из пяти.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Но решает здесь не разрыв с медианой, а граница из раздела 3.3.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Мы просим даже больше, чем те два лота по 30 000, которые уже три и четыре года не могут найти арендатора. Ставка, которая не сдаётся, — это 30 000; мы стоим на 30% выше неё.</w:t>
      </w:r>
    </w:p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Целевая ставка по помещению №2: 24 000–26 000 ₽/м²/год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То есть 79–86 тыс. ₽/мес. Нижняя граница — уровень, на котором лоты выборки реально уходят за два-четыре месяца (24 000–24 286). Верхняя — запас на переговоры и на то, что помещение выйдет с нормальными фотографиями и полными условиями.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Выше 26 000 подниматься нельзя: между 24 300 и 30 000 в этой выборке лежит граница между «сдаётся за квартал» и «стоит четыре года».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Помещение №3 — 45,3 м², 3-й этаж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Прямое наблюдение по третьему этажу в выборке одно — </w:t>
      </w:r>
      <w:hyperlink w:history="1" r:id="rIdqm7gic_nguuzsqzutyrwt">
        <w:r>
          <w:rPr>
            <w:rFonts w:ascii="PT Sans" w:cs="PT Sans" w:eastAsia="PT Sans" w:hAnsi="PT Sans"/>
            <w:color w:val="30536F"/>
            <w:sz w:val="18"/>
            <w:szCs w:val="18"/>
            <w:u w:val="single"/>
          </w:rPr>
          <w:t xml:space="preserve">zvenigorod.cian.ru/rent/commercial/322849091</w:t>
        </w:r>
      </w:hyperlink>
      <w:r>
        <w:rPr>
          <w:rFonts w:ascii="PT Serif" w:cs="PT Serif" w:eastAsia="PT Serif" w:hAnsi="PT Serif"/>
          <w:color w:val="1E1C19"/>
          <w:sz w:val="21"/>
          <w:szCs w:val="21"/>
        </w:rPr>
        <w:t xml:space="preserve"> по 23 333 ₽/м²/год, и оно стоит 343 дня. Мы просим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25 960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— на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11% выше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лота, который сам не может сдаться почти год. Причём тот лот находится в премиальных Горках-2, а наш — на третьем этаже районного центра в селе.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Проверка через этаж даёт тот же ответ.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Уровень, на котором закрывается второй этаж, — 24 000–24 286 ₽/м²/год. Третий этаж в выборке торгуется ниже второго. Значит, потолок для №3 — это 23 333, а рабочий коридор лежит под ним.</w:t>
      </w:r>
    </w:p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Целевая ставка по помещению №3: 20 000–23 000 ₽/м²/год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То есть 76–87 тыс. ₽/мес. Верхняя граница — уровень единственного лота третьего этажа в выборке; чтобы уйти быстрее, чем он, нужно быть под ним.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Отдельно от цены стоит вопрос назначения. Единственное офисное предложение в Ильинском — лот на 40 м² по 30 000 ₽/м²/год — стоит в экспозиции 1489 дней, то есть четыре года, и в объявлении прямо сказано «в аренду ещё не сдавалось». Слово «офис» здесь проверено на соседнем объекте, результат отрицательный: помещение нужно переупаковывать как готовую студию услуг.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И техническое ограничение, которое видно по планам БТИ: грузового подъёма на третий этаж нет. Это сужает круг арендаторов сильнее, чем ставка.</w:t>
            </w:r>
          </w:p>
        </w:tc>
      </w:tr>
    </w:tbl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4.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Локационный анализ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4.1. Расположение и конкурентное окружение</w:t>
      </w:r>
    </w:p>
    <w:p>
      <w:pPr>
        <w:spacing w:after="140" w:before="100"/>
        <w:jc w:val="center"/>
      </w:pPr>
      <w:r>
        <w:drawing>
          <wp:inline distT="0" distB="0" distL="0" distR="0">
            <wp:extent cx="62865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Три факта, которые определяют всё остальное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Первое. Объект стоит не на магистрали в привычном смысле. Автодорога А-109 южнее Новорижского шоссе имеет по одной полосе в каждом направлении — это прямая цитата из генерального плана округа. Не 2+2, а 1+1.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Второе. Микролокация уже занята. В 800 метрах на той же улице работает ТЦ «Ильинский»: GLA 6 300 м², 56 арендаторов, 120 машиномест, 70 000 посетителей в месяц, рейтинг 4,9. Объект стоит внутри уже сложившегося кластера.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Третье. 42 парковочных места против 120 у прямого конкурента. При автомобильном характере локации это структурное ограничение, а не деталь.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Прямые конкуренты в радиусе 3 км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0"/>
        <w:gridCol w:w="2400"/>
        <w:gridCol w:w="3400"/>
        <w:gridCol w:w="2006"/>
      </w:tblGrid>
      <w:tr>
        <w:trPr>
          <w:tblHeader/>
        </w:trPr>
        <w:tc>
          <w:tcPr>
            <w:tcW w:type="dxa" w:w="2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Объект</w:t>
            </w:r>
          </w:p>
        </w:tc>
        <w:tc>
          <w:tcPr>
            <w:tcW w:type="dxa" w:w="2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Параметры</w:t>
            </w:r>
          </w:p>
        </w:tc>
        <w:tc>
          <w:tcPr>
            <w:tcW w:type="dxa" w:w="3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Якоря и содержание</w:t>
            </w:r>
          </w:p>
        </w:tc>
        <w:tc>
          <w:tcPr>
            <w:tcW w:type="dxa" w:w="20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Ставки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ТЦ «Ильинский»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ул. Ленина, 11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(~800 м)</w:t>
            </w:r>
          </w:p>
        </w:tc>
        <w:tc>
          <w:tcPr>
            <w:tcW w:type="dxa" w:w="2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Общая 10 200 м²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GLA 6 300 м²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 этажа + цоколь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120 машиномест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70 000 чел./мес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56 арендаторов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рейтинг 4,9 (33 отзыва)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ВкусВилл, «Да!», Эльдорадо, Fix Price, «Волконский», аптеки, кафе</w:t>
            </w:r>
          </w:p>
        </w:tc>
        <w:tc>
          <w:tcPr>
            <w:tcW w:type="dxa" w:w="2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14 400 –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48 000 ₽/м²/год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ТЦ «Амбар-2»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ул. Ленина, 26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(~25 м)</w:t>
            </w:r>
          </w:p>
        </w:tc>
        <w:tc>
          <w:tcPr>
            <w:tcW w:type="dxa" w:w="2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Общая 1 414 м²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открыт в 2026 году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тот же собственник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ВкусВилл, МФЦ Московской области, Отделение почтовой связи, «Ароматный Мир», автомойка-детейлинг Dr. Duck, кальянная SB Lounge</w:t>
            </w:r>
          </w:p>
        </w:tc>
        <w:tc>
          <w:tcPr>
            <w:tcW w:type="dxa" w:w="2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46 154 –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49 500 ₽/м²/год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(1 этаж)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ТК «Ильинка Вилладж»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ул. Ленина, 30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(~250 м)</w:t>
            </w:r>
          </w:p>
        </w:tc>
        <w:tc>
          <w:tcPr>
            <w:tcW w:type="dxa" w:w="2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GLA не раскрыт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рейтинг 4,4 (11 отзывов)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внутренний двор,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летняя веранда</w:t>
            </w:r>
          </w:p>
        </w:tc>
        <w:tc>
          <w:tcPr>
            <w:tcW w:type="dxa" w:w="3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Премиальный формат: бутики одежды, ресторан со звездой Michelin, сувениры, салон красоты, ювелирный, винотека, цветы, страхование</w:t>
            </w:r>
          </w:p>
        </w:tc>
        <w:tc>
          <w:tcPr>
            <w:tcW w:type="dxa" w:w="20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24 286 –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66 000 ₽/м²/год</w:t>
            </w:r>
          </w:p>
        </w:tc>
      </w:tr>
    </w:tbl>
    <w:tbl>
      <w:tblPr>
        <w:tblW w:type="dxa" w:w="10106"/>
        <w:tblInd w:type="dxa" w:w="0"/>
        <w:tblBorders>
          <w:top w:val="single" w:color="963F26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963F26"/>
                <w:spacing w:val="16"/>
                <w:sz w:val="17"/>
                <w:szCs w:val="17"/>
              </w:rPr>
              <w:t xml:space="preserve">Самый неудобный вывод исследования: конкурент внутри периметра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Корпус II («Амбар-2», ул. Ленина, 26) принадлежит тому же собственнику и открылся весной–летом 2026 года. Датировка по первым отзывам: ВкусВилл — 07.04.2026, SB Lounge — 30.07.2026, Dr. Duck — 10.08.2026.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Туда ушли ВкусВилл, МФЦ, отделение Почты России и «Ароматный Мир» — то есть самые сильные новые арендаторы за последние годы достались новому корпусу, а не 515 вакантным метрам в старом.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Часть трёхлетней вакансии Корпуса I объясняется внутренним приоритетом собственника: лучший продукт предлагался в Корпус II. Отзыв посетителя от 08.02.2026 подтверждает хронологию: «Отличная локация… Ждём открытия нового корпуса».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Чем заполнены 2–3 этажи малых подмосковных ТЦ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Это прямой ориентир. Ниже — фактическая поэтажная раскладка ТЦ «Октябрь» в Павловской Слободе: четыре уровня, около 35 арендаторов, потолки 3,92–3,94 м, то есть ближайший функциональный аналог нашего объекта.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5300"/>
        <w:gridCol w:w="3306"/>
      </w:tblGrid>
      <w:tr>
        <w:trPr>
          <w:tblHeader/>
        </w:trPr>
        <w:tc>
          <w:tcPr>
            <w:tcW w:type="dxa" w:w="1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Уровень</w:t>
            </w:r>
          </w:p>
        </w:tc>
        <w:tc>
          <w:tcPr>
            <w:tcW w:type="dxa" w:w="5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Арендаторы</w:t>
            </w:r>
          </w:p>
        </w:tc>
        <w:tc>
          <w:tcPr>
            <w:tcW w:type="dxa" w:w="33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это означает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Цоколь</w:t>
            </w:r>
          </w:p>
        </w:tc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СДЭК, два маникюрных салона, страхование, FourBikes (велосипеды), солярий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Логистика, бьюти и сезонный товар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 этаж</w:t>
            </w:r>
          </w:p>
        </w:tc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Fix Price, ПВЗ Wildberries, ПВЗ OZON, Яндекс Маркет, аптека «Столички», оптика, химчистка «Диана», банк, табак, «Ермолино», «Хинкалье», кондитерская, AM Wine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Всё трафикообразующее: FMCG, три ПВЗ, аптека, банк, общепит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 этаж</w:t>
            </w:r>
          </w:p>
        </w:tc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DNS, Ламода, «Нейрополис», «Лондон Тайм» (английский), курсы ОГЭ/ЕГЭ, «Весёлая Затея», студия творчества, «Лотос» (массаж), ателье «Шить Легко», барбершоп, «Даймонд Турс»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/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Плюс свободные 98 м², предлагаемые «под стоматологию, кафе или фитнес»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Электроника, шоурум маркетплейса, три образовательных арендатора подряд, услуги и бьюти</w:t>
            </w:r>
          </w:p>
        </w:tc>
      </w:tr>
      <w:tr>
        <w:trPr>
          <w:cantSplit/>
        </w:trPr>
        <w:tc>
          <w:tcPr>
            <w:tcW w:type="dxa" w:w="1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 этаж</w:t>
            </w:r>
          </w:p>
        </w:tc>
        <w:tc>
          <w:tcPr>
            <w:tcW w:type="dxa" w:w="5300"/>
            <w:tcBorders>
              <w:bottom w:val="single" w:color="1E1C19" w:sz="10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Маникюр/педикюр, Energetica (студия танцев), студия творчества, страхование — всего около четырёх арендаторов</w:t>
            </w:r>
          </w:p>
        </w:tc>
        <w:tc>
          <w:tcPr>
            <w:tcW w:type="dxa" w:w="3306"/>
            <w:tcBorders>
              <w:bottom w:val="single" w:color="1E1C19" w:sz="10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Практически только услуги и студии. Этаж заполнен слабо — это зона наибольшего риска и на нашем объекте тоже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Паттерн подтверждается на других объектах: ТЦ «Княжий двор» на Новорижском шоссе держит на верхних уровнях фитнес-клуб, медцентр, аптеку, салон красоты, химчистку, ателье и ремонт часов; «Павлово Подворье» — школу танцев TODES и детский центр; Vegas Крокус Сити размещает KidZania на 2–3 этажах; Dream House в Барвихе отдал третий этаж целиком мебели, интерьеру и антикварным галереям.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Выведенное правило: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классический товарный ритейл на 2–3 этажи малого подмосковного ТЦ не идёт. Ни в одном из изученных объектов верхние этажи не заняты сетевой одеждой или обувью. Верх берут четыре категории, в порядке надёжности: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детское допобразование и развивающие студии; спорт и танцы; бьюти и медицина; бытовые и финансовые услуги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. Общий признак — к этим арендаторам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едут по записи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, им не нужен витринный трафик. Побочная выгода: запись распределяет визиты по времени и снимает пиковую нагрузку на 42 парковочных места.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4.2. Жители соседних локаций</w:t>
      </w:r>
    </w:p>
    <w:tbl>
      <w:tblPr>
        <w:tblW w:type="dxa" w:w="10106"/>
        <w:tblInd w:type="dxa" w:w="0"/>
        <w:tblBorders>
          <w:top w:val="single" w:color="963F26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963F26"/>
                <w:spacing w:val="16"/>
                <w:sz w:val="17"/>
                <w:szCs w:val="17"/>
              </w:rPr>
              <w:t xml:space="preserve">Два уточнения по застройщикам, которые часто путают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ЖК «Ильинские луга» строит ПИК — ООО «СЗ „ГрадОлимп“», это подтверждено постановлением администрации округа. «Гранель» в этой зоне ведёт другие проекты: ЖК «Новая Рига» в Глухово, ЖК «Аникеевский» и «Ильинойс».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Названий «Первый Ильинский» и «Новое Глухово» в официальном перечне строящихся ЖК округа и в прогнозе социально-экономического развития нет. Реальные проекты в Глухово — «Новая Рига» (Гранель) и «Рублёвское предместье» («Новая усадьба»).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Главное.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Официальная численность села Ильинское —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478 человек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(перепись 2010 года) — как маркетинговая база нерелевантна. Реальная аудитория формируется тремя проектами комплексного освоения в радиусе 1,3–2,9 км с суммарной проектной ёмкостью около 57–65 тыс. человек, из которых на сегодня реализовано примерно треть.</w:t>
      </w:r>
    </w:p>
    <w:p>
      <w:pPr>
        <w:spacing w:after="140" w:before="100"/>
        <w:jc w:val="center"/>
      </w:pPr>
      <w:r>
        <w:drawing>
          <wp:inline distT="0" distB="0" distL="0" distR="0">
            <wp:extent cx="6286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300"/>
        <w:gridCol w:w="1700"/>
        <w:gridCol w:w="2200"/>
        <w:gridCol w:w="2906"/>
      </w:tblGrid>
      <w:tr>
        <w:trPr>
          <w:tblHeader/>
        </w:trPr>
        <w:tc>
          <w:tcPr>
            <w:tcW w:type="dxa" w:w="3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Населённый пункт</w:t>
            </w:r>
          </w:p>
        </w:tc>
        <w:tc>
          <w:tcPr>
            <w:tcW w:type="dxa" w:w="1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Численность</w:t>
            </w:r>
          </w:p>
        </w:tc>
        <w:tc>
          <w:tcPr>
            <w:tcW w:type="dxa" w:w="22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Источник</w:t>
            </w:r>
          </w:p>
        </w:tc>
        <w:tc>
          <w:tcPr>
            <w:tcW w:type="dxa" w:w="29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Расстояние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с. Ильинское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478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п. Ильинское-Усово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3 656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2020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1,5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д. Глухово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291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1,9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п. Новый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2 237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2,8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п. Инженерный-1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1 134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3,9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с. Петрово-Дальнее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2 001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4,5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п. Мечниково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2 427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4,8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п. Архангельское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3 656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2020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4,9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с. Николо-Урюпино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693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перепись 2010</w:t>
            </w:r>
          </w:p>
        </w:tc>
        <w:tc>
          <w:tcPr>
            <w:tcW w:type="dxa" w:w="29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5,1 км</w:t>
            </w:r>
          </w:p>
        </w:tc>
      </w:tr>
      <w:tr>
        <w:trPr>
          <w:cantSplit/>
        </w:trPr>
        <w:tc>
          <w:tcPr>
            <w:tcW w:type="dxa" w:w="3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г.о. Красногорск — всего</w:t>
            </w:r>
          </w:p>
        </w:tc>
        <w:tc>
          <w:tcPr>
            <w:tcW w:type="dxa" w:w="1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345 865</w:t>
            </w:r>
          </w:p>
        </w:tc>
        <w:tc>
          <w:tcPr>
            <w:tcW w:type="dxa" w:w="22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Росстат, 01.01.2025</w:t>
            </w:r>
          </w:p>
        </w:tc>
        <w:tc>
          <w:tcPr>
            <w:tcW w:type="dxa" w:w="29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Расстояния — по прямой, по геокодированию OpenStreetMap; оценка. Для большинства сельских населённых пунктов последняя опубликованная цифра — перепись 2010 года: данные переписи 2021 по ним в открытом доступе отсутствуют.</w:t>
      </w:r>
    </w:p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Критическое допущение: радиус не равен доступности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Москва-река отделяет Ильинское от Рублёвки. Жуковка и Барвиха находятся в 2,2 и 3,1 км по прямой, но в 15–20 км по дороге: ближайшие мосты — у Петрово-Дальнего и Успенского.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Поэтому все радиусные оценки в этом разделе следует считать верхней границей. Для решения об аренде нужна изохрона 10/15/20 минут, а не круг. Изохрона не строилась — это ближайший следующий шаг.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Новое жильё — главный драйвер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00"/>
        <w:gridCol w:w="1700"/>
        <w:gridCol w:w="1650"/>
        <w:gridCol w:w="1700"/>
        <w:gridCol w:w="1250"/>
        <w:gridCol w:w="1706"/>
      </w:tblGrid>
      <w:tr>
        <w:trPr>
          <w:tblHeader/>
        </w:trPr>
        <w:tc>
          <w:tcPr>
            <w:tcW w:type="dxa" w:w="2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Проект</w:t>
            </w:r>
          </w:p>
        </w:tc>
        <w:tc>
          <w:tcPr>
            <w:tcW w:type="dxa" w:w="1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Застройщик</w:t>
            </w:r>
          </w:p>
        </w:tc>
        <w:tc>
          <w:tcPr>
            <w:tcW w:type="dxa" w:w="16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Проектная ёмкость</w:t>
            </w:r>
          </w:p>
        </w:tc>
        <w:tc>
          <w:tcPr>
            <w:tcW w:type="dxa" w:w="1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Площадь</w:t>
            </w:r>
          </w:p>
        </w:tc>
        <w:tc>
          <w:tcPr>
            <w:tcW w:type="dxa" w:w="12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Расстояние</w:t>
            </w:r>
          </w:p>
        </w:tc>
        <w:tc>
          <w:tcPr>
            <w:tcW w:type="dxa" w:w="17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ЖК «Ильинские луга»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ПИК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(СЗ «ГрадОлимп»)</w:t>
            </w:r>
          </w:p>
        </w:tc>
        <w:tc>
          <w:tcPr>
            <w:tcW w:type="dxa" w:w="16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44,9 тыс. чел.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1 257,8 тыс. м²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КОТ на 215 га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1,7 км</w:t>
            </w:r>
          </w:p>
        </w:tc>
        <w:tc>
          <w:tcPr>
            <w:tcW w:type="dxa" w:w="1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Ввод 2024 — 62,4 тыс. м²;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план 2025 — 95,9 тыс. м².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Сроки до III кв. 2028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ЖК «Новая Рига»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ГК «Гранель»</w:t>
            </w:r>
          </w:p>
        </w:tc>
        <w:tc>
          <w:tcPr>
            <w:tcW w:type="dxa" w:w="16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~4,0 тыс. чел.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394,6 тыс. м²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9 корпусов, 37,6 га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1,3–2 км</w:t>
            </w:r>
          </w:p>
        </w:tc>
        <w:tc>
          <w:tcPr>
            <w:tcW w:type="dxa" w:w="1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Ввод 2024 — 30,2 тыс. м²;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план 2025 — 30,9 тыс. м².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Сдача 2021–2027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ЖК «Рублёвское предместье»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«Новая усадьба»</w:t>
            </w:r>
          </w:p>
        </w:tc>
        <w:tc>
          <w:tcPr>
            <w:tcW w:type="dxa" w:w="16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 данных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29,5 га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53 корпуса 3–7 эт.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1,3 км</w:t>
            </w:r>
          </w:p>
        </w:tc>
        <w:tc>
          <w:tcPr>
            <w:tcW w:type="dxa" w:w="1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Сдано 7 корпусов,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готовятся ещё 9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ЖК «Riga Hills»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ГК UNION</w:t>
            </w:r>
          </w:p>
        </w:tc>
        <w:tc>
          <w:tcPr>
            <w:tcW w:type="dxa" w:w="16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4,1 тыс. чел.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 корпусов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2,9 км</w:t>
            </w:r>
          </w:p>
        </w:tc>
        <w:tc>
          <w:tcPr>
            <w:tcW w:type="dxa" w:w="1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IV кв. 2025 и IV кв. 2026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ЖК «Ильинойс»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ГК «Гранель»</w:t>
            </w:r>
          </w:p>
        </w:tc>
        <w:tc>
          <w:tcPr>
            <w:tcW w:type="dxa" w:w="16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 данных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190 тыс. м²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&gt;2 600 квартир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7,2 км</w:t>
            </w:r>
          </w:p>
        </w:tc>
        <w:tc>
          <w:tcPr>
            <w:tcW w:type="dxa" w:w="1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Корп. 2 — IV кв. 2025;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корп. 3 — III кв. 2028</w:t>
            </w:r>
          </w:p>
        </w:tc>
      </w:tr>
      <w:tr>
        <w:trPr>
          <w:cantSplit/>
        </w:trPr>
        <w:tc>
          <w:tcPr>
            <w:tcW w:type="dxa" w:w="2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ЖК «Аникеевский»</w:t>
            </w:r>
          </w:p>
        </w:tc>
        <w:tc>
          <w:tcPr>
            <w:tcW w:type="dxa" w:w="1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ГК «Гранель»</w:t>
            </w:r>
          </w:p>
        </w:tc>
        <w:tc>
          <w:tcPr>
            <w:tcW w:type="dxa" w:w="16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6,7 тыс. чел.</w:t>
            </w:r>
          </w:p>
        </w:tc>
        <w:tc>
          <w:tcPr>
            <w:tcW w:type="dxa" w:w="1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 данных</w:t>
            </w:r>
          </w:p>
        </w:tc>
        <w:tc>
          <w:tcPr>
            <w:tcW w:type="dxa" w:w="12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8,2 км</w:t>
            </w:r>
          </w:p>
        </w:tc>
        <w:tc>
          <w:tcPr>
            <w:tcW w:type="dxa" w:w="17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Ввод 2024 — 32,1 тыс. м²</w:t>
            </w:r>
          </w:p>
        </w:tc>
      </w:tr>
    </w:tbl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Источник: постановление администрации г.о. Красногорск № 2760/10 от 16.10.2025 «О прогнозе социально-экономического развития на 2026–2028 годы», Приложения 1 и 2; Доклад главы округа за 2025 год (опубликован 30.04.2026).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Доказательство заселения, а не проектных намерений.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В 2025 году введены два дошкольных отделения Ильинской средней школы — на 200 мест (ул. Архангельская, 12) и на 350 мест (ул. Заповедная, 18). Работает школа на 1 500 мест. Проектом предусмотрены 4 школы и 9 детских садов. Муниципалитет строит социальную инфраструктуру там, где уже живут люди, — это более надёжный индикатор, чем данные застройщика.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Сколько жителей добавится и почему не 57 тысяч за три года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Сколько человек считать на квартиру.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Распространённый ориентир 2,3–2,5 человека для этой застройки завышен. Официальные цифры дают меньше: 44,9 тыс. человек на 1 257,8 тыс. м² =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28,0 м² на человека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, что при средней квартире около 52 м² соответствует примерно 1,9 человека на квартиру. Расчёт по 2,3–2,5 завышает прогноз на 15–25%.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00"/>
        <w:gridCol w:w="3600"/>
        <w:gridCol w:w="3706"/>
      </w:tblGrid>
      <w:tr>
        <w:trPr>
          <w:tblHeader/>
        </w:trPr>
        <w:tc>
          <w:tcPr>
            <w:tcW w:type="dxa" w:w="28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Горизонт</w:t>
            </w:r>
          </w:p>
        </w:tc>
        <w:tc>
          <w:tcPr>
            <w:tcW w:type="dxa" w:w="3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Радиус 5 км</w:t>
            </w:r>
          </w:p>
        </w:tc>
        <w:tc>
          <w:tcPr>
            <w:tcW w:type="dxa" w:w="37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Радиус 10 км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Сейчас (2026)</w:t>
            </w:r>
          </w:p>
        </w:tc>
        <w:tc>
          <w:tcPr>
            <w:tcW w:type="dxa" w:w="3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40–50 тыс. чел.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(центральная оценка ~45)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190–235 тыс. чел.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2029 (прогноз)</w:t>
            </w:r>
          </w:p>
        </w:tc>
        <w:tc>
          <w:tcPr>
            <w:tcW w:type="dxa" w:w="3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50–62 тыс. чел.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+8–12 тыс. зарегистрированных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205–255 тыс. чел.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+14–20 тыс.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Полная проектная ёмкость всех КОТ</w:t>
            </w:r>
          </w:p>
        </w:tc>
        <w:tc>
          <w:tcPr>
            <w:tcW w:type="dxa" w:w="3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+57–65 тыс. чел.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горизонт за пределами 2030 года</w:t>
            </w:r>
          </w:p>
        </w:tc>
        <w:tc>
          <w:tcPr>
            <w:tcW w:type="dxa" w:w="37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Предостережение по цифре «57 тысяч»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Публикация МК от 29.10.2025 сообщает, что «на территории поселения Ильинское ожидается прирост населения на 57 тысяч человек к 2028 году». Цифра 44,9 тыс. по «Ильинским лугам» в ней совпадает с постановлением, то есть источник достоверен.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Но 57 тысяч — это проектная ёмкость, а не фактическое заселение к 2028 году. При темпах ввода 60–96 тыс. м² в год и объёме проекта 1 257,8 тыс. м² горизонт полного освоения уходит далеко за 2030 год. Переносить 57 тысяч на трёхлетний горизонт нельзя.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4.3. Трафик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Заявленная цифра и что за ней стоит</w:t>
      </w:r>
    </w:p>
    <w:tbl>
      <w:tblPr>
        <w:tblW w:type="dxa" w:w="10106"/>
        <w:tblInd w:type="dxa" w:w="0"/>
        <w:tblBorders>
          <w:top w:val="single" w:color="8E3A22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8E3A22"/>
                <w:spacing w:val="16"/>
                <w:sz w:val="17"/>
                <w:szCs w:val="17"/>
              </w:rPr>
              <w:t xml:space="preserve">Проверка заявления «50 000 автомобилей в сутки»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В презентации собственника (создана 23.06.2023) указано: «Стабильно высокий а/м трафик (50 000 а/м в сутки)». Независимого подтверждения этой цифры для сечения у объекта не найдено.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Ближайшая похожая величина в источниках — около 57 тыс. автомобилей в сутки — относится к узлу Волоколамское × Ильинское шоссе в городе Красногорск: это примерно 10 км от объекта, и там дорога имеет четыре полосы. У нас — одна полоса в каждом направлении.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Перенос этой цифры на село Ильинское завышает трафик в 4–5 раз. Мы не утверждаем, что цифра приведена недобросовестно: скорее всего, это добросовестная ошибка переноса. Но использовать её в переговорах с сетевым арендатором опасно — его аналитики проверят.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Что показывают документы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00"/>
        <w:gridCol w:w="2700"/>
        <w:gridCol w:w="1400"/>
        <w:gridCol w:w="3206"/>
      </w:tblGrid>
      <w:tr>
        <w:trPr>
          <w:tblHeader/>
        </w:trPr>
        <w:tc>
          <w:tcPr>
            <w:tcW w:type="dxa" w:w="28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Параметр</w:t>
            </w:r>
          </w:p>
        </w:tc>
        <w:tc>
          <w:tcPr>
            <w:tcW w:type="dxa" w:w="2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Значение</w:t>
            </w:r>
          </w:p>
        </w:tc>
        <w:tc>
          <w:tcPr>
            <w:tcW w:type="dxa" w:w="1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Статус</w:t>
            </w:r>
          </w:p>
        </w:tc>
        <w:tc>
          <w:tcPr>
            <w:tcW w:type="dxa" w:w="32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Дорога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А-109 «Ильинское шоссе», федеральная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ФАКТ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Генплан г.о. Красногорск, 2018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Полосность у объекта</w:t>
            </w:r>
          </w:p>
        </w:tc>
        <w:tc>
          <w:tcPr>
            <w:tcW w:type="dxa" w:w="2700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«южнее Новорижского шоссе — по 1 полосе в каждом направлении»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ФАКТ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Генплан, дословная цитата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Техническая категория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II категория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ФАКТ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Генплан, 2018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Единственный официальный замер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3 200 ед./час на участке от М-9 «Балтия» до Ильинского подъезда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ФАКТ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Генплан, табл. 2.2.1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Доля грузового транспорта</w:t>
            </w:r>
          </w:p>
        </w:tc>
        <w:tc>
          <w:tcPr>
            <w:tcW w:type="dxa" w:w="2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~15% — для ТЦ это «пустой» трафик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ФАКТ</w:t>
            </w:r>
          </w:p>
        </w:tc>
        <w:tc>
          <w:tcPr>
            <w:tcW w:type="dxa" w:w="3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Генплан, табл. 2.2.1</w:t>
            </w:r>
          </w:p>
        </w:tc>
      </w:tr>
      <w:tr>
        <w:trPr>
          <w:cantSplit/>
        </w:trPr>
        <w:tc>
          <w:tcPr>
            <w:tcW w:type="dxa" w:w="28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Интенсивность у объекта</w:t>
            </w:r>
          </w:p>
        </w:tc>
        <w:tc>
          <w:tcPr>
            <w:tcW w:type="dxa" w:w="2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11 000–16 000 авт./сут (среднегодовая);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18 000–24 000 в пик выходного дня</w:t>
            </w:r>
          </w:p>
        </w:tc>
        <w:tc>
          <w:tcPr>
            <w:tcW w:type="dxa" w:w="1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8A5A2E"/>
                <w:sz w:val="17"/>
                <w:szCs w:val="17"/>
              </w:rPr>
              <w:t xml:space="preserve">ОЦЕНКА</w:t>
            </w:r>
          </w:p>
        </w:tc>
        <w:tc>
          <w:tcPr>
            <w:tcW w:type="dxa" w:w="32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Три независимых метода расчёта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Оценка 11–16 тыс. автомобилей в сутки получена тремя независимыми способами, дающими сходящийся результат: от технической категории дороги по СП 34.13330.2021 (8–16 тыс.), от практической пропускной способности дороги 1+1 с примыканиями (11–16 тыс.) и от сопоставления с Путилковским шоссе в той же таблице генплана (12–17 тыс.). Степень доверия — средняя; перед инвестиционным решением необходим собственный замер по ГОСТ 32965-2014.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Структура потока: транзита практически нет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1300"/>
        <w:gridCol w:w="5806"/>
      </w:tblGrid>
      <w:tr>
        <w:trPr>
          <w:tblHeader/>
        </w:trPr>
        <w:tc>
          <w:tcPr>
            <w:tcW w:type="dxa" w:w="30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Компонента</w:t>
            </w:r>
          </w:p>
        </w:tc>
        <w:tc>
          <w:tcPr>
            <w:tcW w:type="dxa" w:w="1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Доля</w:t>
            </w:r>
          </w:p>
        </w:tc>
        <w:tc>
          <w:tcPr>
            <w:tcW w:type="dxa" w:w="58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30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Местный трафик</w:t>
            </w:r>
          </w:p>
        </w:tc>
        <w:tc>
          <w:tcPr>
            <w:tcW w:type="dxa" w:w="1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55–70%</w:t>
            </w:r>
          </w:p>
        </w:tc>
        <w:tc>
          <w:tcPr>
            <w:tcW w:type="dxa" w:w="5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Ильинское, Ильинское-Усово, Глухово, Николо-Урюпино, коттеджные посёлки. Растёт за счёт «Ильинских лугов»</w:t>
            </w:r>
          </w:p>
        </w:tc>
      </w:tr>
      <w:tr>
        <w:trPr>
          <w:cantSplit/>
        </w:trPr>
        <w:tc>
          <w:tcPr>
            <w:tcW w:type="dxa" w:w="30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Связь Новая Рига — Рублёвка</w:t>
            </w:r>
          </w:p>
        </w:tc>
        <w:tc>
          <w:tcPr>
            <w:tcW w:type="dxa" w:w="1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20–30%</w:t>
            </w:r>
          </w:p>
        </w:tc>
        <w:tc>
          <w:tcPr>
            <w:tcW w:type="dxa" w:w="5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А-109 работает как хорда-дублёр, а не как основной маршрут</w:t>
            </w:r>
          </w:p>
        </w:tc>
      </w:tr>
      <w:tr>
        <w:trPr>
          <w:cantSplit/>
        </w:trPr>
        <w:tc>
          <w:tcPr>
            <w:tcW w:type="dxa" w:w="30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Дачный и рекреационный</w:t>
            </w:r>
          </w:p>
        </w:tc>
        <w:tc>
          <w:tcPr>
            <w:tcW w:type="dxa" w:w="1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10–20%, сезонно</w:t>
            </w:r>
          </w:p>
        </w:tc>
        <w:tc>
          <w:tcPr>
            <w:tcW w:type="dxa" w:w="5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Архангельское, Николина Гора, садовые товарищества</w:t>
            </w:r>
          </w:p>
        </w:tc>
      </w:tr>
      <w:tr>
        <w:trPr>
          <w:cantSplit/>
        </w:trPr>
        <w:tc>
          <w:tcPr>
            <w:tcW w:type="dxa" w:w="30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Грузовой</w:t>
            </w:r>
          </w:p>
        </w:tc>
        <w:tc>
          <w:tcPr>
            <w:tcW w:type="dxa" w:w="1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~15%</w:t>
            </w:r>
          </w:p>
        </w:tc>
        <w:tc>
          <w:tcPr>
            <w:tcW w:type="dxa" w:w="58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Промзоны по направлению: «Экстра-М», «Уникма», «Союзснаб», «Бецема», «Кнауф-Гипс». Для ТЦ нецелевой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Вывод.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Классического сквозного транзита у объекта практически нет: А-109 по характеру — тупиковая радиальная дорога, упирающаяся в Рублёвку и правительственные резиденции со спецподъездами. </w:t>
      </w: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Ставка на «транзитный трафик» для этого объекта не обоснована.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 Рабочая модель — местный центр обслуживания плюс целевые поездки. Это, кстати, ровно та модель, под которую подходят арендаторы верхних этажей из раздела 4.1.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Пешеходный трафик: подтверждаем, что он незначим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478 жителей села физически не формируют пешеходного потока для торгового центра.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Через улицу Ленина проходит по существу один магистральный автобусный маршрут — № 540 (м. Тушинская — Бузланово). Остановка «Ильинское, улица Ленина» находится в 81 метре от объекта.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Маршрут № 541, обслуживающий главный растущий массив — ЖК «Ильинские луга», — идёт мимо объекта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, через Глухово и Ильинские Луга на Николо-Урюпино.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Ближайшая железнодорожная платформа — Ильинское, 2,5 км.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Следствие: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формат обязан быть автомобильным. И здесь 42 машиноместа против 120 у ТЦ «Ильинский» становятся ключевым ограничением — что ещё раз выводит на арендаторов, работающих по записи.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Профиль дня и сезонность</w:t>
      </w:r>
    </w:p>
    <w:p>
      <w:pPr>
        <w:spacing w:after="140" w:before="100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Пик приходится на 13:00–15:00, а не на вечер.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К 21:00 загруженность падает до 30% от пика. Это профиль дневного обслуживающего центра «по пути», а не вечернего или выходного шопинга. Практический вывод: приоритет тем арендаторам, чья выручка формируется днём, — детские занятия после школы, услуги по записи, медицина, обед, аптека, — а не вечернему досугу и импульсной торговле.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Сезонность: по исследованию Яндекса о подмосковных дачных пробках загруженность трасс «в область» по пятницам в мае–августе в 2,7 раза выше обычных будней, «в Москву» в воскресенье — в 1,8 раза выше среднего. Годовой размах трафика мимо объекта оценивается в 1,6–2,2 раза. Лучшее торговое окно — суббота с 11:00 до 18:00, когда люди уже на месте и никуда не спешат; пятничный вечер даёт «набег» за продуктами, готовой едой, цветами и хозтоварами.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Инфраструктурные изменения: метро работает в обе стороны</w:t>
      </w:r>
    </w:p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Метро «Ильинская» открылось 5 сентября 2026 года — в 6 км к северу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Станция расположена на 4-м километре Ильинского шоссе, объект — на 10-м. Прогнозный пассажиропоток линии — свыше 250 тыс. поездок в сутки к 2030 году.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Плюс: рост капитализации и населения всего Ильинского направления.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Минус, который необходимо проговорить: метро создаёт мощный перехватывающий узел с парковками между объектом и Москвой. Часть жителей, ранее ехавших в Красногорск мимо нашего ТЦ, теперь доедет до станции и совершит покупки там. Для торговли «по пути» на 10-м километре это отток, а не приток. Ещё один аргумент в пользу смещения от «торговли по пути» к услугам по месту жительства.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Реконструкция А-109 до четырёх полос запланирована в схеме территориального планирования Московской области, но в федеральной схеме не значится — то есть федерального финансирования нет. Расширение участка «Ильинское шоссе — Бузланово», проходящего через село, увязано с проектом планировки ЖК «Ильинские луга». ЦКАД на объект не влияет: она пересекает Новорижское шоссе примерно в 50 км от МКАД и с А-109 не пересекается.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4.4. Социально-экономический контекст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600"/>
        <w:gridCol w:w="1500"/>
        <w:gridCol w:w="1500"/>
        <w:gridCol w:w="1700"/>
        <w:gridCol w:w="2806"/>
      </w:tblGrid>
      <w:tr>
        <w:trPr>
          <w:tblHeader/>
        </w:trPr>
        <w:tc>
          <w:tcPr>
            <w:tcW w:type="dxa" w:w="2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Показатель</w:t>
            </w:r>
          </w:p>
        </w:tc>
        <w:tc>
          <w:tcPr>
            <w:tcW w:type="dxa" w:w="1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2024</w:t>
            </w:r>
          </w:p>
        </w:tc>
        <w:tc>
          <w:tcPr>
            <w:tcW w:type="dxa" w:w="1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2025</w:t>
            </w:r>
          </w:p>
        </w:tc>
        <w:tc>
          <w:tcPr>
            <w:tcW w:type="dxa" w:w="1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2028 (прогноз)</w:t>
            </w:r>
          </w:p>
        </w:tc>
        <w:tc>
          <w:tcPr>
            <w:tcW w:type="dxa" w:w="28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Среднемесячная зарплата,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г.о. Красногорск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116 500 ₽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138 921 ₽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191 809 ₽</w:t>
            </w:r>
          </w:p>
        </w:tc>
        <w:tc>
          <w:tcPr>
            <w:tcW w:type="dxa" w:w="2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+38,1% номинально за 2026–2028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Среднемесячная зарплата,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Московская область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98 795 ₽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116 008 ₽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нет данных</w:t>
            </w:r>
          </w:p>
        </w:tc>
        <w:tc>
          <w:tcPr>
            <w:tcW w:type="dxa" w:w="2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Красногорск выше области на ~20%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Оборот розничной торговли,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г.о. Красногорск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375,6 млрд ₽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404,1 млрд ₽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501,0 млрд ₽</w:t>
            </w:r>
          </w:p>
        </w:tc>
        <w:tc>
          <w:tcPr>
            <w:tcW w:type="dxa" w:w="2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+24,0% номинально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Население округа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335 991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~347 600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~368 200</w:t>
            </w:r>
          </w:p>
        </w:tc>
        <w:tc>
          <w:tcPr>
            <w:tcW w:type="dxa" w:w="2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+5,9%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Оборот на душу населения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1,163 млн ₽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1,361 млн ₽</w:t>
            </w:r>
          </w:p>
        </w:tc>
        <w:tc>
          <w:tcPr>
            <w:tcW w:type="dxa" w:w="2806"/>
            <w:tcBorders>
              <w:bottom w:val="single" w:color="E4DED4" w:sz="2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+17,0% за 3 года = ~5,4% в год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Реальные располагаемые доходы РФ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+7,4%</w:t>
            </w:r>
          </w:p>
        </w:tc>
        <w:tc>
          <w:tcPr>
            <w:tcW w:type="dxa" w:w="1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+2,1% (прогноз МЭР на 2026)</w:t>
            </w:r>
          </w:p>
        </w:tc>
        <w:tc>
          <w:tcPr>
            <w:tcW w:type="dxa" w:w="2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I и II кварталы 2026: +1,5%</w:t>
            </w:r>
          </w:p>
        </w:tc>
      </w:tr>
      <w:tr>
        <w:trPr>
          <w:cantSplit/>
        </w:trPr>
        <w:tc>
          <w:tcPr>
            <w:tcW w:type="dxa" w:w="2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Оборот розничной торговли РФ</w:t>
            </w:r>
          </w:p>
        </w:tc>
        <w:tc>
          <w:tcPr>
            <w:tcW w:type="dxa" w:w="1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+10% (янв–ноя)</w:t>
            </w:r>
          </w:p>
        </w:tc>
        <w:tc>
          <w:tcPr>
            <w:tcW w:type="dxa" w:w="1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28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Январь–май 2026: всего +5%</w:t>
            </w:r>
          </w:p>
        </w:tc>
      </w:tr>
    </w:tbl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Что происходит с покупательной способностью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Оборот розничной торговли на душу населения в округе растёт на 5,4% в год. При инфляции 4–6% это означает, что в реальном выражении душевое потребление в 2026–2028 не растёт или снижается. Администрация округа признаёт это в собственном прогнозе, указывая на «нестабильный спрос населения на товары, не являющиеся жизненно необходимыми, и снижение покупательной способности вследствие повышения цен».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Аудитория в Ильинском растёт числом, но не доходом. Планировать следует объём трафика; на рост среднего чека в реальном выражении рассчитывать нельзя.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Отдельно: ключевая ставка ЦБ 14% и повышение НДС до 22% напрямую сокращают способность малого бизнеса открывать новые точки. Дорогие деньги — это меньше входящих обращений от независимых предпринимателей и больше веса у сетевых арендаторов, у которых есть собственный капитал.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Расслоение аудитории — не смешивать в одном расчёте.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Массовый комфорт-класс (жители «Ильинских лугов», «Новой Риги», «Рублёвского предместья», «Riga Hills»; квартиры 7–25 млн ₽) растёт быстро и живёт круглогодично — это и есть главный драйвер трафика. Премиальные коттеджные посёлки (Петровский, Глухово, Николо-Урюпино; дома от 60 млн до 1,4 млрд ₽) не растут: спрос на элитные загородные дома Московского региона в III квартале 2025 упал на 41% год к году при росте предложения на 63,4%. По индексу Intermark PMR TOP-100 Рублёво-Успенское направление даёт 69% самых дорогих домов Подмосковья, а Ильинское шоссе представлено единичными объектами — то есть наша локация не является ядром делюкс-сегмента.</w:t>
      </w:r>
    </w:p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Доля круглогодичного проживания в коттеджных посёлках оценивается в 60–75% на основании данных ИНКОМ-Недвижимость 2018 года (70% для радиуса до 40 км от Москвы). Актуального исследования за 2024–2026 годы в открытых источниках не существует. Это самая непрочная цифра отчёта.</w:t>
      </w:r>
    </w:p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5.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Почему помещения вакантны три года</w:t>
      </w:r>
    </w:p>
    <w:p>
      <w:pPr>
        <w:spacing w:after="140" w:before="100"/>
        <w:jc w:val="center"/>
      </w:pPr>
      <w:r>
        <w:drawing>
          <wp:inline distT="0" distB="0" distL="0" distR="0">
            <wp:extent cx="6286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5.1. Матрица «объективно / управляемо»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50"/>
        <w:gridCol w:w="620"/>
        <w:gridCol w:w="1250"/>
        <w:gridCol w:w="3400"/>
        <w:gridCol w:w="1200"/>
        <w:gridCol w:w="1186"/>
      </w:tblGrid>
      <w:tr>
        <w:trPr>
          <w:tblHeader/>
        </w:trPr>
        <w:tc>
          <w:tcPr>
            <w:tcW w:type="dxa" w:w="24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Причина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Вес</w:t>
            </w:r>
          </w:p>
        </w:tc>
        <w:tc>
          <w:tcPr>
            <w:tcW w:type="dxa" w:w="12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Природа</w:t>
            </w:r>
          </w:p>
        </w:tc>
        <w:tc>
          <w:tcPr>
            <w:tcW w:type="dxa" w:w="3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Конкретное действие</w:t>
            </w:r>
          </w:p>
        </w:tc>
        <w:tc>
          <w:tcPr>
            <w:tcW w:type="dxa" w:w="12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Стоимость</w:t>
            </w:r>
          </w:p>
        </w:tc>
        <w:tc>
          <w:tcPr>
            <w:tcW w:type="dxa" w:w="118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Ценообразование: №2 и №3 выше рынка; в объявлениях не указаны НДС, OPEX и коммунальные платежи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22%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УПРАВЛЯЕМО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Пересчитать №2 к 24–26 тыс. ₽/м²/год, №3 — к 20–23 тыс. Опубликовать полную занятость: НДС, OPEX, коммунальные, каникулы, индексацию — так, как это делают конкуренты на ул. Ленина, 11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0 ₽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 дней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Маркетинг и каналы: единственный аффилированный брокер; на ЦИАН размещён только Корпус II, Корпуса I нет ни в одном из 277 объявлений округа; презентация от 27.07.2026 разошлась с объявлениями по площади и назначению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18%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УПРАВЛЯЕМО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Завести Корпус I на ЦИАН — туда, где уже размещён Корпус II. Плюс Авито и Яндекс.Недвижимость. Профессиональная съёмка с планировками. Привлечь 2–3 независимых брокеров на комиссию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~300 тыс. ₽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30 дней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Позиционирование: «офис» там, где нет офисного рынка; «торговая площадь» без витрины; ошибочный кадастровый номер; приглашение ПВЗ, которым регламент запрещает 2-й этаж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15%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УПРАВЛЯЕМО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Переписать все три объявления. №3 — готовая бьюти-студия, №2 — помещение под услуги, №1 — одно назначение вместо четырёх. Выписка ЕГРН, исправление кадастрового номера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~50 тыс. ₽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14 дней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Продукт: 430 м² — разнородная сборка залов; терраса не благоустроена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12%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УПРАВЛЯЕМО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Нарезка на 3 блока с отдельными входами и санузлами; благоустройство террасы (навес, освещение, озеленение)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~6,5 млн ₽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4–6 мес.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Каннибализация: Корпус II забрал ВкусВилл, МФЦ, Почту, «Ароматный Мир»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10%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УПРАВЛЯЕМО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Развести корпуса по функциям: Корпус II — торговля и сервис у дороги, Корпус I — услуги, детское и здоровье. Единая матрица арендаторов на оба здания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0 ₽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30 дней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Физика здания: лифт на планах БТИ отсутствует; публичная жалоба на опасную лестницу; 42 парковки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9%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A5A2E"/>
                <w:sz w:val="17"/>
                <w:szCs w:val="17"/>
              </w:rPr>
              <w:t xml:space="preserve">ЧАСТИЧНО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Срочно: антискользящее покрытие, поручни, контрастная маркировка ступеней. Оценить возможность установки лифта. Проверить фактическое число парковочных мест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350 тыс. ₽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(лифт — отдельно)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45 дней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Локация и трафик: 1+1 полоса, 478 жителей села, конкурент с GLA 6 300 м² в 800 м, метро перехватывает поток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8%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6E6860"/>
                <w:sz w:val="17"/>
                <w:szCs w:val="17"/>
              </w:rPr>
              <w:t xml:space="preserve">ОБЪЕКТИВНО</w:t>
            </w:r>
          </w:p>
        </w:tc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Изменить нельзя. Принять как данность и подбирать арендаторов, которым витринный трафик не нужен</w:t>
            </w:r>
          </w:p>
        </w:tc>
        <w:tc>
          <w:tcPr>
            <w:tcW w:type="dxa" w:w="1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118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Макроэкономика: ставка ЦБ 14%, НДС 22%, вакансия ТЦ растёт, реальные доходы замедлились до +1,5%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6%</w:t>
            </w:r>
          </w:p>
        </w:tc>
        <w:tc>
          <w:tcPr>
            <w:tcW w:type="dxa" w:w="12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6E6860"/>
                <w:sz w:val="17"/>
                <w:szCs w:val="17"/>
              </w:rPr>
              <w:t xml:space="preserve">ОБЪЕКТИВНО</w:t>
            </w:r>
          </w:p>
        </w:tc>
        <w:tc>
          <w:tcPr>
            <w:tcW w:type="dxa" w:w="3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Изменить нельзя. Смещать фокус с независимых предпринимателей на сетевых арендаторов с собственным капиталом</w:t>
            </w:r>
          </w:p>
        </w:tc>
        <w:tc>
          <w:tcPr>
            <w:tcW w:type="dxa" w:w="12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  <w:tc>
          <w:tcPr>
            <w:tcW w:type="dxa" w:w="118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—</w:t>
            </w:r>
          </w:p>
        </w:tc>
      </w:tr>
    </w:tbl>
    <w:tbl>
      <w:tblPr>
        <w:tblW w:type="dxa" w:w="10106"/>
        <w:tblInd w:type="dxa" w:w="0"/>
        <w:tblBorders>
          <w:top w:val="single" w:color="2F4A61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F4A61"/>
                <w:spacing w:val="16"/>
                <w:sz w:val="17"/>
                <w:szCs w:val="17"/>
              </w:rPr>
              <w:t xml:space="preserve">Что из этого следует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На управляемые причины приходится около 67% совокупного веса, на объективные — 14%, на частично управляемые — 9%.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Трёхлетний простой не приговор для локации. Две трети проблемы находятся в зоне прямого контроля собственника, и первые три позиции — ценообразование, каналы и позиционирование, дающие вместе 55% веса, — устраняются за 30 дней и примерно 350 тыс. ₽.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5.2. Пять ошибок, которые видит арендатор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00"/>
        <w:gridCol w:w="5206"/>
      </w:tblGrid>
      <w:tr>
        <w:trPr>
          <w:tblHeader/>
        </w:trPr>
        <w:tc>
          <w:tcPr>
            <w:tcW w:type="dxa" w:w="4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видит потенциальный арендатор</w:t>
            </w:r>
          </w:p>
        </w:tc>
        <w:tc>
          <w:tcPr>
            <w:tcW w:type="dxa" w:w="52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Почему это останавливает сделку</w:t>
            </w:r>
          </w:p>
        </w:tc>
      </w:tr>
      <w:tr>
        <w:trPr>
          <w:cantSplit/>
        </w:trPr>
        <w:tc>
          <w:tcPr>
            <w:tcW w:type="dxa" w:w="4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 объявлении не указаны НДС, OPEX и коммунальные платежи</w:t>
            </w:r>
          </w:p>
        </w:tc>
        <w:tc>
          <w:tcPr>
            <w:tcW w:type="dxa" w:w="5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Отдел развития сети не может рассчитать полную занятость (occupancy cost) и не ставит объект в воронку. Это стандартная процедура. Конкурент в 800 метрах, на ул. Ленина, 11, публикует в карточке ЦИАН ставку с указанием НДС, эксплуатационный платёж 350 ₽/м²/мес, переменную часть по счётчикам, каникулы 60 дней и обеспечительный платёж</w:t>
            </w:r>
          </w:p>
        </w:tc>
      </w:tr>
      <w:tr>
        <w:trPr>
          <w:cantSplit/>
        </w:trPr>
        <w:tc>
          <w:tcPr>
            <w:tcW w:type="dxa" w:w="4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Кадастровый номер 50:11:0050505:190 относится к соседнему зданию (ул. Ленина, 26). Для ул. Ленина, 28 сам брокер на другой странице указывает 50:11:0050502:1759</w:t>
            </w:r>
          </w:p>
        </w:tc>
        <w:tc>
          <w:tcPr>
            <w:tcW w:type="dxa" w:w="5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Юрист сетевого арендатора проверяет кадастр на первом шаге. Несоответствие адреса и кадастрового номера останавливает сделку и подрывает доверие ко всему пакету документов</w:t>
            </w:r>
          </w:p>
        </w:tc>
      </w:tr>
      <w:tr>
        <w:trPr>
          <w:cantSplit/>
        </w:trPr>
        <w:tc>
          <w:tcPr>
            <w:tcW w:type="dxa" w:w="4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Объявление №2 приглашает «ПВЗ Wildberries или Яндекс Маркета»</w:t>
            </w:r>
          </w:p>
        </w:tc>
        <w:tc>
          <w:tcPr>
            <w:tcW w:type="dxa" w:w="5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Регламент Wildberries прямо запрещает размещение выше первого этажа и требует от 70 м² в Московской области (у нас 39,6). Яндекс Маркет допускает второй этаж, но только при работающем лифте. Оба обращения отваливаются на первом уточнении — и оставляют впечатление, что собственник не изучил вопрос</w:t>
            </w:r>
          </w:p>
        </w:tc>
      </w:tr>
      <w:tr>
        <w:trPr>
          <w:cantSplit/>
        </w:trPr>
        <w:tc>
          <w:tcPr>
            <w:tcW w:type="dxa" w:w="4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Объявление №3 продаёт «офис», фотографии показывают бьюти-салон</w:t>
            </w:r>
          </w:p>
        </w:tc>
        <w:tc>
          <w:tcPr>
            <w:tcW w:type="dxa" w:w="5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Арендатор не понимает, что именно сдаётся. Неопределённость на этапе объявления — самая дешёвая причина отказа</w:t>
            </w:r>
          </w:p>
        </w:tc>
      </w:tr>
      <w:tr>
        <w:trPr>
          <w:cantSplit/>
        </w:trPr>
        <w:tc>
          <w:tcPr>
            <w:tcW w:type="dxa" w:w="4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Объявление №1 предлагает «под офис, коворкинг, спортивную или танцевальную студию»</w:t>
            </w:r>
          </w:p>
        </w:tc>
        <w:tc>
          <w:tcPr>
            <w:tcW w:type="dxa" w:w="52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Четыре разных продукта в одном тексте. Ни один из четырёх адресатов не узнаёт в описании своё помещение</w:t>
            </w:r>
          </w:p>
        </w:tc>
      </w:tr>
    </w:tbl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6.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Оценка текущей презентации объекта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Объект продаётся презентацией «Торговый комплекс «Амбар» в аренду» — одиннадцать слайдов, датированных 27 июля 2026 года, в тот же день обновлялись и объявления на metrplus.com. Концепция единая: весь второй и третий этаж, 911,5 м², предлагаются под один ресторан.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3"/>
        <w:gridCol w:w="5053"/>
      </w:tblGrid>
      <w:tr>
        <w:tc>
          <w:tcPr>
            <w:tcW w:type="dxa" w:w="5053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3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E4DED4" w:sz="2" w:space="6"/>
        </w:pBdr>
        <w:spacing w:after="170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Обложка и концепция 2-го этажа: 612,8 м², три зала, бар, детская комната и летняя веранда, 33 стола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400"/>
        <w:gridCol w:w="1500"/>
        <w:gridCol w:w="6206"/>
      </w:tblGrid>
      <w:tr>
        <w:trPr>
          <w:tblHeader/>
        </w:trPr>
        <w:tc>
          <w:tcPr>
            <w:tcW w:type="dxa" w:w="2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предлагается</w:t>
            </w:r>
          </w:p>
        </w:tc>
        <w:tc>
          <w:tcPr>
            <w:tcW w:type="dxa" w:w="1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Площадь</w:t>
            </w:r>
          </w:p>
        </w:tc>
        <w:tc>
          <w:tcPr>
            <w:tcW w:type="dxa" w:w="62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Состав по презентации</w:t>
            </w:r>
          </w:p>
        </w:tc>
      </w:tr>
      <w:tr>
        <w:trPr>
          <w:cantSplit/>
        </w:trPr>
        <w:tc>
          <w:tcPr>
            <w:tcW w:type="dxa" w:w="2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2-й этаж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612,8 м²</w:t>
            </w:r>
          </w:p>
        </w:tc>
        <w:tc>
          <w:tcPr>
            <w:tcW w:type="dxa" w:w="6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Три зала ресторана, бар, детская комната, сырный цех, открытая кухня, летняя веранда 131,7 м², 33 стола</w:t>
            </w:r>
          </w:p>
        </w:tc>
      </w:tr>
      <w:tr>
        <w:trPr>
          <w:cantSplit/>
        </w:trPr>
        <w:tc>
          <w:tcPr>
            <w:tcW w:type="dxa" w:w="2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3-й этаж</w:t>
            </w:r>
          </w:p>
        </w:tc>
        <w:tc>
          <w:tcPr>
            <w:tcW w:type="dxa" w:w="1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298,7 м²</w:t>
            </w:r>
          </w:p>
        </w:tc>
        <w:tc>
          <w:tcPr>
            <w:tcW w:type="dxa" w:w="6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Семь ресторанных залов и отдельный банкетный зал 41,9 м² — «событийный кластер»</w:t>
            </w:r>
          </w:p>
        </w:tc>
      </w:tr>
      <w:tr>
        <w:trPr>
          <w:cantSplit/>
        </w:trPr>
        <w:tc>
          <w:tcPr>
            <w:tcW w:type="dxa" w:w="2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Итого</w:t>
            </w:r>
          </w:p>
        </w:tc>
        <w:tc>
          <w:tcPr>
            <w:tcW w:type="dxa" w:w="1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911,5 м²</w:t>
            </w:r>
          </w:p>
        </w:tc>
        <w:tc>
          <w:tcPr>
            <w:tcW w:type="dxa" w:w="6206"/>
            <w:tcBorders>
              <w:bottom w:val="single" w:color="1E1C19" w:sz="10"/>
            </w:tcBorders>
            <w:shd w:fill="F0E6D8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41,6% всей площади Корпуса I (2 191,5 м²)</w:t>
            </w:r>
          </w:p>
        </w:tc>
      </w:tr>
    </w:tbl>
    <w:tbl>
      <w:tblPr>
        <w:tblW w:type="dxa" w:w="10106"/>
        <w:tblInd w:type="dxa" w:w="0"/>
        <w:tblBorders>
          <w:top w:val="single" w:color="963F26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963F26"/>
                <w:spacing w:val="16"/>
                <w:sz w:val="17"/>
                <w:szCs w:val="17"/>
              </w:rPr>
              <w:t xml:space="preserve">Что важно зафиксировать сразу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Материалы свежие и сделаны всерьёз: презентация датирована 27 июля 2026 года, в ней есть концепция, рендеры и посчитанная посадка.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При этом объект сейчас продаётся двумя разными предложениями одновременно. Объявления на сайте предлагают три отдельных лота общей площадью 515,4 м² по трём ставкам и под три назначения. Презентация предлагает 911,5 м² одним куском под одно назначение. Арендатор, нашедший оба, не поймёт, что именно сдаётся.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6.1. Что презентация исправила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Одна концепция вместо четырёх.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Объявление по помещению №1 предлагало «офис, коворкинг, спортивную или танцевальную студию» — четыре адресата в одном тексте. Презентация выбрала одного и говорит с ним на его языке: сырный цех, открытая кухня, посадка, детская комната, банкетный зал.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Терраса превращена в продукт.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131,7 м² названы летней верандой, показаны в рендере с мебелью, озеленением и светом, отдельной строкой указана возможность установки навеса. По плану БТИ это помещение 24 — та самая открытая бетонная площадка, которая на прежних фотографиях выглядела неиспользуемой. Здесь показано, чем она может стать.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Планировки с расстановкой.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На слайдах 5 и 9 даны поэтажные планы с мебелью и подсчитанной посадкой. Арендатор видит, помещается ли его бизнес, не выезжая на объект.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Рендеры вместо пустых кадров.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Четыре визуализации — зал, веранда, детская, банкетный зал. Они снимают главную проблему прежних фотографий, где разнородные залы с обшивкой OSB и банкетным глянцем отпугивали сразу всех.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Актуальный состав соседей.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Логотипы ВкусВилл, «36,6», Dr. Duck, «Ирис», La Poste, OZON, «Пятёрочка» — состав соответствует тому, что мы подтвердили по картам, включая арендаторов Корпуса II.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53"/>
        <w:gridCol w:w="5053"/>
      </w:tblGrid>
      <w:tr>
        <w:tc>
          <w:tcPr>
            <w:tcW w:type="dxa" w:w="5053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53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E4DED4" w:sz="2" w:space="6"/>
        </w:pBdr>
        <w:spacing w:after="170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Рендер летней веранды 131,7 м² и концепция 3-го этажа: семь залов плюс банкетный зал 41,9 м²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6.2. Что она создала заново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Площадь выросла вдвое, а сложность — сильнее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Было 515,4 м² тремя лотами, стало 911,5 м² одним. Найти одного арендатора на 911 м² в селе труднее, чем трёх на 515 м². Кроме того, в 911,5 м² попадают площади, которые в объявлениях не фигурируют, — значит под ресторан планируется освободить и то, что сейчас занято. Кого именно придётся подвинуть и на каких условиях, в презентации не сказано.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Ресторан на втором и третьем этаже без грузового подъёма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На поэтажных планах БТИ лифт отсутствует, есть две лестницы. Ресторан с сырным цехом и открытой кухней — это ежедневный поток продуктов, посуды, белья и отходов между этажами и улицей. Плюс банкетный зал на третьем этаже. Вся эта логистика ложится на лестницу, о которой на карточке объекта висит публичный отзыв о падении посетительницы с госпитализацией.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Парковка не сходится с посадкой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0"/>
        <w:gridCol w:w="2200"/>
        <w:gridCol w:w="4506"/>
      </w:tblGrid>
      <w:tr>
        <w:trPr>
          <w:tblHeader/>
        </w:trPr>
        <w:tc>
          <w:tcPr>
            <w:tcW w:type="dxa" w:w="3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Значение</w:t>
            </w:r>
          </w:p>
        </w:tc>
        <w:tc>
          <w:tcPr>
            <w:tcW w:type="dxa" w:w="45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Откуда</w:t>
            </w:r>
          </w:p>
        </w:tc>
      </w:tr>
      <w:tr>
        <w:trPr>
          <w:cantSplit/>
        </w:trPr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Посадка 2-го этажа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33 стола ≈ 83 гостя</w:t>
            </w:r>
          </w:p>
        </w:tc>
        <w:tc>
          <w:tcPr>
            <w:tcW w:type="dxa" w:w="45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презентация, слайд 5</w:t>
            </w:r>
          </w:p>
        </w:tc>
      </w:tr>
      <w:tr>
        <w:trPr>
          <w:cantSplit/>
        </w:trPr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Посадка 3-го этажа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 залов + банкетный ≈ 50 гостей</w:t>
            </w:r>
          </w:p>
        </w:tc>
        <w:tc>
          <w:tcPr>
            <w:tcW w:type="dxa" w:w="45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оценка по 298,7 м²</w:t>
            </w:r>
          </w:p>
        </w:tc>
      </w:tr>
      <w:tr>
        <w:trPr>
          <w:cantSplit/>
        </w:trPr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Полная посадка комплекса</w:t>
            </w:r>
          </w:p>
        </w:tc>
        <w:tc>
          <w:tcPr>
            <w:tcW w:type="dxa" w:w="2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≈ 130 гостей</w:t>
            </w:r>
          </w:p>
        </w:tc>
        <w:tc>
          <w:tcPr>
            <w:tcW w:type="dxa" w:w="45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расчёт</w:t>
            </w:r>
          </w:p>
        </w:tc>
      </w:tr>
      <w:tr>
        <w:trPr>
          <w:cantSplit/>
        </w:trPr>
        <w:tc>
          <w:tcPr>
            <w:tcW w:type="dxa" w:w="3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Нужно машиномест при загрузке 70%</w:t>
            </w:r>
          </w:p>
        </w:tc>
        <w:tc>
          <w:tcPr>
            <w:tcW w:type="dxa" w:w="2200"/>
            <w:tcBorders>
              <w:bottom w:val="single" w:color="E4DED4" w:sz="2"/>
            </w:tcBorders>
            <w:shd w:fill="8E3A22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≈ 37</w:t>
            </w:r>
          </w:p>
        </w:tc>
        <w:tc>
          <w:tcPr>
            <w:tcW w:type="dxa" w:w="45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оценка, 2,5 гостя на автомобиль</w:t>
            </w:r>
          </w:p>
        </w:tc>
      </w:tr>
      <w:tr>
        <w:trPr>
          <w:cantSplit/>
        </w:trPr>
        <w:tc>
          <w:tcPr>
            <w:tcW w:type="dxa" w:w="3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Всего машиномест</w:t>
            </w:r>
          </w:p>
        </w:tc>
        <w:tc>
          <w:tcPr>
            <w:tcW w:type="dxa" w:w="22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42 на весь комплекс</w:t>
            </w:r>
          </w:p>
        </w:tc>
        <w:tc>
          <w:tcPr>
            <w:tcW w:type="dxa" w:w="45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презентация, слайд 3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Эти 42 места обслуживают ещё «Пятёрочку», аптеку, пункт выдачи OZON, пекарню и арендаторов Корпуса II, включая ВкусВилл. При вечерней загрузке ресторана свободных мест для остальных не остаётся. Для локации, где пешеходного трафика нет и все приезжают на машине, это ограничение физическое, а не маркетинговое.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Вечерний формат в дневной локации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Ресторан зарабатывает вечером. По данным Яндекс.Карт загруженность комплекса достигает пика в 13:00–15:00 и к 21:00 опускается до 30% от пика. Презентация обещает «устойчивый клиентский трафик для ресторана», но ни одной цифры трафика в ней нет — ни посещаемости, ни интенсивности движения, ни численности населения.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Соседний ресторан со звездой Michelin не упомянут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В 250 метрах, в ТК «Ильинка Village» на улице Ленина, 30, работает ресторан со звездой Michelin. Ресторатор, которому адресована презентация, узнает об этом в первые десять минут собственной проверки. Умолчание в материалах читается как невнимание к рынку и обесценивает остальные аргументы.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Рыночная проверка ресторанного формата на верхних этажах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Выгрузка ЦИАН даёт прямой ответ, как этот формат продаётся в том же коридоре. На улице Экспериментальной, 10 — между Ильинским и Новорижским шоссе — предлагаются 500 м² «под ресторан, кафе» по 30 000 ₽/м²/год (</w:t>
      </w:r>
      <w:hyperlink w:history="1" r:id="rIdffsrepqwjo6gp2jgljehy">
        <w:r>
          <w:rPr>
            <w:rFonts w:ascii="PT Sans" w:cs="PT Sans" w:eastAsia="PT Sans" w:hAnsi="PT Sans"/>
            <w:color w:val="30536F"/>
            <w:sz w:val="18"/>
            <w:szCs w:val="18"/>
            <w:u w:val="single"/>
          </w:rPr>
          <w:t xml:space="preserve">krasnogorsk.cian.ru/rent/commercial/325457201</w:t>
        </w:r>
      </w:hyperlink>
      <w:r>
        <w:rPr>
          <w:rFonts w:ascii="PT Serif" w:cs="PT Serif" w:eastAsia="PT Serif" w:hAnsi="PT Serif"/>
          <w:color w:val="1E1C19"/>
          <w:sz w:val="21"/>
          <w:szCs w:val="21"/>
        </w:rPr>
        <w:t xml:space="preserve">) и 1 700 м² «под ресторан, клуб, зал на 500 гостей» по 24 636 ₽/м²/год (</w:t>
      </w:r>
      <w:hyperlink w:history="1" r:id="rIdgf-ba7kcedv0r-bwiid5_">
        <w:r>
          <w:rPr>
            <w:rFonts w:ascii="PT Sans" w:cs="PT Sans" w:eastAsia="PT Sans" w:hAnsi="PT Sans"/>
            <w:color w:val="30536F"/>
            <w:sz w:val="18"/>
            <w:szCs w:val="18"/>
            <w:u w:val="single"/>
          </w:rPr>
          <w:t xml:space="preserve">krasnogorsk.cian.ru/rent/commercial/325457203</w:t>
        </w:r>
      </w:hyperlink>
      <w:r>
        <w:rPr>
          <w:rFonts w:ascii="PT Serif" w:cs="PT Serif" w:eastAsia="PT Serif" w:hAnsi="PT Serif"/>
          <w:color w:val="1E1C19"/>
          <w:sz w:val="21"/>
          <w:szCs w:val="21"/>
        </w:rPr>
        <w:t xml:space="preserve">). Оба лота на четвёртом этаже, оба в экспозиции 263 дня. Ресторанная концепция верхнего этажа здесь уже проверяется рынком девятый месяц и арендатора не нашла. По лоту на 1 700 м² карточка хранит историю цены: 29.12.2025 он был выставлен за 4,25 млн ₽/мес, 16.02.2026 цена снижена до 3,49 млн — минус 17,9%, и после этого он стоит ещё семь месяцев.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Коммерческих условий нет ни одного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В презентации не указаны ставка, НДС, эксплуатационные расходы, коммунальные платежи, арендные каникулы и обеспечительный платёж. Не указаны и технические параметры, которые ресторатор спрашивает первыми: выделенная электрическая мощность на кухню, газ, вентиляция и жироудаление, водоотведение, высота до низа перекрытия. Для сравнения, соседи по улице Ленина, 11 публикуют в карточке ЦИАН ставку с указанием НДС, эксплуатационный платёж 350 ₽ за м² в месяц, переменную часть по счётчикам и каникулы 60 дней.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Мелочи, которые считываются как небрежность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На первом слайде — «Московсковская область». Это первый экран, который видит федеральный оператор.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Заявлено «911,5 м²», при этом 612,8 + 298,7 = 911,5 — арифметика сходится, но на сайте те же этажи продаются как 430,5 + 39,6 + 45,3 = 515,4 м². Расхождение никак не объяснено.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Контакт один — Леонид Синютин, sl@metrplus.com. В презентации 2023 года было три контакта, включая генерального директора и коммерческую службу.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6.3. Вердикт и что сделать с ней в ближайший месяц</w:t>
      </w:r>
    </w:p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Коротко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Как маркетинговый материал презентация сделана хорошо: сильные рендеры, посчитанная посадка, единая концепция и работающая идея с верандой. По качеству подачи это заметный шаг вперёд относительно всего, что было у объекта раньше.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Как коммерческое предложение она пока не работает: в ней нет ни цены, ни инженерных параметров, ни доказательств трафика, а выбранный формат упирается в три физических ограничения объекта — отсутствие грузового подъёма, 42 машиноместа и дневной профиль посещаемости.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Концепцию имеет смысл сохранить и достроить. Ресторан имеет смысл как якорь второго этажа с верандой, но третий этаж под банкетный кластер добавляет логистику, которую здание не обслуживает.</w:t>
            </w:r>
          </w:p>
        </w:tc>
      </w:tr>
    </w:tbl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00"/>
        <w:gridCol w:w="4700"/>
        <w:gridCol w:w="1206"/>
      </w:tblGrid>
      <w:tr>
        <w:trPr>
          <w:tblHeader/>
        </w:trPr>
        <w:tc>
          <w:tcPr>
            <w:tcW w:type="dxa" w:w="42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сделать</w:t>
            </w:r>
          </w:p>
        </w:tc>
        <w:tc>
          <w:tcPr>
            <w:tcW w:type="dxa" w:w="47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Зачем</w:t>
            </w:r>
          </w:p>
        </w:tc>
        <w:tc>
          <w:tcPr>
            <w:tcW w:type="dxa" w:w="12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Добавить коммерческий слайд: ставка, НДС, эксплуатация, коммунальные, каникулы, обеспечительный платёж, срок договора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Без него презентация не доходит до финансового директора сети</w:t>
            </w:r>
          </w:p>
        </w:tc>
        <w:tc>
          <w:tcPr>
            <w:tcW w:type="dxa" w:w="1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 дней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Добавить технический слайд: выделенная мощность на кухню, газ, вентиляция и жироудаление, водоотведение, высота перекрытий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Ресторатор снимает эти вопросы до показа, иначе показ не назначается</w:t>
            </w:r>
          </w:p>
        </w:tc>
        <w:tc>
          <w:tcPr>
            <w:tcW w:type="dxa" w:w="1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14 дней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Дать цифры вместо слова «устойчивый»: посещаемость комплекса, интенсивность движения, население в радиусе 5 км, проектная ёмкость новостроек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Заменяет обещание на аргумент</w:t>
            </w:r>
          </w:p>
        </w:tc>
        <w:tc>
          <w:tcPr>
            <w:tcW w:type="dxa" w:w="1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14 дней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Решить вопрос подъёма: техническое заключение о грузовом лифте либо схема загрузки через отдельный вход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Снимает главное физическое возражение</w:t>
            </w:r>
          </w:p>
        </w:tc>
        <w:tc>
          <w:tcPr>
            <w:tcW w:type="dxa" w:w="1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30 дней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Пересчитать парковку и предложить решение: разметка, соглашение с соседями, вечернее перераспределение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37 машин из 42 — это то, что арендатор посчитает сам</w:t>
            </w:r>
          </w:p>
        </w:tc>
        <w:tc>
          <w:tcPr>
            <w:tcW w:type="dxa" w:w="1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30 дней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Рассмотреть деление: ресторан с верандой на 2-м этаже, а 3-й этаж — под услуги из тир-листа</w:t>
            </w:r>
          </w:p>
        </w:tc>
        <w:tc>
          <w:tcPr>
            <w:tcW w:type="dxa" w:w="47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911 м² одним куском сужают воронку до нескольких операторов в стране</w:t>
            </w:r>
          </w:p>
        </w:tc>
        <w:tc>
          <w:tcPr>
            <w:tcW w:type="dxa" w:w="12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30 дней</w:t>
            </w:r>
          </w:p>
        </w:tc>
      </w:tr>
      <w:tr>
        <w:trPr>
          <w:cantSplit/>
        </w:trPr>
        <w:tc>
          <w:tcPr>
            <w:tcW w:type="dxa" w:w="42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Исправить опечатку на первом слайде и синхронизировать площади с объявлениями</w:t>
            </w:r>
          </w:p>
        </w:tc>
        <w:tc>
          <w:tcPr>
            <w:tcW w:type="dxa" w:w="47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Стоит ноль, читается как аккуратность</w:t>
            </w:r>
          </w:p>
        </w:tc>
        <w:tc>
          <w:tcPr>
            <w:tcW w:type="dxa" w:w="12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 день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020" w:right="900" w:bottom="900" w:left="900" w:header="708" w:footer="708" w:gutter="0"/>
          <w:pgNumType/>
          <w:titlePg/>
          <w:docGrid w:linePitch="360"/>
        </w:sectPr>
      </w:pPr>
    </w:p>
    <w:p>
      <w:pPr>
        <w:pStyle w:val="Heading1"/>
        <w:pBdr>
          <w:bottom w:val="single" w:color="963F26" w:sz="10" w:space="6"/>
        </w:pBdr>
        <w:spacing w:after="200"/>
      </w:pPr>
      <w:r>
        <w:rPr>
          <w:rFonts w:ascii="PT Serif" w:cs="PT Serif" w:eastAsia="PT Serif" w:hAnsi="PT Serif"/>
          <w:b/>
          <w:bCs/>
          <w:color w:val="23303A"/>
          <w:sz w:val="34"/>
          <w:szCs w:val="34"/>
        </w:rPr>
        <w:t xml:space="preserve">7. Тир-лист потенциальных арендаторов</w:t>
      </w:r>
    </w:p>
    <w:p>
      <w:pPr>
        <w:spacing w:after="130"/>
        <w:jc w:val="both"/>
      </w:pPr>
      <w:r>
        <w:rPr>
          <w:rFonts w:ascii="PT Serif" w:cs="PT Serif" w:eastAsia="PT Serif" w:hAnsi="PT Serif"/>
          <w:color w:val="1E1C19"/>
          <w:sz w:val="19"/>
          <w:szCs w:val="19"/>
        </w:rPr>
        <w:t xml:space="preserve">55 компаний и форматов, проверенных на реальность существования и на актуальность заявлений об экспансии (не старше 12 месяцев). Ключевой фильтр — требование сети к этажу: оно отсекает примерно половину «стандартного» списка сетевых арендаторов, поскольку все три наших помещения находятся выше первого этажа. Ставки в предпоследней колонке — наша оценка платёжеспособности категории, а не публичные данные: ни одна из проверенных компаний публичных арендных ставок не раскрывает.</w:t>
      </w:r>
    </w:p>
    <w:tbl>
      <w:tblPr>
        <w:tblW w:type="dxa" w:w="65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shd w:fill="2F4A61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6"/>
                <w:szCs w:val="16"/>
              </w:rPr>
              <w:t xml:space="preserve">S — идеальное совпадение</w:t>
            </w:r>
          </w:p>
        </w:tc>
        <w:tc>
          <w:tcPr>
            <w:tcW w:type="dxa" w:w="1300"/>
            <w:shd w:fill="5E809A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6"/>
                <w:szCs w:val="16"/>
              </w:rPr>
              <w:t xml:space="preserve">A — сильный кандидат</w:t>
            </w:r>
          </w:p>
        </w:tc>
        <w:tc>
          <w:tcPr>
            <w:tcW w:type="dxa" w:w="1300"/>
            <w:shd w:fill="D7CDBF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B — возможен</w:t>
            </w:r>
          </w:p>
        </w:tc>
        <w:tc>
          <w:tcPr>
            <w:tcW w:type="dxa" w:w="1300"/>
            <w:shd w:fill="C98B62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6"/>
                <w:szCs w:val="16"/>
              </w:rPr>
              <w:t xml:space="preserve">C — слабый</w:t>
            </w:r>
          </w:p>
        </w:tc>
        <w:tc>
          <w:tcPr>
            <w:tcW w:type="dxa" w:w="1300"/>
            <w:shd w:fill="8E3A22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6"/>
                <w:szCs w:val="16"/>
              </w:rPr>
              <w:t xml:space="preserve">D — не подойдёт</w:t>
            </w:r>
          </w:p>
        </w:tc>
      </w:tr>
    </w:tbl>
    <w:p>
      <w:pPr>
        <w:spacing w:after="120"/>
      </w:pPr>
    </w:p>
    <w:tbl>
      <w:tblPr>
        <w:tblW w:type="dxa" w:w="148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"/>
        <w:gridCol w:w="1400"/>
        <w:gridCol w:w="1090"/>
        <w:gridCol w:w="2930"/>
        <w:gridCol w:w="1150"/>
        <w:gridCol w:w="2600"/>
        <w:gridCol w:w="2390"/>
        <w:gridCol w:w="1280"/>
        <w:gridCol w:w="1458"/>
      </w:tblGrid>
      <w:tr>
        <w:trPr>
          <w:tblHeader/>
        </w:trPr>
        <w:tc>
          <w:tcPr>
            <w:tcW w:type="dxa" w:w="54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Тир</w:t>
            </w:r>
          </w:p>
        </w:tc>
        <w:tc>
          <w:tcPr>
            <w:tcW w:type="dxa" w:w="14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Компания / сеть</w:t>
            </w:r>
          </w:p>
        </w:tc>
        <w:tc>
          <w:tcPr>
            <w:tcW w:type="dxa" w:w="109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Категория</w:t>
            </w:r>
          </w:p>
        </w:tc>
        <w:tc>
          <w:tcPr>
            <w:tcW w:type="dxa" w:w="293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Кратко о компании: формат, число точек, динамика экспансии, источник</w:t>
            </w:r>
          </w:p>
        </w:tc>
        <w:tc>
          <w:tcPr>
            <w:tcW w:type="dxa" w:w="115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Помещение</w:t>
            </w:r>
          </w:p>
        </w:tc>
        <w:tc>
          <w:tcPr>
            <w:tcW w:type="dxa" w:w="26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Почему подойдёт нашему ТЦ</w:t>
            </w:r>
          </w:p>
        </w:tc>
        <w:tc>
          <w:tcPr>
            <w:tcW w:type="dxa" w:w="239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Почему может не подойти / риск</w:t>
            </w:r>
          </w:p>
        </w:tc>
        <w:tc>
          <w:tcPr>
            <w:tcW w:type="dxa" w:w="128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Ожидаемая ставка</w:t>
            </w:r>
          </w:p>
        </w:tc>
        <w:tc>
          <w:tcPr>
            <w:tcW w:type="dxa" w:w="1458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Контакт для развития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2F4A61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Бэби-клуб / Бэби-сад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Детский сад и развитие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160 клубов и садов, 55 активных партнёров; формат «Бэби-сад» от 140 м². Грамота Московского форума франчайзинга 2025. Инвестиции в Москве от 7,6 млн ₽ (fr.baby-club.ru)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(430,5 м² целиком)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430 м² = полноформатный сад, а не кружок. Терраса 2-го этажа = прогулочная зона — в обычном ТЦ это нерешаемая проблема, у нас она решена. Потолки 3,9 м, мокрая точка. Здание нежилое, поэтому размещение законно. Субсидия МО 14 500 ₽/мес на ребёнка после лицензирования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Лицензирование сада требует эвакуационных путей и доступности; отсутствие лифта и жалобы на лестницу — прямой блокер. Нужна оценка соответствия до переговоров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10 000–13 000 ₽/м²/год (360–466 тыс ₽/мес) при каникулах 4–6 мес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8 800 100 20 24 · fr.baby-club.ru/detskij-sad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2F4A61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SoloSalon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Бьюти-коворкинг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50 адресов. Открытие на Аминьевской — сентябрь 2026; обновлённый коворкинг на Пролетарской — 01.12.2025 (solosalon.ru)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(430,5 м² целиком)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Формат создан ровно под такой метраж: 430 м² = 15–20 рабочих мест + кабинеты. Мокрая точка есть. В здании уже работают «Бьюти Сфера» (77 оценок), Giselle, «Луси», подолог — бьюти-спрос на этом адресе доказан, а две студии 3-го этажа закрылись, освободив клиентуру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Бьюти-коворкинг конкурирует с действующими арендаторами здания — возможен конфликт интересов. Нужна вентиляция под маникюр/педикюр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12 000–15 000 ₽/м²/год (430–538 тыс ₽/мес)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solosalon.ru — раздел франшизы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2F4A61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4hands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Маникюр / бьюти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221 франшизная точка — лидер сегмента. Требования: 30–100 м², первый этаж жилого дома ЛИБО ТЦ / бизнес-кластер, мокрая точка, от 15 кВт (offers.4hands.ru)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Совпадение по всем формальным требованиям: метраж 39,6 в коридоре 30–100, мокрая точка есть, формат ТЦ разрешён их же регламентом, электрической мощности в здании 670 кВт с запасом. Свежий ремонт — капвложения минимальны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39,6 м² — внутренняя комната без витрины; часть их экономики строится на вывеске и витринном трафике. Нужна сильная навигация от входа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28 000–32 000 ₽/м²/год (92–106 тыс ₽/мес)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offers.4hands.ru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2F4A61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Art of Pilates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Фитнес-студия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10 студий. Два формата: 100–150 м² (инвестиции от 3,3 млн ₽) и от 150 м² (от 5 млн ₽) (artofpilates-franchise.ru)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Прямое попадание в формат. Потолки 3,9 м — редкость для студийного фитнеса и их прямое требование к оборудованию реформеров. Клиентура коттеджных посёлков бизнес-класса — ядро аудитории пилатеса. Посещение по записи, что снимает нагрузку на 42 парковки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Требует нарезки 430 м² — это CAPEX собственника. Нужны раздевалки и душевые (мокрая точка одна)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16 000–20 000 ₽/м²/год (200–250 тыс ₽/мес за блок 150 м²)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+7 903 664 7755 · artofpilates-franchise.ru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2F4A61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Laser Love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Косметология / лазерная эпиляция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237 работающих студий в 146 городах. Опубликованная стратегия от 13.03.2026: +10 клиник в Москве в 2026 году (до 30) и +5 в СНГ (laserlove.ru/blog/franchise/strategya-2026)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 или блок в №1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Публично заявленная цель по Москве на текущий год — самый свежий сигнал экспансии в выборке. Помещение №3 уже имеет отделку бьюти-студии (ресепшн, зонирование, мокрая точка) — заезд почти без вложений. Процедуры по записи, витрина не нужна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Заявленная цель — Москва, не область; нужно проверить, рассматривают ли МО. Лазерное оборудование требует подтверждённой мощности и вентиляции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22 000–26 000 ₽/м²/год (83–98 тыс ₽/мес)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laserlove.ru/franchise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2F4A61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S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Гемотест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Лаборатория / медицина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800+ точек по франшизе. Требования: 55–120 м², помещение «не ниже первого этажа» (т.е. 2-й допустим), потолки от 2,6 м, водоснабжение и канализация, парковка, договор от 3 лет (franshiza.ru/franchise/read/gemotest)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60–90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Одна из немногих федеральных лабораторных сетей, чей регламент прямо допускает этаж выше первого — в отличие от ИНВИТРО и «Хеликса». Здание нежилое, значит медицинская лицензия на 2-м этаже возможна, чего не могут предложить встроенные помещения соседних ЖК. Парковка и соседство с аптекой 36,6 — их профиль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Требует нарезки и отдельного санузла. Договор от 3 лет — придётся зафиксировать ставку надолго. Конкуренция: ИНВИТРО/Хеликс уже могут стоять на 1-х этажах соседних ЖК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20 000–24 000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franshiza.ru/franchise/read/gemotest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KDL | Медскан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Лаборатория / медицина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450+ собственных офисов, 500+ точек под брендом, 13 лабораторных комплексов. Франшиза запущена 05.02.2025 (Коммерсантъ); первый франчайзинговый офис в Москве открыт 10.12.2025 (РИА). Инвестиции 3,8–5,5 млн ₽, эксклюзивные права на территорию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 или блок в №1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активно ищет франчайзи в Москве и области с конца 2025 — окно открыто сейчас. Эксклюзив на территорию — сильный аргумент для партнёра: в радиусе 5 км конкурирующих лабораторий мало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Требования к помещению публично не раскрыты — возможен отказ по этажу, как у ИНВИТРО. Запрашивать регламент до показа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20 000–24 000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franchise@kdl.ru · 8 495 258 82 11 · franchise.kdl.ru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Сёма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Детские центры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384 франчайзинговых предприятия — лидер по числу точек в сегменте. Форматы: сад, фри-фло, игровая; от 75 м² (topfranchise.ru)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100–150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Самая гибкая по формату сеть в детском сегменте: можно зайти игровой на 75 м², а вырасти до сада. Это снижает риск для обеих сторон при поэтапной нарезке 430 м². Спрос подтверждён — в здании уже работал «Центр развития личности Культура»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Детский формат упирается в ту же связку «нет лифта + опасная лестница». Без её решения переговоры остановятся на этапе осмотра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14 000–18 000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topfranchise.ru — карточка франшизы «Сёма»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Полиглотики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Языковая школа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Международная сеть. Базовый формат от 50 м² (два кабинета + холл), расширенный 70–150 м². 1-е место в рейтинге Forbes «Самые выгодные франшизы России 2025» среди языковых школ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 или блок в №1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Занятия во второй половине дня — идеально ложится на дневной профиль загруженности ТЦ (пик 13:00–15:00 по Яндекс.Картам). Аудитория — дети из коттеджных посёлков и ЖК «Ильинские Луга» (4 школы в проекте). Витрина не нужна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45,3 м² чуть меньше их минимума в 50 м² — нужен либо блок из №1, либо связка №3 + смежная комната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18 000–22 000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poliglotiki.ru/franchajzing.html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Чемпионика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Детский футбол / спорт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~650–700 локаций, 185 франчайзи, 5 стран. Методика одобрена РФС. Ведущие франчайзи запускают более 20 центров в год. Работают на арендованных залах, инвестиции 220 тыс.–1,5 млн ₽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зал 150–200 м², почасово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Редкий арендатор, которого можно поставить в дневные часы без ущерба другим: секции идут после школы. Почасовая аренда зала даёт доход с площади, которая иначе простаивает, и не требует от них капвложений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Почасовая модель = низкая и нестабильная выручка с метра; не закрывает площадь как якорь. Рассматривать как добор, а не как основного арендатора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Почасово: 1 200–2 000 ₽/час (загрузка 4–6 ч/день в будни)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franshiza.ru/franchise/read/chempionika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TOPGUN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Барбершоп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250+ барбершопов, 290+ подписанных договоров, 5 стран, 50 городов. Материал Forbes «Экспансия начинается: как TOPGUN намерена расширить сеть барбершопов»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Барбершоп — формат целевого визита по записи, витринный трафик не критичен. Мужская аудитория коттеджных посёлков платёжеспособна. Мокрая точка есть. Объявление собственника уже называет барбершоп целевым форматом — значит запросы были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 здании уже работают «Луси» (парикмахерская) и «Бьюти Сфера» — сеть может счесть локацию занятой. 39,6 м² — на нижней границе для 3–4 кресел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28 000–32 000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франчайзинга на сайте сети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OldBoy Barbershop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Барбершоп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253 франчайзинговых точки, 290+ запусков в 11 странах (oldboybarbershop.com/franchising)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Вторая по масштабу барбершоп-сеть страны с активным франчайзингом — если TOPGUN откажет, это прямая альтернатива без потери качества оператора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Те же ограничения: внутренняя комната без витрины, конкуренция внутри здания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28 000–32 000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oldboybarbershop.com/franchising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BRITVA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Барбершоп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145+ филиалов, 6 в стадии открытия. Инвестиции от 6,5 млн ₽ именно в Москве и Московской области (topfranchise.ru)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прямо декларирует Москву и МО как приоритетную территорию и указывает объём инвестиций для неё — то есть партнёры под этот регион ищутся активно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Высокий порог инвестиций для франчайзи в МО может затянуть поиск партнёра на локацию в селе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28 000–32 000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topfranchise.ru/stati/obzor-franshizy-britva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ТОЧКА красоты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Салон красоты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196 точек, присутствует в рейтингах РБК и Forbes. Сеть предоставляет партнёрам подбор помещения «под ключ»; есть франчайзи, масштабировавшиеся до 6 салонов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Помещение №3 — фактически готовая бьюти-студия закрывшегося оператора: ресепшн, зонирование, мокрая точка, отделка. Заезд почти без CAPEX. Предыдущий оператор на этом месте имел рейтинг 5,0 и 57 отзывов — спрос доказан на самой площадке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Свежих новостей об экспансии за последние 12 месяцев не найдено — активность сети требует проверки звонком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22 000–26 000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franshiza.ru/franchise/read/tochka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Pilates Life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Пилатес / фитнес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Крупнейшее в РФ пространство пилатеса. Новые филиалы 2025: Покровка (январь), Орджоникидзе (сентябрь) — подтверждено отраслевым изданием Pilates Journal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Подтверждённые открытия два года подряд. Потолки 3,9 м и возможность сделать отдельный вход с лестничного узла — то, что нужно студийному формату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Их точки сосредоточены в Москве внутри МКАД; выход в область не подтверждён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16 000–20 000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pilates.life/franchise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FITLIT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EMS-студия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EMS-студий. Формат от 75 м², позиционируется через «низкие арендные затраты», заявленная окупаемость 12 месяцев (franshiza.ru)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75–100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EMS — самый компактный фитнес-формат: 75 м² достаточно, тренировки по записи, парковка не перегружается. Из 430 м² такой блок нарезается легко и оставляет место ещё двум арендаторам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Модель сети построена на дешёвой аренде — они будут давить ставку вниз. Оборудование требует устойчивого электропитания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14 000–18 000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franshiza.ru — раздел спортивных франшиз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FIT-N-GO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EMS-студия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Создатель рынка EMS в России. Инвестиции франчайзи от 1,5 млн ₽ (biz.fit-n-go.ru)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75–100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Низкий порог входа для партнёра — 1,5 млн ₽ — увеличивает вероятность найти местного франчайзи из числа жителей посёлков, а не ждать корпоративного решения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Свежих новостей об экспансии не найдено; сеть небольшая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14 000–18 000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biz.fit-n-go.ru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Кухонный Двор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Мебель / кухни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Исторический московский бренд кухонной мебели, развивает франчайзинговые салоны. Открыл принципиально новый салон в Одинцово (Retail.ru, kuxni.net)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150–200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Одинцово — соседнее западное направление с той же аудиторией: коттеджные посёлки, ремонт загородного дома. Мебельные шоурумы традиционно идут на 2–3 этаж, потому что покупка плановая, а не импульсная. Потолки 3,9 м позволяют выставить высокие колонны — прямое преимущество перед конкурентами с потолками 3 м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Занос крупногабаритных образцов без лифта — реальная логистическая проблема. Низкая частота визитов не создаёт трафика соседям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12 000–16 000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kuxni.net — раздел о компании / франчайзинг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Кухни «Мария»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Мебель / кухни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Крупнейшая федеральная сеть кухонь, собственное производство в Пензе, развивается по франшизе (franshiza.ru/franchise/read/mariya)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150–200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Федеральный масштаб и отлаженная франчайзинговая модель. Тот же аргумент по потолкам и плановому характеру покупки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Требования к этажу и трафику публично не раскрыты. Та же проблема заноса образцов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12 000–16 000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franshiza.ru/franchise/read/mariya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Четыре Лапы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Зоотовары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600 магазинов — юбилейный открыт 22.12.2025 именно в ТЦ («Патриот», Москва). +54 точки за 2025 год, 8 ветцентров, 49 груминг-салонов. Заявлено: «в 2026 планируем продолжить открывать» (New Retail, 22.12.2025)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120–200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Формат ТЦ подтверждён фактом: юбилейный магазин открыт в торговом центре. Темп ~55 точек в год — сеть в активной фазе. Владельцы домашних животных в коттеджных посёлках — платёжеспособная и регулярная аудитория; груминг работает по записи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Требования по этажу публично не раскрыты — зоомагазины обычно просят 1-й этаж с витриной. Вероятен отказ, запрашивать регламент до показа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16 000–20 000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развития сети на сайте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Свой Доктор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Ветклиника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15+ клиник в Москве и МО. Паушальный взнос 200 тыс. ₽, роялти 50 тыс. ₽/мес. Опубликован прямой мобильный коммерческого директора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 или блок в №1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Ветклиника — целевой визит, витрина не нужна, здание нежилое (в жилом доме ветклиника ограничена). Ближайшая точка притяжения — Ильинская больница в Глухово показывает, что медицинский профиль в локации востребован. Доступен прямой контакт лица, принимающего решение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Экспансия за последние 12 месяцев не подтверждена публикациями. Ветклиника требует отдельной вентиляции и утилизации отходов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18 000–22 000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Руслан Семченко, +7 925 506-54-39 · svoydoctor.ru/franchayzing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Pedant.ru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Ремонт электроники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707 сервисных центров, 400+ договоров франшизы — крупнейшая сеть ремонта смартфонов в РФ. Три формата, различающиеся площадью и локацией; вложения 490–990 тыс. ₽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Три формата означают гибкость по метражу. Услуга целевая: клиент едет чинить телефон, а не заходит случайно. Низкий порог инвестиций — легко найти местного франчайзи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Ремонт электроники обычно ставят на 1-й этаж у потока. Чек с метра ниже, чем у бьюти — будут торговаться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24 000–28 000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franshiza.pedant.ru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Алгоритмика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Детское IT-образование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200 городов России, присутствие в 25 странах (biz.algoritmika.org)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или блок в №1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Занятия после школы — попадание в дневной профиль загруженности. ЖК «Ильинские Луга» с 4 школами в проекте создаёт целевую аудиторию на горизонте 3–5 лет. Компьютерный класс не требует витрины и мокрой точки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Требования к помещению не раскрыты. Сегмент перегрет — в радиусе может уже работать конкурент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18 000–22 000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biz.algoritmika.org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Детская страна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Детский сад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Крупнейшая по числу мест сеть частных садов. Ключевой аргумент экономики: субсидия Московской области 14 500 ₽/мес на ребёнка после получения лицензии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(430,5 м² целиком)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Субсидия МО принципиально меняет экономику сада в Красногорском округе и делает возможной более высокую арендную ставку, чем платит обычный детский центр. 430 м² + терраса = лицензируемый формат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Лицензия требует соблюдения норм по эвакуации, инсоляции и доступности — отсутствие лифта и состояние лестницы могут сделать лицензирование невозможным. Проверять до переговоров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10 000–13 000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beboss.ru/franchise/2410-franshiza-detskaya-strana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GLOW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Бьюти-коворкинг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Франшиза бьюти-коворкингов. Инвестиции от 2,6 млн ₽, заявленный доход от 450 тыс. ₽/мес (glowfranshiza.ru)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150–200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Альтернатива SoloSalon с вдвое меньшим порогом входа — выше шанс найти местного партнёра. Формат опирается на тренд ухода мастеров из салонов в аренду места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Небольшая сеть, устойчивость модели не подтверждена независимыми источниками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14 000–18 000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glowfranshiza.ru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5E809A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A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Пальчики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Ногтевая студия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72 точки. Инвестиции ~4 млн ₽ (franshiza.palchiki.com)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Устойчивая сеть среднего размера, метраж 39,6 м² типичен для ногтевой студии. Мокрая точка есть, мощности достаточно для вытяжек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Свежих новостей об экспансии не найдено. Конкуренция с действующими бьюти-арендаторами здания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28 000–32 000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franshiza.palchiki.com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Бетховен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Зоотовары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99 магазинов (87 собственных + 14 франчайзи на начало 2026). 13.02.2026 открыты 4 магазина в новой концепции: примерочные, лапомойки, зоны новинок. Ядро аудитории — женщины 35–40 лет, 80% покупателей (Retail.ru)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150–250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Смена концепции обычно сопровождается поиском новых площадей под увеличенный формат. Портрет покупателя точно совпадает с жительницами коттеджных посёлков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втрое меньше «Четырёх Лап» и растёт медленнее. Новая концепция с лапомойкой требует воды и слива в торговом зале — на 2-м этаже это дорого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16 000–20 000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развития сети на сайте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Cofix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Кофейня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260+ кофеен, 3-е место по выручке среди кофейных сетей РФ, средний чек 310 ₽ (+12% в 2025). План на 2026: 16–42 открытия, 7 контрактов подписано. Новый формат — 5 точек, первая открыта в спортклубе внутри ТЦ. Готовится продажа бизнеса за 1,25–1,4 млрд ₽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 — после закрытия №1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Их собственный новый формат — кофейня внутри спортклуба в ТЦ — это прямая инструкция: сначала поставить фитнес или детский центр в №1, затем продавать №2 как «точку при готовом трафике», а не как 39 метров на втором этаже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Идти к ним до закрытия №1 бессмысленно. В здании уже работает пекарня La Poste (148 оценок) — конфликт по кофе. Готовящаяся продажа бизнеса может заморозить решения по новым точкам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26 000–30 000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cofix.ru — раздел франчайзинга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Кофе Лайк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Кофейня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1100+ точек. План 150 партнёрских открытий в 2026 году, совокупные инвестиции партнёров 150 млн ₽ (RETAILER.ru, 17.06.2026)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Самый агрессивный план открытий среди кофейных сетей в выборке — 150 точек за год означает низкие требования к локации и быстрое решение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Мини-форматы «кофе с собой» сжались на 1% в 2025 и продолжают падать в 2026; доля покупающих кофе в супермаркетах выросла вдвое до 35%, а рядом «Пятёрочка» и «ВкусВилл». Плюс своя пекарня в здании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24 000–28 000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франчайзинга на сайте сети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One Price Coffee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Кофейня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250+ кофеен. Форматы: Take away 6–10 м², Island 10–20 м², Standard 20–50 м². Требования: от 12 кВт, обязательны вентиляция и кондиционирование. Совместный формат с «ИЗЗЗИ Бизнес»: запуск в Москве в октябре 2025, к марту 2026 — выход в 6 новых городов (Forbes)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Формат Standard 20–50 м² точно накрывает 39,6 м². Электрической мощности здания (670 кВт) достаточно с большим запасом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Те же риски сегмента, что и у «Кофе Лайк». Требование к вентиляции на 2-м этаже потребует вложений собственника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24 000–28 000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onepricecoffee.com/franchise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МЕДСИ («Смарт»)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Медицина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1876 медкабинетов. Формат «Смарт» — клиники шаговой доступности; открытие «Смарт» на юго-западе Москвы, в июне 2026 — выход за рубеж (franchise.medsi.ru)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(430,5 м² целиком)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Формат «Смарт» теоретически ложится в 430 м². Сильный бренд стал бы якорем, поднявшим статус всего объекта после понижения позиционирования при замене «Магнолии» на «Пятёрочку»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Крупный федеральный игрок вряд ли пойдёт в село с населением 478 человек без сетевого покрытия вокруг. Медлицензия потребует решения вопроса доступности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18 000–22 000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franchise.medsi.ru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WSPACE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Коворкинг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Оператор гибких офисов, Москва и Moscow-City, развивает франшизу. Требуется ~600 м², инвестиции 12 млн ₽; заявлен поиск партнёров в Москве и Московской области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+ №3 (475,8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Единственный оператор гибких офисов в выборке, публично заявивший о поиске партнёров в МО. Объединение №1 и №3 даёт 475,8 м² — близко к их требованию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475,8 м² всё ещё меньше 600 м². Рынок гибких офисов Москвы сжимается: ввод −25,4% в 2025 и прогноз −43% в 2026. Офисного спроса в Ильинском нет (0 объявлений)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12 000–15 000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+7 495 122 55 55 · INFO@WSPACE.SPACE · wspace.space/franchise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Boxberry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ПВЗ / логистика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Федеральная сеть пунктов выдачи. Минимальная площадь от 15 м² — самое мягкое требование по метражу среди логистических сетей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Требование к этажу публично не регламентировано, в отличие от Wildberries и Ozon, — значит переговоры в принципе возможны. Малая площадь позволяет разделить №2 на два назначения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Практика рынка: в ТЦ «Октябрь» (Павловская Слобода) все три ПВЗ стоят на 1-м этаже, а на цоколе — только СДЭК. Без лифта выдача крупногабаритных заказов на 2-м этаже проблематична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20 000–26 000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для партнёров на сайте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СДЭК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ПВЗ / логистика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Федеральная сеть. Требования: от 35 м², рекомендуется 50 м². Этаж явно не регламентирован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39,6 м² проходит минимум. В ТЦ «Октябрь» СДЭК стоит на цокольном этаже — прецедент размещения не на первом этаже существует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Ниже рекомендованных 50 м². Поток посылок без лифта ложится на ту самую лестницу, о которой есть публичная жалоба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20 000–26 000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«Стать партнёром» на сайте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One Yoga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Йога / фитнес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студий горячей йоги и пилатеса. Формат требует мощной приточно-вытяжной вентиляции и мокрых точек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150–200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Потолки 3,9 м и наличие мокрой точки — два их ключевых требования, оба выполняются. Электрической мощности 670 кВт достаточно для систем нагрева и вентиляции горячей йоги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Горячая йога — дорогой инженерный формат: потребуется серьёзная вентиляция за счёт собственника. Экспансия сети не подтверждена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14 000–18 000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leaderfranchise.ru/franshiza_oneyoga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Химчистка «Диана»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Бытовые услуги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600+ приёмных пунктов, 30 лет на рынке. Приёмный пункт от 6 м², роялти отсутствует. Открывают ПП в регионах присутствия, включая Москву и МО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Холл / часть №2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Приёмный пункт на 6 м² можно разместить в холле, не занимая арендопригодную площадь целиком. Работает как трафикогенератор для соседей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 здании уже работает химчистка «СтандАрт» (46 оценок, рейтинг 4,9) — прямой конфликт с действующим арендатором. Скорее всего, отказ по этой причине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Символическая ставка; ценность в трафике, а не в доходе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dryclean.ru/partner/usl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Cinnabon Россия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Пекарня / кафе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130 точек в России (1300 в мире). Заявленный план: до 200 пекарен в ближайшие 5 лет; приобретены эксклюзивные права на развитие бренда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Публично заявленный план роста и узнаваемый бренд. Формат кафе-пекарни соответствует метражу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 здании уже работает пекарня La Poste с рейтингом 5,0 и 148 оценками — прямая конкуренция. Второй этаж для импульсной выпечки — плохая позиция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24 000–28 000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cinnabonrussia.com/franchise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Персона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Салон красоты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100+ салонов в 25 городах, входит в ТОП-5 сетей РФ. Инвестиции 3,5–6 млн ₽, заявленный запуск от 2 недель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Готовая отделка бьюти-студии в №3 соответствует их обещанию быстрого запуска. Сильный бренд для аудитории коттеджных посёлков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Экспансия за 12 месяцев не подтверждена. Формат полноценного салона обычно требует больше 45 м²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22 000–26 000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persona-franshiza.ru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D7CDBF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B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S&amp;I Fitness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EMS-студия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EMS-студий, партнёрам предоставляется Business Book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75–100 м²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Ещё один вариант компактного фитнеса для нарезки 430 м², если FITLIT и FIT-N-GO не дадут результата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Малоизвестная сеть, публичных данных о числе точек и динамике нет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14 000–18 000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ems-fitness.tilda.ws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C98B6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Хлеб Насущный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Пекарня / кафе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48 кафе-пекарен в Москве и Санкт-Петербурге. Форматы: Grand Cafe 100–350 м², Express 40–100 м², Mini 20–30 м²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— блок 100–150 м² (с террасой) или №2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Линейка форматов идеально ложится на обе наши площади, а Grand Cafe с выходом на террасу — единственный сценарий, где терраса монетизируется напрямую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Последняя новость о франчайзинге датирована 16.08.2019 — экспансия не подтверждена семь лет. Премиальная пекарня на 2-м этаже без витрины с улицы — сомнительная экономика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20 000–26 000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buybrand.ru/news/24815 — проверять актуальность напрямую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C98B6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Skuratov Coffee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Кофейня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Присутствие в 7 городах, 2 собственные обжарки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Сильный бренд спешелти-кофе, который подошёл бы премиальной аудитории Рублёво-Успенского направления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Экспансия не подтверждена. Спешелти-формат требует пешеходного трафика, которого в селе с населением 478 человек нет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24 000–28 000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skuratovcoffee.ru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C98B6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Чистофф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Прачечная самообслуживания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70+ предприятий в 12 городах — данные 2019 года, свежих не найдено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Прачечная самообслуживания не требует персонала и витрины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Данные о сети семилетней давности, экспансия не подтверждена. Конфликт с действующей химчисткой «СтандАрт». Оборудование требует подвода и слива воды на 2-м этаже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18 000–24 000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franshiza.ru/franchise/read/chistoff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C98B6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Vet Union / Vetcity Clinic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Ветклиника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Московские ветеринарные сети, развивают франшизу. Требования к помещению не публикуют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№3 (45,3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Запасной вариант в ветеринарном направлении, если «Свой Доктор» откажет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Экспансия не подтверждена ни у одной из двух. Требования не раскрыты — высокая вероятность отказа по этажу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18 000–22 000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vetunion.ru/clinic/franchise · vet.city/veterinarnaya-franshiza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C98B6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SOK / Space1 / GrowUp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Гибкие офисы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Московские операторы гибких офисных пространств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№1 + №3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Формально подходящий метраж для небольшой площадки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Рынок сжимается: ввод гибких офисов в Москве −25,4% в 2025, прогноз −43% в 2026 (RB.RU). Офисного рынка в Ильинском нет: 0 офисных объявлений на realestate.ru, 1 на mirkvartir (целое здание 1 200 м²). Идти в этот канал нецелесообразно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10 000–14 000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Сайты операторов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C98B6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C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Планета Здоровья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Аптека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2890 точек в 56 регионах; в начале 2025 приобретены 250 аптек сети «Монастырев»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Активно растущая федеральная сеть с подтверждёнными сделками M&amp;A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В здании уже работает аптека «36,6» — прямой конфликт. Аптеки требуют 1-го этажа. Практически гарантированный отказ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26 000–30 000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Раздел развития сети на сайте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Wildberries ПВЗ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ПВЗ / логистика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Крупнейшая сеть ПВЗ страны. Регламент: минимум 70 м² в Московской области, склад не менее 70% площади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Прямой запрет регламента: «размещать ПВЗ в подвалах, цоколях и этажах выше первого запрещено». Плюс 39,6 м² вдвое меньше требуемых 70 м². ВАЖНО: объявление по помещению №2 прямо приглашает «ПВЗ Wildberries» — это ошибка, отсекающая доверие на первом же звонке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 обращаться до появления площади на 1-м этаже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Ozon ПВЗ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ПВЗ / логистика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Федеральная сеть ПВЗ, от 30 м² в пределах ЦКАД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Регламент запрещает размещение выше первого этажа и требует отдельного входа с улицы. В здании ПВЗ Ozon уже работает — вывеска на фасаде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 обращаться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Яндекс Маркет ПВЗ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ПВЗ / логистика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Требования: от 25 м² (клиентская зона ≥14 м², склад ≥8 м²), ширина клиентской зоны ≥3 м, потолки 2,3–2,5 м, помещение не проходное. Допускается цокольный, первый или второй этаж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№2 (39,6 м²) — условно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Единственный маркетплейс, чей регламент в принципе допускает 2-й этаж, и метраж 39,6 м² проходит с запасом. Есть облегчённые форматы «Лёгкий старт» и «Вместе» внутри действующего бизнеса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БЛОКЕР: «выше первого этажа — нужен работающий лифт или эскалатор». На поэтажных планах БТИ 2-го и 3-го этажей лифт отсутствует, есть только две лестницы. Переходит в тир A немедленно, если лифт будет установлен или обнаружен при осмотре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28 000–32 000 ₽/м²/год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market.yandex.ru/lp/market-pvz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ИНВИТРО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Лаборатория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~1800 офисов в РФ и СНГ, ~350 в Москве и МО. Открытия 2026: Москва, Новосибирск, Калуга, Армавир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Жёсткое требование: «первый этаж, первая линия домов, отдельный вход». Ни одно из трёх помещений не удовлетворяет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 обращаться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Хеликс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Лаборатория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900+ диагностических центров в 260 городах. +13 ДЦ с начала года при плане +70 за 2025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Требование: 1-й этаж, желательно первая линия домов, потолки 2,6 м, пандус. Не проходим по этажу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 обращаться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Мокрый нос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Зоотовары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213 магазинов в 38 городах, 5 груминг-салонов, ветеринарный кабинет. 17.08.2026 объявлен поиск помещений в 46 городах (Retail.ru)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Сеть публично ищет помещения прямо сейчас — единственный такой случай в выборке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Требования исключают нас: «главная линия домов с витринными окнами» и 1500 квартир в радиусе 250 м. У нас 2-й этаж без витрины и 478 жителей села. Написать стоит, но рассчитывать не на что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 в текущей конфигурации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franchise@mokryinos.ru · +7 923 117-54-74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Апрель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Аптека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10 700 пунктов в 79 регионах, +1334 точки за год (март 2026), выручка 259 млрд ₽ (+34%), 1-е место в рейтинге Forbes, май 2026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Самая быстрорастущая аптечная сеть страны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Формат — стрит-ритейл на 1-м этаже. Плюс в здании уже работает аптека «36,6». Двойное несоответствие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 обращаться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FIT Service / шиномонтаж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Автосервис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Федеральная сеть СТО и сети шиномонтажа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Автомобильный характер локации формально подходит автотематике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Требуется от 200 м² с заездом для автомобилей. На 2-м и 3-м этажах физически невозможно. В комплексе эта ниша уже закрыта: автомойка-детейлинг Dr. Duck в цоколе Корпуса II. Автотематика у нас возможна только как офис автострахования или автоподбора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Не обращаться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E4DED4" w:sz="2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Дарк-китчен</w:t>
            </w:r>
          </w:p>
        </w:tc>
        <w:tc>
          <w:tcPr>
            <w:tcW w:type="dxa" w:w="10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F&amp;B / логистика</w:t>
            </w:r>
          </w:p>
        </w:tc>
        <w:tc>
          <w:tcPr>
            <w:tcW w:type="dxa" w:w="293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Формат (не сеть): 30–50 м², два входа с подъездом для курьеров, вода, канализация К1+К3, приточно-вытяжная вентиляция</w:t>
            </w:r>
          </w:p>
        </w:tc>
        <w:tc>
          <w:tcPr>
            <w:tcW w:type="dxa" w:w="115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Метраж №2 формально подходит</w:t>
            </w:r>
          </w:p>
        </w:tc>
        <w:tc>
          <w:tcPr>
            <w:tcW w:type="dxa" w:w="239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Модель построена на непрерывном потоке курьеров. Второй этаж без лифта делает формат нерабочим: каждый заказ — подъём и спуск по лестнице</w:t>
            </w:r>
          </w:p>
        </w:tc>
        <w:tc>
          <w:tcPr>
            <w:tcW w:type="dxa" w:w="128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0"/>
            <w:tcBorders>
              <w:bottom w:val="single" w:color="1E1C19" w:sz="10"/>
            </w:tcBorders>
            <w:shd w:fill="8E3A22" w:color="auto" w:val="clear"/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3"/>
                <w:szCs w:val="13"/>
              </w:rPr>
              <w:t xml:space="preserve">D</w:t>
            </w:r>
          </w:p>
        </w:tc>
        <w:tc>
          <w:tcPr>
            <w:tcW w:type="dxa" w:w="14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3"/>
                <w:szCs w:val="13"/>
              </w:rPr>
              <w:t xml:space="preserve">Т-Банк / Точка</w:t>
            </w:r>
          </w:p>
        </w:tc>
        <w:tc>
          <w:tcPr>
            <w:tcW w:type="dxa" w:w="109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Банк</w:t>
            </w:r>
          </w:p>
        </w:tc>
        <w:tc>
          <w:tcPr>
            <w:tcW w:type="dxa" w:w="293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Банки, работающие без физической сети отделений</w:t>
            </w:r>
          </w:p>
        </w:tc>
        <w:tc>
          <w:tcPr>
            <w:tcW w:type="dxa" w:w="115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6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  <w:tc>
          <w:tcPr>
            <w:tcW w:type="dxa" w:w="239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Бизнес-модель не предполагает офисов обслуживания. Обращение бессмысленно по определению</w:t>
            </w:r>
          </w:p>
        </w:tc>
        <w:tc>
          <w:tcPr>
            <w:tcW w:type="dxa" w:w="128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3"/>
                <w:szCs w:val="13"/>
              </w:rPr>
              <w:t xml:space="preserve">Неприменимо</w:t>
            </w:r>
          </w:p>
        </w:tc>
        <w:tc>
          <w:tcPr>
            <w:tcW w:type="dxa" w:w="1458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3"/>
                <w:szCs w:val="13"/>
              </w:rPr>
              <w:t xml:space="preserve">—</w:t>
            </w:r>
          </w:p>
        </w:tc>
      </w:tr>
    </w:tbl>
    <w:p>
      <w:pPr>
        <w:spacing w:after="0" w:before="120"/>
      </w:pPr>
      <w:r>
        <w:rPr>
          <w:rFonts w:ascii="PT Serif" w:cs="PT Serif" w:eastAsia="PT Serif" w:hAnsi="PT Serif"/>
          <w:i/>
          <w:iCs/>
          <w:color w:val="6E6860"/>
          <w:sz w:val="15"/>
          <w:szCs w:val="15"/>
        </w:rPr>
        <w:t xml:space="preserve">Распределение: S — 6, A — 20, B — 13, C — 6, D — 10 — всего 55 строк. Данные собраны 18.09.2026. Компании, у которых не найдено публичных новостей об экспансии за последние 12 месяцев, помечены в колонке «Кратко» словами «экспансия не подтверждена» и понижены в тире.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900" w:right="800" w:bottom="820" w:left="800" w:header="708" w:footer="708" w:gutter="0"/>
          <w:pgNumType/>
          <w:docGrid w:linePitch="360"/>
        </w:sectPr>
      </w:pPr>
    </w:p>
    <w:p>
      <w:pPr>
        <w:pStyle w:val="Heading2"/>
        <w:spacing w:after="130" w:before="0"/>
      </w:pPr>
      <w:r>
        <w:rPr>
          <w:rFonts w:ascii="PT Serif" w:cs="PT Serif" w:eastAsia="PT Serif" w:hAnsi="PT Serif"/>
          <w:b/>
          <w:bCs/>
          <w:color w:val="23303A"/>
          <w:sz w:val="26"/>
          <w:szCs w:val="26"/>
        </w:rPr>
        <w:t xml:space="preserve">7.1. Пять категорий для холодного предложения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Это направления, где имеет смысл идти первым, не дожидаясь входящего запроса. Общий признак всех пяти: арендатору не нужен витринный трафик, к нему едут по записи, и он выигрывает от того, что здание нежилое.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5600"/>
        <w:gridCol w:w="200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Категория</w:t>
            </w:r>
          </w:p>
        </w:tc>
        <w:tc>
          <w:tcPr>
            <w:tcW w:type="dxa" w:w="5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Почему именно она</w:t>
            </w:r>
          </w:p>
        </w:tc>
        <w:tc>
          <w:tcPr>
            <w:tcW w:type="dxa" w:w="20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Целевое помещение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1. Детское развитие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 частный сад</w:t>
            </w:r>
          </w:p>
        </w:tc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ЖК «Ильинские луга» — 44,9 тыс. проектных жителей в 1,7 км, 4 школы и 9 детских садов в проекте. Детей 0–17 лет в округе: 74,1 тыс. сейчас и 78,0 тыс. к 2028. Субсидия Московской области 14 500 ₽/мес на ребёнка после лицензирования меняет экономику сада. Терраса — прогулочная зона, которой нет ни у одного конкурента</w:t>
            </w:r>
          </w:p>
        </w:tc>
        <w:tc>
          <w:tcPr>
            <w:tcW w:type="dxa" w:w="2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целиком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или блок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2. Бьюти-коворкинг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 бьюти-сети</w:t>
            </w:r>
          </w:p>
        </w:tc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 здании уже работают пять бьюти-операторов, и ещё две студии на 3-м этаже закрылись, оставив клиентуру. Мастера массово уходят из салонов в аренду рабочего места. Мокрая точка есть, мощность 670 кВт</w:t>
            </w:r>
          </w:p>
        </w:tc>
        <w:tc>
          <w:tcPr>
            <w:tcW w:type="dxa" w:w="2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целиком, №2, №3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3. Студийный фитнес,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пилатес, EMS</w:t>
            </w:r>
          </w:p>
        </w:tc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Рынок фитнеса РФ: 316,5 млрд ₽ в 2025 (+20%), прогноз 365 млрд ₽ на 2026. Потолки 3,9 м — прямое требование студийных форматов и редкость для района. Посещение по записи не перегружает парковку</w:t>
            </w:r>
          </w:p>
        </w:tc>
        <w:tc>
          <w:tcPr>
            <w:tcW w:type="dxa" w:w="2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№1, блоки 75–150 м²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4. Медицина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 лаборатории</w:t>
            </w:r>
          </w:p>
        </w:tc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Здание нежилое — значит медицинская лицензия на 2-м этаже возможна, чего не могут предложить встроенные помещения соседних ЖК. Гемотест прямо допускает этаж «не ниже первого». Ильинская больница в Глухово подтверждает медицинский профиль локации</w:t>
            </w:r>
          </w:p>
        </w:tc>
        <w:tc>
          <w:tcPr>
            <w:tcW w:type="dxa" w:w="20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(блок 60–90 м²), №3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5. Мебель, кухни,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интерьерные шоурумы</w:t>
            </w:r>
          </w:p>
        </w:tc>
        <w:tc>
          <w:tcPr>
            <w:tcW w:type="dxa" w:w="5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Покупка плановая, а не импульсная — верхний этаж не мешает. Потолки 3,9 м позволяют выставить высокие колонны. Аудитория коттеджных посёлков ремонтирует и обставляет дома. «Кухонный Двор» уже открыл новый салон в соседнем Одинцово</w:t>
            </w:r>
          </w:p>
        </w:tc>
        <w:tc>
          <w:tcPr>
            <w:tcW w:type="dxa" w:w="20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№1, блок 150–200 м²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Шестое и седьмое направления — с оговорками. Ветеринария: аудитория коттеджных посёлков подходит идеально, но экспансия найденных сетей не подтверждена, поэтому идти нужно к локальным операторам. Языковые школы и IT-образование для детей: занятия во второй половине дня точно попадают в дневной профиль загруженности, но сегмент конкурентный и требует проверки, нет ли оператора в «Ильинских лугах».</w:t>
      </w:r>
    </w:p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8.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Сценарии и оценка NPV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Горизонт — 36 месяцев. Ставка дисконтирования 18% годовых: ключевая ставка ЦБ 14% на 11.09.2026 плюс премия за риск 4 процентных пункта. Эксплуатационные расходы на вакантную площадь, которые несёт собственник, приняты в 3 000 ₽/м²/год. Индексация аренды 7% с 13-го и 25-го месяцев. Ставки сдачи взяты по выборке раздела 3 — по уровню, на котором лоты реально уходят с рынка, а не по запрашиваемым ставкам соседей. Все допущения перечислены в приложении.</w:t>
      </w:r>
    </w:p>
    <w:p>
      <w:pPr>
        <w:spacing w:after="140" w:before="100"/>
        <w:jc w:val="center"/>
      </w:pPr>
      <w:r>
        <w:drawing>
          <wp:inline distT="0" distB="0" distL="0" distR="0">
            <wp:extent cx="6286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00"/>
        <w:gridCol w:w="3900"/>
        <w:gridCol w:w="1250"/>
        <w:gridCol w:w="1350"/>
        <w:gridCol w:w="1306"/>
      </w:tblGrid>
      <w:tr>
        <w:trPr>
          <w:tblHeader/>
        </w:trPr>
        <w:tc>
          <w:tcPr>
            <w:tcW w:type="dxa" w:w="2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Сценарий</w:t>
            </w:r>
          </w:p>
        </w:tc>
        <w:tc>
          <w:tcPr>
            <w:tcW w:type="dxa" w:w="3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Что делаем</w:t>
            </w:r>
          </w:p>
        </w:tc>
        <w:tc>
          <w:tcPr>
            <w:tcW w:type="dxa" w:w="12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CAPEX</w:t>
            </w:r>
          </w:p>
        </w:tc>
        <w:tc>
          <w:tcPr>
            <w:tcW w:type="dxa" w:w="135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NPV за 3 года</w:t>
            </w:r>
          </w:p>
        </w:tc>
        <w:tc>
          <w:tcPr>
            <w:tcW w:type="dxa" w:w="13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Прирост к «как есть»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A. Оставить как есть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Ничего не меняем. По модели №1 уходит на 30-м месяце по текущей ставке; №2 и №3 не сдаются за горизонт — за три года при этих ставках спроса не возникло, оснований ждать иного нет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Borders>
              <w:bottom w:val="single" w:color="E4DED4" w:sz="2"/>
            </w:tcBorders>
            <w:shd w:fill="8E3A22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−0,34 млн ₽</w:t>
            </w:r>
          </w:p>
        </w:tc>
        <w:tc>
          <w:tcPr>
            <w:tcW w:type="dxa" w:w="1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B. Коррекция цены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и упаковки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№2 до 25 000 ₽/м²/год, №3 до 20 900 ₽/м²/год и переупаковка в бьюти-студию. №1 без изменения ставки. Съёмка, тексты, выход на площадки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0,35 млн ₽</w:t>
            </w:r>
          </w:p>
        </w:tc>
        <w:tc>
          <w:tcPr>
            <w:tcW w:type="dxa" w:w="1350"/>
            <w:tcBorders>
              <w:bottom w:val="single" w:color="E4DED4" w:sz="2"/>
            </w:tcBorders>
            <w:shd w:fill="5E809A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5,69 млн ₽</w:t>
            </w:r>
          </w:p>
        </w:tc>
        <w:tc>
          <w:tcPr>
            <w:tcW w:type="dxa" w:w="1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+6,03 млн ₽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C. Реконцепция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То же, что в B, плюс нарезка №1 на три блока (150 / 130 / 150,5 м²) по ~1 500 ₽/м²/мес с вводом на 7, 11 и 16-м месяцах, каникулы 2 месяца. Благоустройство террасы, ремонт лестницы</w:t>
            </w:r>
          </w:p>
        </w:tc>
        <w:tc>
          <w:tcPr>
            <w:tcW w:type="dxa" w:w="125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7,0 млн ₽</w:t>
            </w:r>
          </w:p>
        </w:tc>
        <w:tc>
          <w:tcPr>
            <w:tcW w:type="dxa" w:w="1350"/>
            <w:tcBorders>
              <w:bottom w:val="single" w:color="E4DED4" w:sz="2"/>
            </w:tcBorders>
            <w:shd w:fill="5E809A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7,81 млн ₽</w:t>
            </w:r>
          </w:p>
        </w:tc>
        <w:tc>
          <w:tcPr>
            <w:tcW w:type="dxa" w:w="1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+8,15 млн ₽</w:t>
            </w:r>
          </w:p>
        </w:tc>
      </w:tr>
      <w:tr>
        <w:trPr>
          <w:cantSplit/>
        </w:trPr>
        <w:tc>
          <w:tcPr>
            <w:tcW w:type="dxa" w:w="2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D. Якорь</w:t>
            </w:r>
          </w:p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по льготной ставке</w:t>
            </w:r>
          </w:p>
        </w:tc>
        <w:tc>
          <w:tcPr>
            <w:tcW w:type="dxa" w:w="3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№1 целиком одному оператору (частный сад или фитнес) по 10 800 ₽/м²/год с каникулами 6 месяцев и участием собственника в отделке на 3,0 млн ₽. Якорь генерирует трафик, поэтому №2 и №3 уходят быстрее и по верхней границе своих коридоров: 27 000 и 23 000 ₽/м²/год</w:t>
            </w:r>
          </w:p>
        </w:tc>
        <w:tc>
          <w:tcPr>
            <w:tcW w:type="dxa" w:w="125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7"/>
                <w:szCs w:val="17"/>
              </w:rPr>
              <w:t xml:space="preserve">3,35 млн ₽</w:t>
            </w:r>
          </w:p>
        </w:tc>
        <w:tc>
          <w:tcPr>
            <w:tcW w:type="dxa" w:w="1350"/>
            <w:tcBorders>
              <w:bottom w:val="single" w:color="1E1C19" w:sz="10"/>
            </w:tcBorders>
            <w:shd w:fill="2F4A61" w:color="auto" w:val="clear"/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FFFFFF"/>
                <w:sz w:val="17"/>
                <w:szCs w:val="17"/>
              </w:rPr>
              <w:t xml:space="preserve">8,62 млн ₽</w:t>
            </w:r>
          </w:p>
        </w:tc>
        <w:tc>
          <w:tcPr>
            <w:tcW w:type="dxa" w:w="13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2F4A61"/>
                <w:sz w:val="17"/>
                <w:szCs w:val="17"/>
              </w:rPr>
              <w:t xml:space="preserve">+8,96 млн ₽</w:t>
            </w:r>
          </w:p>
        </w:tc>
      </w:tr>
    </w:tbl>
    <w:tbl>
      <w:tblPr>
        <w:tblW w:type="dxa" w:w="10106"/>
        <w:tblInd w:type="dxa" w:w="0"/>
        <w:tblBorders>
          <w:top w:val="single" w:color="23303A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23303A"/>
                <w:spacing w:val="16"/>
                <w:sz w:val="17"/>
                <w:szCs w:val="17"/>
              </w:rPr>
              <w:t xml:space="preserve">Как читать эту таблицу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Отрицательный NPV сценария A объясняется просто: эксплуатация 515 вакантных метров стоит около 1,55 млн ₽ в год и за три года съедает всё, что приносит поздняя сдача одного помещения. Бездействие здесь не нейтрально — оно стоит денег.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Сценарий D даёт лучший NPV при вдвое меньшем CAPEX, чем сценарий C. Причина: якорь одновременно закрывает самую трудную площадь и создаёт трафик для двух малых лотов, тогда как нарезка в сценарии C решает только первую задачу и растягивает заполнение на 16 месяцев.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Сценарий B при затратах 350 тыс. ₽ даёт около двух третей эффекта сценария D. Это лучший показатель отдачи на вложенный рубль в таблице, и именно с него следует начинать — он не конфликтует ни с C, ни с D и может выполняться параллельно.</w:t>
            </w:r>
          </w:p>
        </w:tc>
      </w:tr>
    </w:tbl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b/>
          <w:bCs/>
          <w:color w:val="1E1C19"/>
          <w:sz w:val="21"/>
          <w:szCs w:val="21"/>
        </w:rPr>
        <w:t xml:space="preserve">Рекомендация. </w:t>
      </w:r>
      <w:r>
        <w:rPr>
          <w:rFonts w:ascii="PT Serif" w:cs="PT Serif" w:eastAsia="PT Serif" w:hAnsi="PT Serif"/>
          <w:color w:val="1E1C19"/>
          <w:sz w:val="21"/>
          <w:szCs w:val="21"/>
        </w:rPr>
        <w:t xml:space="preserve">Выполнить B немедленно как самостоятельный шаг, параллельно начав переговоры по D. Сценарий C держать как запасной на случай, если якорного арендатора на всю площадь №1 найти не удастся за 6 месяцев: нарезка — это способ продать площадь, которую не купили целиком, и начинать с неё дорого и преждевременно.</w:t>
      </w:r>
    </w:p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Модель детерминированная: сроки сдачи заданы допущениями, а не вероятностным распределением. Она показывает порядок величин и ранжирование сценариев, а не точный прогноз. Основные риски: сроки сдачи могут сдвинуться вправо; ставки на переговорах могут оказаться ниже; CAPEX по сценарию C оценён укрупнённо и требует сметы.</w:t>
      </w:r>
    </w:p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9.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План действий на 90 дней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Дни 1–14: то, что стоит ноль и даёт больше всего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00"/>
        <w:gridCol w:w="1900"/>
        <w:gridCol w:w="3706"/>
      </w:tblGrid>
      <w:tr>
        <w:trPr>
          <w:tblHeader/>
        </w:trPr>
        <w:tc>
          <w:tcPr>
            <w:tcW w:type="dxa" w:w="45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1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Ответственный</w:t>
            </w:r>
          </w:p>
        </w:tc>
        <w:tc>
          <w:tcPr>
            <w:tcW w:type="dxa" w:w="37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Пересчитать ставки: №2 до 79–86 тыс. ₽/мес, №3 до 76–87 тыс. ₽/мес. №1 оставить, но переупаковать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Собственник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Ставки в рынке впервые за 3 года</w:t>
            </w:r>
          </w:p>
        </w:tc>
      </w:tr>
      <w:tr>
        <w:trPr>
          <w:cantSplit/>
        </w:trPr>
        <w:tc>
          <w:tcPr>
            <w:tcW w:type="dxa" w:w="4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Опубликовать в каждом объявлении: НДС, OPEX, коммунальные, обеспечительный платёж, каникулы, индексацию, срок договора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Брокер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Объект становится считаемым для сетевого арендатора</w:t>
            </w:r>
          </w:p>
        </w:tc>
      </w:tr>
      <w:tr>
        <w:trPr>
          <w:cantSplit/>
        </w:trPr>
        <w:tc>
          <w:tcPr>
            <w:tcW w:type="dxa" w:w="4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Переписать №3: убрать слово «офис», продавать готовую бьюти-/медицинскую студию с отделкой и мокрой точкой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Брокер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Попадание в реальный спрос</w:t>
            </w:r>
          </w:p>
        </w:tc>
      </w:tr>
      <w:tr>
        <w:trPr>
          <w:cantSplit/>
        </w:trPr>
        <w:tc>
          <w:tcPr>
            <w:tcW w:type="dxa" w:w="4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Переписать №2: убрать «торговая площадь» и упоминание ПВЗ Wildberries. Продавать помещение под услуги: барбершоп, маникюр, ремонт электроники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Брокер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Прекращается поток заведомо отказных обращений</w:t>
            </w:r>
          </w:p>
        </w:tc>
      </w:tr>
      <w:tr>
        <w:trPr>
          <w:cantSplit/>
        </w:trPr>
        <w:tc>
          <w:tcPr>
            <w:tcW w:type="dxa" w:w="45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Переписать №1: выбрать одно назначение вместо четырёх. Рекомендуем детский сад / студийный фитнес / бьюти-коворкинг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Брокер</w:t>
            </w:r>
          </w:p>
        </w:tc>
        <w:tc>
          <w:tcPr>
            <w:tcW w:type="dxa" w:w="37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Адресат узнаёт в описании своё помещение</w:t>
            </w:r>
          </w:p>
        </w:tc>
      </w:tr>
      <w:tr>
        <w:trPr>
          <w:cantSplit/>
        </w:trPr>
        <w:tc>
          <w:tcPr>
            <w:tcW w:type="dxa" w:w="45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Заказать выписку ЕГРН, исправить кадастровый номер во всех объявлениях</w:t>
            </w:r>
          </w:p>
        </w:tc>
        <w:tc>
          <w:tcPr>
            <w:tcW w:type="dxa" w:w="1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Юрист</w:t>
            </w:r>
          </w:p>
        </w:tc>
        <w:tc>
          <w:tcPr>
            <w:tcW w:type="dxa" w:w="37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Снят юридический блокер сделки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Дни 15–45: каналы и устранение физических блокеров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00"/>
        <w:gridCol w:w="1400"/>
        <w:gridCol w:w="3106"/>
      </w:tblGrid>
      <w:tr>
        <w:trPr>
          <w:tblHeader/>
        </w:trPr>
        <w:tc>
          <w:tcPr>
            <w:tcW w:type="dxa" w:w="56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14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Бюджет</w:t>
            </w:r>
          </w:p>
        </w:tc>
        <w:tc>
          <w:tcPr>
            <w:tcW w:type="dxa" w:w="31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Профессиональная фотосъёмка всех трёх помещений: дневной свет, широкий угол, планировки с размерами, снимок террасы с визуализацией благоустройства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~120 тыс. ₽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Замена фотографий, где «офис» выглядит как салон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Размещение на ЦИАН, Авито, Яндекс.Недвижимости. На ЦИАН у собственника уже есть аккаунт — там размещён Корпус II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~180 тыс. ₽/год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Три помещения впервые попадают туда, где их ищут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Привлечь 2–3 независимых брокеров по коммерческой недвижимости на комиссию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комиссия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Внешняя воронка и внешняя проверка позиционирования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Устранить риск по лестнице: антискользящее покрытие, поручни, контрастная маркировка ступеней, освещение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~350 тыс. ₽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Снят юридический риск и главная претензия в отзывах; открыт путь к детским и медицинским арендаторам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Проверить и зафиксировать фактическое число парковочных мест; договориться о разметке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~50 тыс. ₽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Устранено расхождение 12 / 42 / 57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Получить техническое заключение о возможности установки лифта и его стоимости</w:t>
            </w:r>
          </w:p>
        </w:tc>
        <w:tc>
          <w:tcPr>
            <w:tcW w:type="dxa" w:w="14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~100 тыс. ₽</w:t>
            </w:r>
          </w:p>
        </w:tc>
        <w:tc>
          <w:tcPr>
            <w:tcW w:type="dxa" w:w="3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Решение по Яндекс Маркет ПВЗ и по всей детско-медицинской воронке</w:t>
            </w:r>
          </w:p>
        </w:tc>
      </w:tr>
      <w:tr>
        <w:trPr>
          <w:cantSplit/>
        </w:trPr>
        <w:tc>
          <w:tcPr>
            <w:tcW w:type="dxa" w:w="56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Обновить презентацию объекта: текущий состав арендаторов, реальные данные по трафику, планировки</w:t>
            </w:r>
          </w:p>
        </w:tc>
        <w:tc>
          <w:tcPr>
            <w:tcW w:type="dxa" w:w="14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~60 тыс. ₽</w:t>
            </w:r>
          </w:p>
        </w:tc>
        <w:tc>
          <w:tcPr>
            <w:tcW w:type="dxa" w:w="31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Материалы перестают противоречить действительности</w:t>
            </w:r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Дни 46–90: адресная работа по тир-листу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00"/>
        <w:gridCol w:w="4806"/>
      </w:tblGrid>
      <w:tr>
        <w:trPr>
          <w:tblHeader/>
        </w:trPr>
        <w:tc>
          <w:tcPr>
            <w:tcW w:type="dxa" w:w="53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Действие</w:t>
            </w:r>
          </w:p>
        </w:tc>
        <w:tc>
          <w:tcPr>
            <w:tcW w:type="dxa" w:w="48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Цель</w:t>
            </w:r>
          </w:p>
        </w:tc>
      </w:tr>
      <w:tr>
        <w:trPr>
          <w:cantSplit/>
        </w:trPr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Обзвон и письма по 6 компаниям тира S и 20 компаниям тира A с индивидуальным предложением под конкретное помещение</w:t>
            </w:r>
          </w:p>
        </w:tc>
        <w:tc>
          <w:tcPr>
            <w:tcW w:type="dxa" w:w="4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 менее 15 содержательных контактов и 5 показов</w:t>
            </w:r>
          </w:p>
        </w:tc>
      </w:tr>
      <w:tr>
        <w:trPr>
          <w:cantSplit/>
        </w:trPr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 предложении первой строкой указывать: здание нежилое, значит медицинская, стоматологическая и детская лицензия на 2-м этаже возможна</w:t>
            </w:r>
          </w:p>
        </w:tc>
        <w:tc>
          <w:tcPr>
            <w:tcW w:type="dxa" w:w="4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Единственное преимущество, которого нет у встроенных помещений соседних ЖК</w:t>
            </w:r>
          </w:p>
        </w:tc>
      </w:tr>
      <w:tr>
        <w:trPr>
          <w:cantSplit/>
        </w:trPr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Переговоры по сценарию D: якорь в №1 с каникулами 6 месяцев и участием в отделке</w:t>
            </w:r>
          </w:p>
        </w:tc>
        <w:tc>
          <w:tcPr>
            <w:tcW w:type="dxa" w:w="4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Подписанный протокол о намерениях с одним якорем</w:t>
            </w:r>
          </w:p>
        </w:tc>
      </w:tr>
      <w:tr>
        <w:trPr>
          <w:cantSplit/>
        </w:trPr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Развести матрицу арендаторов Корпуса I и Корпуса II, чтобы прекратить внутреннюю конкуренцию</w:t>
            </w:r>
          </w:p>
        </w:tc>
        <w:tc>
          <w:tcPr>
            <w:tcW w:type="dxa" w:w="4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Корпус II — торговля и сервис у дороги; Корпус I — услуги, детское, здоровье</w:t>
            </w:r>
          </w:p>
        </w:tc>
      </w:tr>
      <w:tr>
        <w:trPr>
          <w:cantSplit/>
        </w:trPr>
        <w:tc>
          <w:tcPr>
            <w:tcW w:type="dxa" w:w="53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Заказать собственный замер трафика по ГОСТ 32965-2014: 3 будних дня, пятница, суббота, воскресенье</w:t>
            </w:r>
          </w:p>
        </w:tc>
        <w:tc>
          <w:tcPr>
            <w:tcW w:type="dxa" w:w="48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Своя цифра вместо чужой, завышенной в 4–5 раз</w:t>
            </w:r>
          </w:p>
        </w:tc>
      </w:tr>
      <w:tr>
        <w:trPr>
          <w:cantSplit/>
        </w:trPr>
        <w:tc>
          <w:tcPr>
            <w:tcW w:type="dxa" w:w="53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Построить изохрону транспортной доступности 10/15/20 минут</w:t>
            </w:r>
          </w:p>
        </w:tc>
        <w:tc>
          <w:tcPr>
            <w:tcW w:type="dxa" w:w="48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Корректная зона охвата вместо радиуса, искажённого Москвой-рекой</w:t>
            </w:r>
          </w:p>
        </w:tc>
      </w:tr>
    </w:tbl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10.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Источники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Объект и объявления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«Торговая площадь с террасой ТЦ «Амбар-1»», обновлено 27.07.2026 — metrplus.com/commercial-projects/commercial-projects-rent/torgovaya-ploshchad-s-terrasoy-tts-ambar-1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«Торговая площадь 39,6 м² ТЦ «Амбар-1»», обновлено 27.07.2026 — metrplus.com/commercial-projects/commercial-projects-rent/torgovaya-ploshchad-39-6-m-tts-ambar-1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«Офис на первой линии, БЦ «Амбар»», обновлено 12.08.2026 — metrplus.com/commercial-projects/commercial-projects-rent/ofis-na-pervoy-linii-bts-ambar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«Аренда помещений в торговом центре «Амбар 2»», обновлено 27.07.2026 — metrplus.com/commercial-projects/commercial-projects-rent/arenda-pomeshcheniy-v-torgovom-tsentre-ambar-2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«Наши объекты: Торговый центр в Ильинском», кадастровый номер 50:11:0050502:1759 — metrplus.com/commercial-projects/nashi-obyekty/torgovyy-tsentr-v-ilinskom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Презентация собственника «Торговый центр Амбар», PDF, metrplus.com, создана 23.06.2023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Яндекс.Карты — карточка ТЦ «Амбар», рейтинг 4,4, 68 оценок, 18 отзывов, доступ 18.09.2026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Яндекс.Карты — карточки арендаторов: «Магнолия», «Пятёрочка», La Poste, «Республика», «Ирис», «Бьюти Сфера», «СтандАрт», «Аптека 36,6», Giselle, «Студия тела Андросовой М.», «Студия красоты by Кулинич»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rusprofile.ru / companies.rbc.ru — ООО «Природа-Инвест», ИНН 7722605826, ОГРН 5077746351678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Бенчмарк арендных ставок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ЦИАН — прямая выгрузка через интерфейс собственной выдачи площадки, 18.09.2026. Городской округ Красногорск (region 269663, 277 объявлений), село Ильинское (269681, 13) и отдельными запросами посёлки Рублёво-Успенского направления: Жуковка (55627), Горки-2 (44049), Раздоры (127988), Бузаево (30779), Солослово (142572), Усово (338640), Барвиха (21503), Знаменское (60255), Рождествено (385122), Малое Сареево (92038); Ильинское (269681), Ильинское-Усово (269699) и Глухово (269719) выгружены повторно 20.09.2026 с типом цены. Всего 309 объявлений, после отсечения по границе зоны — 125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Карточки лотов: krasnogorsk.cian.ru/rent/commercial/&lt;id&gt;/ — полный реестр со ссылками в приложении 12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Агрегаторы move.ru, mirkvartir.ru, shopandmall.ru, realestate.ru, gladston.ru из бенчмарка исключены: переопубликованные объявления без даты подачи и без однозначной единицы ставки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Авито — доступ закрыт по адресу, с которого шёл сбор; в выборку не попал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NF Group. Рынок торговой недвижимости Москвы, I полугодие 2026 (media.kf.expert) — только как рыночный фон, не как источник компов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РБК-Недвижимость. «Что будет с рынком торговой недвижимости в Москве в 2026 году», 28.01.2026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Retail.ru / IBC Real Estate. «Доля вакантных площадей в ТЦ Москвы достигла 11%», 04.09.2026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Банк России — ключевая ставка 14,00%, решение от 11.09.2026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Локация, трафик, конкуренты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Проект генерального плана городского округа Красногорск, материалы по обоснованию, Том I, 2018 — krasnogorsk-adm.ru (полосность А-109, табл. 2.2.1 интенсивности, табл. 2.3.1.1 реконструкции)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Интерфакс. Открытие Рублёво-Архангельской линии и станции «Ильинская», 05.09.2026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МК. «Красногорск поехал быстрее», 28.06.2019 (узел Волоколамское × Ильинское шоссе)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Яндекс. Исследование «Подмосковные пробки в дачный сезон»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2ГИС — ТЦ «Ильинский», 56 организаций, рейтинг 4,9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tc-oktyabr.ru — поэтажная раскладка ТЦ «Октябрь», Павловская Слобода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tc-dvor.ru — ТЦ «Княжий двор»; podvorie.com — ТРК «Павлово Подворье»; ilinka-village.clients.site — ТК «Ильинка Вилладж»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rasp.yandex.ru — остановка «Ильинское, улица Ленина»; ginfo.ru, moscowmap.ru — маршруты 540, 541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Демография, строительство, доходы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Постановление администрации г.о. Красногорск № 2760/10 от 16.10.2025 «О прогнозе социально-экономического развития на 2026–2028 годы», Приложения 1 и 2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Доклад главы г.о. Красногорск о достигнутых значениях показателей (Указ Президента № 607) за 2025 год, опубликован 30.04.2026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Росстат — численность населения РФ по муниципальным образованиям на 1 января 2025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pik.ru/il-luga, erzrf.ru — ЖК «Ильинские луга», застройщик ООО «СЗ «ГрадОлимп»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МК. «Власти Подмосковья нашли оригинальный способ решения демографической проблемы», 29.10.2025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NF Group — элитная загородная недвижимость Московского региона, октябрь 2025 (спрос −41% г/г)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Intermark. «Рынок премиальной загородной недвижимости Подмосковья. Итоги 2024»; PMR TOP-100, III квартал 2025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РБК-Недвижимость со ссылкой на ИНКОМ-Недвижимость, 25.10.2018 — доля постоянного проживания 70% в радиусе 40 км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Интерфакс — реальные располагаемые доходы РФ: итог 2025 (+7,4%), I и II кварталы 2026 (+1,5%)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audit-it.ru / ЕМИСС — среднемесячная зарплата по Московской области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Арендаторы и сети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franshiza.ru — Гемотест, ИНВИТРО, «Чемпионика», Cofix, «Сёма», «ТОЧКА красоты», «Чистофф», «Мария»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franchise.kdl.ru; Коммерсантъ, 05.02.2025; РИА Новости, 10.12.2025 — KDL | Медскан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laserlove.ru/blog/franchise/strategya-2026 — стратегия Laser Love на 2026, 13.03.2026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fr.baby-club.ru/detskij-sad; topfranchise.ru — «Сёма», «Первый алгоритм», BRITVA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offers.4hands.ru; solosalon.ru; glowfranshiza.ru; oldboybarbershop.com; persona-franshiza.ru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artofpilates-franchise.ru; pilates.life/franchise; biz.fit-n-go.ru; ddxfitness.ru/real-estate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insport365.com — план DDX Fitness на 2026, заявлен 18.06.2026 на форуме «Движение»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RETAILER.ru, 17.06.2026 — «Кофе Лайк» откроет 150 кофеен в 2026; Cofix, Coffee Way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New Retail, 22.12.2025 — сеть «Четыре Лапы» открыла 600-й зоомагазин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Retail.ru, 17.08.2026 — сеть «Мокрый нос» объявила о поиске помещений в 46 городах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Retail.ru; Forbes, май 2026 — аптечная сеть «Апрель»; Бетховен; «Кухонный Двор»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market.yandex.ru/lp/market-pvz — требования Яндекс Маркет ПВЗ; регламенты Wildberries и Ozon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poliglotiki.ru; biz.algoritmika.org; beboss.ru — «Детская страна»; franshiza.pedant.ru; dryclean.ru/partner</w:t>
      </w:r>
    </w:p>
    <w:p>
      <w:pPr>
        <w:pStyle w:val="ListParagraph"/>
        <w:numPr>
          <w:ilvl w:val="0"/>
          <w:numId w:val="3"/>
        </w:numPr>
        <w:spacing w:after="45" w:line="250" w:lineRule="auto"/>
        <w:jc w:val="left"/>
      </w:pPr>
      <w:r>
        <w:rPr>
          <w:rFonts w:ascii="PT Serif" w:cs="PT Serif" w:eastAsia="PT Serif" w:hAnsi="PT Serif"/>
          <w:color w:val="1E1C19"/>
          <w:sz w:val="17"/>
          <w:szCs w:val="17"/>
        </w:rPr>
        <w:t xml:space="preserve">wspace.space/franchise; RB.RU — сокращение ввода гибких офисов в Москве</w:t>
      </w:r>
    </w:p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11.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Приложение: методология, допущения и ограничения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11.1. Методология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Первичный сбор: извлечение полного текста и всех фотографий трёх объявлений; скачано и просмотрено 29 фотографий, включая поэтажные планы БТИ и схему участка.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Бенчмарк: выборка из 11 сопоставимых предложений ЦИАН, отобранных вручную и проверенных по карточке (раздел 3). Тип цены — за месяц, за м² в месяц или за м² в год — взят из поля карточки для 10 лотов из 11. Как сверка использована машинная выгрузка 309 объявлений, из них 125 внутри зоны (приложение 12); агрегаторы и Авито в расчёт не вошли.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Трафик: три независимых метода оценки (от технической категории дороги, от пропускной способности, от аналога в той же таблице генплана), дающие сходящийся диапазон.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Демография: приоритет отдан первоисточникам — постановлению администрации округа и докладу главы, а не агрегаторам новостроек.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NPV: детерминированная модель месячных денежных потоков на 36 месяцев, ставка дисконтирования 18% годовых.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11.2. Ключевые допущения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00"/>
        <w:gridCol w:w="1900"/>
        <w:gridCol w:w="5106"/>
      </w:tblGrid>
      <w:tr>
        <w:trPr>
          <w:tblHeader/>
        </w:trPr>
        <w:tc>
          <w:tcPr>
            <w:tcW w:type="dxa" w:w="31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Допущение</w:t>
            </w:r>
          </w:p>
        </w:tc>
        <w:tc>
          <w:tcPr>
            <w:tcW w:type="dxa" w:w="1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Значение</w:t>
            </w:r>
          </w:p>
        </w:tc>
        <w:tc>
          <w:tcPr>
            <w:tcW w:type="dxa" w:w="51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Ставка дисконтирования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18% годовых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Ключевая ставка ЦБ 14% на 11.09.2026 плюс премия за риск 4 п.п.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Эксплуатация вакантной площади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3 000 ₽/м²/год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Оценка для малого ТЦ класса C в Подмосковье. Диапазон NF Group для галерей московских ТЦ (9 000–25 000) к этому объекту неприменим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Индексация аренды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7% с 13-го и 25-го месяцев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Обычная практика договоров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Коэффициент заселения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28 м² на человека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Выведен из официальных данных: 44,9 тыс. чел. на 1 257,8 тыс. м². Соответствует ≈1,9 чел./квартира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Доля круглогодичного проживания в КП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60–75%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Данные ИНКОМ 2018 года (70% для радиуса до 40 км) плюс тренд роста. Наименее надёжная цифра в работе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Поправка на второй этаж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0,66 к первому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Медианы выборки: 24 286 ₽/м²/год на втором этаже против 36 750 на первом. Сверка: по блокам 200–800 м² внутри зоны — 0,64, по всему округу Красногорск (254 лота) — 0,70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Премия за малый блок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отсутствует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 выборке блок 42 м² и блок 175 м² в соседних домах на первом этаже различаются на 17%, на втором блоки 22–33,6 м² стоят одинаково. Нарезка помещения №1 даёт скорость сдачи, а не цену за метр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Терраса</w:t>
            </w:r>
          </w:p>
        </w:tc>
        <w:tc>
          <w:tcPr>
            <w:tcW w:type="dxa" w:w="1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 является надбавкой к ставке</w:t>
            </w:r>
          </w:p>
        </w:tc>
        <w:tc>
          <w:tcPr>
            <w:tcW w:type="dxa" w:w="51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Рыночной наценки в открытых источниках не существует</w:t>
            </w:r>
          </w:p>
        </w:tc>
      </w:tr>
      <w:tr>
        <w:trPr>
          <w:cantSplit/>
        </w:trPr>
        <w:tc>
          <w:tcPr>
            <w:tcW w:type="dxa" w:w="31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Веса причин вакансии</w:t>
            </w:r>
          </w:p>
        </w:tc>
        <w:tc>
          <w:tcPr>
            <w:tcW w:type="dxa" w:w="1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экспертная оценка</w:t>
            </w:r>
          </w:p>
        </w:tc>
        <w:tc>
          <w:tcPr>
            <w:tcW w:type="dxa" w:w="51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Не результат статистического расчёта. Приведены для приоритизации действий, а не как измеренная величина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11.3. Что проверить до принятия решений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00"/>
        <w:gridCol w:w="3900"/>
        <w:gridCol w:w="3306"/>
      </w:tblGrid>
      <w:tr>
        <w:trPr>
          <w:tblHeader/>
        </w:trPr>
        <w:tc>
          <w:tcPr>
            <w:tcW w:type="dxa" w:w="2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Вопрос</w:t>
            </w:r>
          </w:p>
        </w:tc>
        <w:tc>
          <w:tcPr>
            <w:tcW w:type="dxa" w:w="3900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Почему это важно</w:t>
            </w:r>
          </w:p>
        </w:tc>
        <w:tc>
          <w:tcPr>
            <w:tcW w:type="dxa" w:w="3306"/>
            <w:tcBorders>
              <w:top w:val="single" w:color="1E1C19" w:sz="10"/>
              <w:bottom w:val="single" w:color="BCB4A8" w:sz="4"/>
            </w:tcBorders>
            <w:tcMar>
              <w:top w:type="dxa" w:w="66"/>
              <w:left w:type="dxa" w:w="74"/>
              <w:bottom w:type="dxa" w:w="52"/>
              <w:right w:type="dxa" w:w="74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4"/>
                <w:szCs w:val="14"/>
              </w:rPr>
              <w:t xml:space="preserve">Как проверить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Есть ли в здании работающий лифт?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На поэтажных планах БТИ 2-го и 3-го этажей лифт отсутствует — только две лестницы. От ответа зависят Яндекс Маркет ПВЗ, вся детская и медицинская воронка, мебельные шоурумы и доступность для МГН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Осмотр объекта. Планы БТИ могут не отражать позже установленное оборудование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Состояние лестницы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Публичный отзыв от 26.03.2025 описывает падение беременной женщины с 3-го на 2-й этаж с госпитализацией и утверждает, что падали и другие. Это одновременно юридический риск и блокер для детских и медицинских арендаторов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Осмотр, техническое заключение, немедленные меры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Кадастровый номер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 двух объявлениях указан номер соседнего здания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Выписка ЕГРН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Реальное число парковочных мест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Расхождение 12 / 42 / 57 между источниками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Замер и разметка на объекте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Условия аренды: НДС, OPEX, коммунальные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Ни в одном объявлении не указаны; без них сетевой арендатор не считает объект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Внутренние документы собственника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Совпадает ли помещение №3 с площадью закрывшейся бьюти-студии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 этого зависит скорость переупаковки и аргументация: предыдущий оператор имел рейтинг 5,0 и 57 отзывов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Сверка с собственником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7"/>
                <w:szCs w:val="17"/>
              </w:rPr>
              <w:t xml:space="preserve">Были ли входящие обращения за 3 года и почему отваливались</w:t>
            </w:r>
          </w:p>
        </w:tc>
        <w:tc>
          <w:tcPr>
            <w:tcW w:type="dxa" w:w="3900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Открытые источники на это ответа не дают, а ответ способен заметно перевесить веса в дереве причин</w:t>
            </w:r>
          </w:p>
        </w:tc>
        <w:tc>
          <w:tcPr>
            <w:tcW w:type="dxa" w:w="3306"/>
            <w:tcBorders>
              <w:bottom w:val="single" w:color="E4DED4" w:sz="2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Журнал обращений брокера</w:t>
            </w:r>
          </w:p>
        </w:tc>
      </w:tr>
      <w:tr>
        <w:trPr>
          <w:cantSplit/>
        </w:trPr>
        <w:tc>
          <w:tcPr>
            <w:tcW w:type="dxa" w:w="2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Фактическая вакансия Корпуса I</w:t>
            </w:r>
          </w:p>
        </w:tc>
        <w:tc>
          <w:tcPr>
            <w:tcW w:type="dxa" w:w="3900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515,4 м² — это только то, что в экспозиции. Четыре арендатора закрылись, их площади в объявлениях не видны</w:t>
            </w:r>
          </w:p>
        </w:tc>
        <w:tc>
          <w:tcPr>
            <w:tcW w:type="dxa" w:w="3306"/>
            <w:tcBorders>
              <w:bottom w:val="single" w:color="1E1C19" w:sz="10"/>
            </w:tcBorders>
            <w:tcMar>
              <w:top w:type="dxa" w:w="66"/>
              <w:left w:type="dxa" w:w="74"/>
              <w:bottom w:type="dxa" w:w="66"/>
              <w:right w:type="dxa" w:w="74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7"/>
                <w:szCs w:val="17"/>
              </w:rPr>
              <w:t xml:space="preserve">Внутренние данные собственника</w:t>
            </w:r>
          </w:p>
        </w:tc>
      </w:tr>
    </w:tbl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11.4. Чего не удалось проверить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Росреестр и публичная кадастровая карта (pkk.rosreestr.ru, nspd.gov.ru) обрывали соединение. Ни площадь, ни год постройки, ни собственник официально не подтверждены — все цифры по зданию приводятся со слов брокера.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Авито в бенчмарк не попал: площадка отвечает «доступ ограничен: проблема с IP» уже на главной странице, с любого запроса с того адреса, с которого шёл сбор. Это ограничение сети, а не блокировка конкретного запроса, и обойти его в рамках работы было нечем. Все ставки бенчмарка поэтому опираются на один источник — ЦИАН.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Точные адреса лотов в выгрузке поиска ЦИАН не приходят — приходят координаты. Ручка карточки, которая отдаёт адрес, на момент сбора отвечала капчей, поэтому в таблицах указан ближайший населённый пункт по координатам, а точный адрес открывается по ссылке на объявление.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Срок экспозиции по ЦИАН считается от даты создания объявления. При повторной публикации она может обнулиться, поэтому приведённые 1157 и 1486 дней — нижняя оценка реального срока, а не верхняя.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Прямых замеров интенсивности движения на А-109 в сечении села Ильинское в открытых источниках нет ни у Росавтодора, ни у ФКУ «Центравтомагистраль», ни у Минтранса Московской области. Единственный официальный замер — из генплана 2018 года, то есть ему восемь лет, и он не учитывает ни «Ильинские луга», ни метро «Ильинская».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Численность сёл Ильинское, Глухово, Николо-Урюпино и Петрово-Дальнее по переписи 2021 не опубликована; сайты Росстата и Мосстата отдавали ошибку 503. Используются данные переписи 2010 года.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Актуального исследования доли круглогодичного проживания в подмосковных коттеджных посёлках за 2024–2026 годы не существует в открытом доступе.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Поэтажная схема ТЦ «Ильинский» не опубликована: известно, что арендаторов 56, но их распределение по этажам неизвестно. Данных о вакантности конкурирующих объектов нет ни по одному.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Публичных арендных ставок конкретных сетей не раскрывает ни одна из 55 проверенных компаний и форматов — все ставки в тир-листе являются нашей оценкой платёжеспособности категории.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История изменения ставок по объекту не восстанавливается: объявления размещены единственным аффилированным каналом, объявлений от других брокеров не обнаружено.</w:t>
      </w:r>
    </w:p>
    <w:p>
      <w:pPr>
        <w:pStyle w:val="ListParagraph"/>
        <w:numPr>
          <w:ilvl w:val="0"/>
          <w:numId w:val="2"/>
        </w:numPr>
        <w:spacing w:after="58" w:line="252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Изохроны транспортной доступности 10/15/20 минут не строились; с учётом разделяющей роли Москвы-реки это обязательный следующий шаг.</w:t>
      </w:r>
    </w:p>
    <w:p>
      <w:pPr>
        <w:pStyle w:val="Heading2"/>
        <w:keepNext/>
        <w:spacing w:after="110" w:before="300"/>
      </w:pPr>
      <w:r>
        <w:rPr>
          <w:rFonts w:ascii="PT Serif" w:cs="PT Serif" w:eastAsia="PT Serif" w:hAnsi="PT Serif"/>
          <w:b/>
          <w:bCs/>
          <w:color w:val="23303A"/>
          <w:sz w:val="25"/>
          <w:szCs w:val="25"/>
        </w:rPr>
        <w:t xml:space="preserve">11.5. Неразрешённое противоречие</w:t>
      </w:r>
    </w:p>
    <w:tbl>
      <w:tblPr>
        <w:tblW w:type="dxa" w:w="10106"/>
        <w:tblInd w:type="dxa" w:w="0"/>
        <w:tblBorders>
          <w:top w:val="single" w:color="963F26" w:sz="8"/>
          <w:left w:val="none"/>
          <w:bottom w:val="single" w:color="E4DED4" w:sz="2"/>
          <w:right w:val="none"/>
          <w:insideH w:val="none"/>
          <w:insideV w:val="none"/>
        </w:tblBorders>
      </w:tblPr>
      <w:tblGrid>
        <w:gridCol w:w="10106"/>
      </w:tblGrid>
      <w:tr>
        <w:trPr>
          <w:cantSplit/>
        </w:trPr>
        <w:tc>
          <w:tcPr>
            <w:tcW w:type="dxa" w:w="10106"/>
            <w:tcMar>
              <w:top w:type="dxa" w:w="150"/>
              <w:left w:type="dxa" w:w="0"/>
              <w:bottom w:type="dxa" w:w="150"/>
              <w:right w:type="dxa" w:w="520"/>
            </w:tcMar>
          </w:tcPr>
          <w:p>
            <w:pPr>
              <w:spacing w:after="85"/>
            </w:pPr>
            <w:r>
              <w:rPr>
                <w:rFonts w:ascii="PT Sans" w:cs="PT Sans" w:eastAsia="PT Sans" w:hAnsi="PT Sans"/>
                <w:b/>
                <w:bCs/>
                <w:caps/>
                <w:color w:val="963F26"/>
                <w:spacing w:val="16"/>
                <w:sz w:val="17"/>
                <w:szCs w:val="17"/>
              </w:rPr>
              <w:t xml:space="preserve">Презентация 2023 года описывает Корпус I как полностью сданный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Презентация собственника, созданная 23.06.2023, помечает Корпус I (ул. Ленина, 28) словом «сдан» и перечисляет арендаторов на всех этажах, включая 2-й и 3-й.</w:t>
            </w:r>
          </w:p>
          <w:p>
            <w:pPr>
              <w:spacing w:after="58" w:line="258" w:lineRule="auto"/>
              <w:jc w:val="both"/>
            </w:pPr>
            <w:r>
              <w:rPr>
                <w:rFonts w:ascii="PT Serif" w:cs="PT Serif" w:eastAsia="PT Serif" w:hAnsi="PT Serif"/>
                <w:color w:val="1E1C19"/>
                <w:sz w:val="20"/>
                <w:szCs w:val="20"/>
              </w:rPr>
              <w:t xml:space="preserve">Между тем эти этажи стоят вакантными примерно с того же времени. Оба утверждения верными быть не могут: либо презентация отражала план, либо арендаторы съехали сразу после сделки, либо «сдан» относилось к части корпуса. По открытым источникам это не разрешается.</w:t>
            </w:r>
          </w:p>
        </w:tc>
      </w:tr>
    </w:tbl>
    <w:p>
      <w:pPr>
        <w:pStyle w:val="Heading1"/>
        <w:keepNext/>
        <w:pBdr>
          <w:top w:val="single" w:color="BCB4A8" w:sz="4" w:space="16"/>
        </w:pBdr>
        <w:spacing w:after="150" w:before="640"/>
      </w:pPr>
      <w:r>
        <w:rPr>
          <w:rFonts w:ascii="PT Sans" w:cs="PT Sans" w:eastAsia="PT Sans" w:hAnsi="PT Sans"/>
          <w:color w:val="963F26"/>
          <w:spacing w:val="16"/>
          <w:sz w:val="22"/>
          <w:szCs w:val="22"/>
        </w:rPr>
        <w:t xml:space="preserve">12.</w:t>
      </w:r>
      <w:r>
        <w:rPr>
          <w:rFonts w:ascii="PT Sans" w:cs="PT Sans" w:eastAsia="PT Sans" w:hAnsi="PT Sans"/>
          <w:sz w:val="22"/>
          <w:szCs w:val="22"/>
        </w:rPr>
        <w:t xml:space="preserve">  </w:t>
      </w:r>
      <w:r>
        <w:rPr>
          <w:rFonts w:ascii="PT Serif" w:cs="PT Serif" w:eastAsia="PT Serif" w:hAnsi="PT Serif"/>
          <w:b/>
          <w:bCs/>
          <w:color w:val="1E1C19"/>
          <w:sz w:val="36"/>
          <w:szCs w:val="36"/>
        </w:rPr>
        <w:t xml:space="preserve">Приложение: широкая выгрузка ЦИАН для сверки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Ставки раздела 3 считаются по выборке из 11 лотов, отобранных вручную. Эта таблица — не она: здесь машинная выгрузка ЦИАН целиком, 125 объявлений коммерческой аренды внутри территории с карты. Она приведена, чтобы поправку на этаж и порядок ставок можно было проверить на широком материале, а не только на одиннадцати карточках.</w:t>
      </w:r>
    </w:p>
    <w:p>
      <w:pPr>
        <w:spacing w:after="96" w:before="0" w:line="254" w:lineRule="auto"/>
        <w:jc w:val="both"/>
      </w:pPr>
      <w:r>
        <w:rPr>
          <w:rFonts w:ascii="PT Serif" w:cs="PT Serif" w:eastAsia="PT Serif" w:hAnsi="PT Serif"/>
          <w:color w:val="1E1C19"/>
          <w:sz w:val="21"/>
          <w:szCs w:val="21"/>
        </w:rPr>
        <w:t xml:space="preserve">Выгрузка сделана 18–20 сентября 2026 года; сгруппирована по населённым пунктам, внутри — по возрастанию ставки. Столбец «дней» — срок с даты создания объявления; при повторной публикации эта дата обнуляется, поэтому срок — нижняя оценка. Звёздочка у ставки — цена в карточке прочитана как ставка за м² в год по величине, а не по полю типа цены. На этой выгрузке отношение медиан второго этажа к первому — 0,70 по всему округу и 0,64 по блокам 200–800 м² внутри зоны, что подтверждает коэффициент 0,66 из раздела 3.2.</w:t>
      </w:r>
    </w:p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Ильинское-Усово — 53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-1/9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4 500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13 500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uoh7v5wwl-s1i9oncpwdn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334096509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1 350 000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133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fp6u_i0byaooyzrncind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329804298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133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lj872lkw_cu0zfssx6qkb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329803342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98,7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18 237*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235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blgcdssjkhcrljizsmnrr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326181813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216 000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19 200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108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3rxtxxvxfmrk5onb5tbr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330684655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10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87,6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140 160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19 200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coachzb7cc-aom8ivvhjd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332688764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200 002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19 355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_gqcahpp2f4qsw5t3qzb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334096625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13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70,7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21 216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aebk1nuolj60-isuxrgvg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334096839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Лесная, 141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63 000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21 600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814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vmla40jmwu8ctqcuyco3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303876473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21 750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111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jdfrweugffxe1n93ut3q6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330605809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86,3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160 000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22 248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xxbv2y7xu8uzk82dx8xl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333248259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23 478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7zk3duomu-m-c5f2yxjnr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331946855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23 684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407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yclrayh7rceqew9a3kdg4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320581965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143,6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284 998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23 816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birm01trjbwn9l8dtcin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332681937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143,6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284 998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23 816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ynbgzr8_8nxt3augpmopc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334096897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73,4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146 800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wi-n5nekorflgugncns_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333495746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Новорижское шоссе, 27-й, 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2,3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apzdzyuk3veulktpx4rr6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333594237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44 000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134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erwysknhztzfsop8mpdvu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329788014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29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58 000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134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jguwff-c-jafh3kdc61io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329788329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134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t0mkedpcxi8h5s-icfad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329787507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159 998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26 301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18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7lkt5wuz3np5bxoc7lkb8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333437804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19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79,6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175 001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26 382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xz5z6bquqfig61i_hf97-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332310503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300,2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669 996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26 782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177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hhmqxr2ywc1ythjgcif1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328226996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86,3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195 002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27 115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tjnp1rqns-dl9fj-iyeh3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332681968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27 907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07fpiqo0iiv4y_svfiori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333616923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Новорижское шоссе, 27-й, 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28 000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2,3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t8o9jcx4spalgt5sfewfj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333593299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15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184 999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28 831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5ttulfhh-ausl-j9gh5h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332604608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85,1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212 998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30 035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429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dxv3o93bcip4y9tucov8k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319821445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14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99,8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249 999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30 060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204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darhftm5fheeudvjl0ny9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327252455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67,8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169 997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30 088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177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vzol2az__3w78whuybgp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328211746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52,8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31 818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_lv4ptwo1wmirmuytysvk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332681922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15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130,5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352 350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32 400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xj8xj8084y-vsqzr-rjpr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332604619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73,4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199 997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32 697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181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qfxek-wfnuuyf-0r3mkdj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328054792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180 002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34 286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92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p-zx1sj1_pqzpjwfkkus3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331190255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66,2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190 000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34 441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8_atsbkssgr5sx6vihh9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332604660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133,7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390 003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35 004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l7_jtguikxhqapsaskpv-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331968103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84,8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249 997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35 377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45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pidpl77hyq-lzfh5ic7a2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332623732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176,3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519 997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35 394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4vnkdupjmcfs1ktw7ktp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331968259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93,2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275 002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35 408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cfaptpaeu9h37yjyyxmb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331968354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16,8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35 714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156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eyo9ay-pmp-j0wy3e-w_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329026279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n1h_gxmyy3yy3uonzidz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333942109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83,1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249 999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36 101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hboxqrojv_jdkyzecp2-e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331968329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73,8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224 998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36 585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284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q-x-fmstjw26nmpz_iqzw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324834779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4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36 923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227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xmgy61e9--ugid1e1uodu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326463844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205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650 004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38 049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r6shewaityn_6dg-woada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332867946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19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1/10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38 400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wf9ihbkuvnfb3etcoopex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333942092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361 998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41 769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g4nhqim05tuy6s0owrqo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332867937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17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450 005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42 188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_3xpy5mfmutczsmsbxmk5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332867952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Архангельская, 19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199 998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44 444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lciy2kusssz1bcwvjvlsi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333943686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300 002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48 649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wc71rctffhzmlc5p7d2n0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333670293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15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166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695 000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50 241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wv-ory241eaelqbs-hnor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333953929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15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321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1 349 992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50 467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zzqiprudoxxuquly2t0e_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333953928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Заповедная, 15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87,9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375 003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51 195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ivffyt2yds7uwczvypmo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333953930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Глухово — 23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Рублевское Предместье, 7к2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-1/5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118,7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70 003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7 077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179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27pvabkidje1rkes4dbn2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328135352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1/8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37,6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34 999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11 170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429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cxndvxanmqemjaye69eik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319810794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23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-1/9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261,6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261 600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12 000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203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hu8ibj3qptvfmit_q15l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327319387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6/7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182,6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212 044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13 935*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287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d31jnkuf0rr_eiclhvvh4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324728283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4/7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311,3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361 497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13 935*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533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lrwjircf8-kv5zxwnfeqc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315802301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23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77,2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96 500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15 000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203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wqf09yxv-mlh8qssd3qvm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327319385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Рублевское Предместье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1/6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29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40 001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16 552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ad60vhsia353oohj1iicf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333084996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21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1/8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63,3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88 620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16 800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203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qpgez9rfrq0vrpf6xgloq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327319412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21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1/8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93,2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130 480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16 800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177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uhldjmmbdknlnmtie80r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328207266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22,3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31 220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16 800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vote-cw0sjlk5202_xmcw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332411093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3/8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1561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2 211 417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17 000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24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8nhhkypi2hlyhydbqd41v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333276228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Рублевское Предместье, 7к2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17 857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0ocliqrfiqzwda0aelp9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333546762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54,1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81 150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pqt5_eifkhddnpcpa-zz8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333350445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19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46 500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6_nb6pc_-i51x_noq3ha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332411100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Рублевское Предместье, 11к1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100 800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21 600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73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rtenjjlmegi8wat90xb6_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331786589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78,8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150 002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22 843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1 295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24dde7k9ftlac_wad_cqn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284412431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249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6gikwbn4odtgul9tlsqiv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325682607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Романовская, 17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1/8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111,1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227 755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24 600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203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pk8ycvsryyl85zovyrgl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327319350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6 917 500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27 670*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exiwpx7vyualfu3ttsc99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332934081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2 305 833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27 670*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277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vfwydpcwmkbusk9ashor6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325069017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5000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11 529 167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27 670*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3,7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tw_3rkjddn_n-vvyt7uui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332934083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Центральная, 83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1 317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xfc2f6b3uqf11iwshesv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283508170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Рублевское Предместье, 1с4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370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1 295 000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42 000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8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1,7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o9qosq0gmj2q2drshqx4v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333809670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Архангельское — 15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465,1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359 987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9 288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e0rna-ojy6hwsruye0loq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333960746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235,7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216 549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11 025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xoju4gyg625ef4zoolr5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333961008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150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13 600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5,3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epenfdenkldkznva_ilyw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333940025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18 072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542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jn3cvb3unoslte4fl1-d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315411685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18 072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408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sktvejvcxsrrozv8xtsbw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320553651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Новорижское шоссе, 23-й, вл2с1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672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1 100 008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19 643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lkyknunk4iup_tswyr3q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332447122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Ильинское шоссе, 4-й, с8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5/6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458,5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849 981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22 245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jw8kt7fe5nziatz4g6f2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333983497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124,9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280 005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26 902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86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t-85fdy6ydtr3ybkdwapb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331344662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20,7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31 884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38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6ahpm2xn_mfwgws-pv26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332816556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61,9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169 998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32 956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70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uqwolbss81cs2d_pp9ncs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331865747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28 000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35 000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38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tsde78grfkayhgf90skqd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332816562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Новорижское шоссе, 23-й, вл2с1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215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649 999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36 279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znxbvvbslxasje-ruuxhi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332447123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54 000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36 818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70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op2btffowyw5zcduhgqil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331865748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1/5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26 000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39 000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5mcgfw21izps1ldprb9d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333043114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Новорижское шоссе, 23-й, вл2с1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175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570 004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39 086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51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5,2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hmvar9bmhbv9kjg8ld5om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332447124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Ильинское — 13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-1/2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107 800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16 800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595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sbr6exgcamkim0m36n1c4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313072137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Экспериментальная, 10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600 000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263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qnpbm24ru2m71_ksnvu5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325457202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30с1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33,6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68 001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24 286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jje69obzhyckpbsq1hbrc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333311589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Экспериментальная, 10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3 489 958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24 635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263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pw0b7hbawvft0jwqapjn7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325457203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Экспериментальная, 10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2 500 000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25 000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zs9jqbe3atho05lvgmzkp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333731876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1 486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hho9jvkzxdlvbdu3qlj83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277458208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2/3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1 157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sdirwsqhndxelj9kswqvp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290241753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Экспериментальная, 10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500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1 250 000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263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0,6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qnhason1jmbgxybny8jeb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325457201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525 000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67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0-3dnmr0mprvgxg_f9voo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331957732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245 000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36 750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130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0,0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o242b2chbmoew4l_q2exb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329868661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10с1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245 000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36 750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4tzzbbwk9blo3xx6_thpl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333822157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11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42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147 000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42 000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185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0,2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_nqyy1dvusshnba1pomxe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327894962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Ленина, 26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80,6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310 001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46 154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81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0,4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ormnnkd_txpz1krjlkd0a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331507639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Жуковка — 11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246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349 996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17 073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4tpyjflnbe0qoms1x1lrb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333543801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1017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2 034 000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ogwubneciohaqzagpjs0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333543808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224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498 997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26 732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566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x2k6whpnojov4bxflxtd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314353642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250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36 000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16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fl_dnhczkqnxjd4bbynj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333543804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207 998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47 094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57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ao9dsraaebdhwel-7bkze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332276656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41,5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172 917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lgm93horj4nj7xtno2hkv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332954310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3/4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57,1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237 917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cdnnlo9811zv_ih2o7sf5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332954531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3/3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228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50 000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wqpj67bfj9fzmf4n59bx4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332954861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7 599 987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73 489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d_8dzgsq5ti0ze6_jvnnc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333568687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1241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7 599 987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73 489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112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_rj4smxxexyx8qzhg89-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330575706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1241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7 599 991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73 492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93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2,4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kojmodqsb5t7dy0vcbp-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331164405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Бузланово — 5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Новый поселок, 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750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750 000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12 000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eto9vwq3s3abklgk48gpu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333708487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н/д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16 000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1om6p84whoc856ycdkfgu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333083003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Новый поселок, 9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123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225 500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22 000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11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ncpalv04v0mf7zzalyvf6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333685077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ЖК «Рига Хиллс», к2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139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458 700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39 600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2,5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mcttls_ugsukx863hy-ut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333560586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ЖК «Рига Хиллс», к2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1/9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123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405 900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39 600*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22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2,5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dq7hantmib-ynhrpmjzyv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333341406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Горки-2 — 3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Рублево-Успенское, 17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3/3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180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349 995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23 333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340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5,9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gxg9umgltdxrxciypn9dc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322849091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1/2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480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960 000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24 000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8E3A22"/>
                <w:sz w:val="14"/>
                <w:szCs w:val="14"/>
              </w:rPr>
              <w:t xml:space="preserve">388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6,1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ujkgk0pg5-dt-af0bolky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321164596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—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300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1 100 000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44 000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32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8,9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ofucw9ztehwnvadkwpd5s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333014437</w:t>
              </w:r>
            </w:hyperlink>
          </w:p>
        </w:tc>
      </w:tr>
    </w:tbl>
    <w:p>
      <w:pPr>
        <w:pStyle w:val="Heading3"/>
        <w:keepNext/>
        <w:spacing w:after="80" w:before="230"/>
      </w:pPr>
      <w:r>
        <w:rPr>
          <w:rFonts w:ascii="PT Sans" w:cs="PT Sans" w:eastAsia="PT Sans" w:hAnsi="PT Sans"/>
          <w:b/>
          <w:bCs/>
          <w:caps/>
          <w:color w:val="963F26"/>
          <w:spacing w:val="18"/>
          <w:sz w:val="17"/>
          <w:szCs w:val="17"/>
        </w:rPr>
        <w:t xml:space="preserve">пос. Истра — 2 объявлений</w:t>
      </w:r>
    </w:p>
    <w:tbl>
      <w:tblPr>
        <w:tblW w:type="dxa" w:w="10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00"/>
        <w:gridCol w:w="620"/>
        <w:gridCol w:w="700"/>
        <w:gridCol w:w="1000"/>
        <w:gridCol w:w="1100"/>
        <w:gridCol w:w="760"/>
        <w:gridCol w:w="560"/>
        <w:gridCol w:w="2866"/>
      </w:tblGrid>
      <w:tr>
        <w:trPr>
          <w:tblHeader/>
        </w:trPr>
        <w:tc>
          <w:tcPr>
            <w:tcW w:type="dxa" w:w="25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Адрес</w:t>
            </w:r>
          </w:p>
        </w:tc>
        <w:tc>
          <w:tcPr>
            <w:tcW w:type="dxa" w:w="62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Эт.</w:t>
            </w:r>
          </w:p>
        </w:tc>
        <w:tc>
          <w:tcPr>
            <w:tcW w:type="dxa" w:w="7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м²</w:t>
            </w:r>
          </w:p>
        </w:tc>
        <w:tc>
          <w:tcPr>
            <w:tcW w:type="dxa" w:w="10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₽/мес</w:t>
            </w:r>
          </w:p>
        </w:tc>
        <w:tc>
          <w:tcPr>
            <w:tcW w:type="dxa" w:w="110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₽/м²/год</w:t>
            </w:r>
          </w:p>
        </w:tc>
        <w:tc>
          <w:tcPr>
            <w:tcW w:type="dxa" w:w="7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Дней</w:t>
            </w:r>
          </w:p>
        </w:tc>
        <w:tc>
          <w:tcPr>
            <w:tcW w:type="dxa" w:w="560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км</w:t>
            </w:r>
          </w:p>
        </w:tc>
        <w:tc>
          <w:tcPr>
            <w:tcW w:type="dxa" w:w="2866"/>
            <w:tcBorders>
              <w:top w:val="single" w:color="1E1C19" w:sz="10"/>
              <w:bottom w:val="single" w:color="BCB4A8" w:sz="4"/>
            </w:tcBorders>
            <w:tcMar>
              <w:top w:type="dxa" w:w="40"/>
              <w:left w:type="dxa" w:w="62"/>
              <w:bottom w:type="dxa" w:w="26"/>
              <w:right w:type="dxa" w:w="62"/>
            </w:tcMar>
            <w:vAlign w:val="bottom"/>
          </w:tcPr>
          <w:p>
            <w:pPr>
              <w:keepNext/>
              <w:spacing w:after="0" w:line="210" w:lineRule="auto"/>
              <w:jc w:val="left"/>
            </w:pPr>
            <w:r>
              <w:rPr>
                <w:rFonts w:ascii="PT Sans" w:cs="PT Sans" w:eastAsia="PT Sans" w:hAnsi="PT Sans"/>
                <w:caps/>
                <w:color w:val="8C8479"/>
                <w:spacing w:val="12"/>
                <w:sz w:val="13"/>
                <w:szCs w:val="13"/>
              </w:rPr>
              <w:t xml:space="preserve">Объявление</w:t>
            </w:r>
          </w:p>
        </w:tc>
      </w:tr>
      <w:tr>
        <w:trPr>
          <w:cantSplit/>
        </w:trPr>
        <w:tc>
          <w:tcPr>
            <w:tcW w:type="dxa" w:w="25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Лесная Сторожка, 25</w:t>
            </w:r>
          </w:p>
        </w:tc>
        <w:tc>
          <w:tcPr>
            <w:tcW w:type="dxa" w:w="62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40</w:t>
            </w:r>
          </w:p>
        </w:tc>
        <w:tc>
          <w:tcPr>
            <w:tcW w:type="dxa" w:w="10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150 000</w:t>
            </w:r>
          </w:p>
        </w:tc>
        <w:tc>
          <w:tcPr>
            <w:tcW w:type="dxa" w:w="110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45 000</w:t>
            </w:r>
          </w:p>
        </w:tc>
        <w:tc>
          <w:tcPr>
            <w:tcW w:type="dxa" w:w="7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25</w:t>
            </w:r>
          </w:p>
        </w:tc>
        <w:tc>
          <w:tcPr>
            <w:tcW w:type="dxa" w:w="560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5,8</w:t>
            </w:r>
          </w:p>
        </w:tc>
        <w:tc>
          <w:tcPr>
            <w:tcW w:type="dxa" w:w="2866"/>
            <w:tcBorders>
              <w:bottom w:val="single" w:color="E4DED4" w:sz="2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ac0_3vjhlexikgmakpdy3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333240022</w:t>
              </w:r>
            </w:hyperlink>
          </w:p>
        </w:tc>
      </w:tr>
      <w:tr>
        <w:trPr>
          <w:cantSplit/>
        </w:trPr>
        <w:tc>
          <w:tcPr>
            <w:tcW w:type="dxa" w:w="25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Лесная Сторожка, 13</w:t>
            </w:r>
          </w:p>
        </w:tc>
        <w:tc>
          <w:tcPr>
            <w:tcW w:type="dxa" w:w="62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1/1</w:t>
            </w:r>
          </w:p>
        </w:tc>
        <w:tc>
          <w:tcPr>
            <w:tcW w:type="dxa" w:w="7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100</w:t>
            </w:r>
          </w:p>
        </w:tc>
        <w:tc>
          <w:tcPr>
            <w:tcW w:type="dxa" w:w="10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490 000</w:t>
            </w:r>
          </w:p>
        </w:tc>
        <w:tc>
          <w:tcPr>
            <w:tcW w:type="dxa" w:w="110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/>
                <w:bCs/>
                <w:color w:val="1E1C19"/>
                <w:sz w:val="14"/>
                <w:szCs w:val="14"/>
              </w:rPr>
              <w:t xml:space="preserve">58 800</w:t>
            </w:r>
          </w:p>
        </w:tc>
        <w:tc>
          <w:tcPr>
            <w:tcW w:type="dxa" w:w="7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b w:val="false"/>
                <w:bCs w:val="false"/>
                <w:color w:val="1E1C19"/>
                <w:sz w:val="14"/>
                <w:szCs w:val="14"/>
              </w:rPr>
              <w:t xml:space="preserve">128</w:t>
            </w:r>
          </w:p>
        </w:tc>
        <w:tc>
          <w:tcPr>
            <w:tcW w:type="dxa" w:w="560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center"/>
            </w:pPr>
            <w:r>
              <w:rPr>
                <w:rFonts w:ascii="PT Sans" w:cs="PT Sans" w:eastAsia="PT Sans" w:hAnsi="PT Sans"/>
                <w:color w:val="1E1C19"/>
                <w:sz w:val="14"/>
                <w:szCs w:val="14"/>
              </w:rPr>
              <w:t xml:space="preserve">5,9</w:t>
            </w:r>
          </w:p>
        </w:tc>
        <w:tc>
          <w:tcPr>
            <w:tcW w:type="dxa" w:w="2866"/>
            <w:tcBorders>
              <w:bottom w:val="single" w:color="1E1C19" w:sz="10"/>
            </w:tcBorders>
            <w:tcMar>
              <w:top w:type="dxa" w:w="40"/>
              <w:left w:type="dxa" w:w="62"/>
              <w:bottom w:type="dxa" w:w="40"/>
              <w:right w:type="dxa" w:w="62"/>
            </w:tcMar>
            <w:vAlign w:val="center"/>
          </w:tcPr>
          <w:p>
            <w:pPr>
              <w:keepNext w:val="false"/>
              <w:spacing w:after="0" w:line="236" w:lineRule="auto"/>
              <w:jc w:val="left"/>
            </w:pPr>
            <w:hyperlink w:history="1" r:id="rIdex7tq2xg0wcq4l2clmsih">
              <w:r>
                <w:rPr>
                  <w:rFonts w:ascii="PT Sans" w:cs="PT Sans" w:eastAsia="PT Sans" w:hAnsi="PT Sans"/>
                  <w:color w:val="30536F"/>
                  <w:sz w:val="14"/>
                  <w:szCs w:val="14"/>
                  <w:u w:val="single"/>
                </w:rPr>
                <w:t xml:space="preserve">ЦИАН 329962592</w:t>
              </w:r>
            </w:hyperlink>
          </w:p>
        </w:tc>
      </w:tr>
    </w:tbl>
    <w:p>
      <w:pPr>
        <w:spacing w:after="165" w:before="80"/>
        <w:ind w:right="520"/>
        <w:jc w:val="left"/>
      </w:pPr>
      <w:r>
        <w:rPr>
          <w:rFonts w:ascii="PT Sans Narrow" w:cs="PT Sans Narrow" w:eastAsia="PT Sans Narrow" w:hAnsi="PT Sans Narrow"/>
          <w:color w:val="6E6860"/>
          <w:sz w:val="15"/>
          <w:szCs w:val="15"/>
        </w:rPr>
        <w:t xml:space="preserve">Колонка «₽/мес» — сумма за месяц; где в карточке была ставка за метр, она приведена к сумме умножением на площадь. Из выборки исключены 5 лота: ЦИАН 332183406 (пос. Истра, нет площади); ЦИАН 331636078 (Архангельская, 17, цена 2 600 при 120 м² не читается ни как сумма за месяц, ни как ставка за метр); ЦИАН 333736664 (Бузланово, нет площади); ЦИАН 331541518 (Зеленая, 47, нет площади); ЦИАН 284370519 (Жуковка, цена 200 000 при 1000 м² не читается ни как сумма за месяц, ни как ставка за метр).</w:t>
      </w:r>
    </w:p>
    <w:sectPr>
      <w:headerReference w:type="default" r:id="rId13"/>
      <w:footerReference w:type="default" r:id="rId14"/>
      <w:pgSz w:w="11906" w:h="16838" w:orient="portrait"/>
      <w:pgMar w:top="102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T Sans" w:cs="PT Sans" w:eastAsia="PT Sans" w:hAnsi="PT Sans"/>
        <w:color w:val="6E68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T Sans" w:cs="PT Sans" w:eastAsia="PT Sans" w:hAnsi="PT Sans"/>
        <w:color w:val="6E68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T Sans" w:cs="PT Sans" w:eastAsia="PT Sans" w:hAnsi="PT Sans"/>
        <w:color w:val="6E68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DED4" w:sz="2" w:space="8"/>
      </w:pBdr>
      <w:spacing w:after="0"/>
      <w:jc w:val="left"/>
    </w:pPr>
    <w:r>
      <w:rPr>
        <w:rFonts w:ascii="PT Sans" w:cs="PT Sans" w:eastAsia="PT Sans" w:hAnsi="PT Sans"/>
        <w:caps/>
        <w:color w:val="8C8479"/>
        <w:spacing w:val="20"/>
        <w:sz w:val="14"/>
        <w:szCs w:val="14"/>
      </w:rPr>
      <w:t xml:space="preserve">ТЦ «Амбар 1» · Ильинское · сентябрь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DED4" w:sz="2" w:space="8"/>
      </w:pBdr>
      <w:spacing w:after="0"/>
      <w:jc w:val="left"/>
    </w:pPr>
    <w:r>
      <w:rPr>
        <w:rFonts w:ascii="PT Sans" w:cs="PT Sans" w:eastAsia="PT Sans" w:hAnsi="PT Sans"/>
        <w:caps/>
        <w:color w:val="8C8479"/>
        <w:spacing w:val="20"/>
        <w:sz w:val="14"/>
        <w:szCs w:val="14"/>
      </w:rPr>
      <w:t xml:space="preserve">ТЦ «Амбар 1» · Ильинское · сентябрь 2026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DED4" w:sz="2" w:space="8"/>
      </w:pBdr>
      <w:spacing w:after="0"/>
      <w:jc w:val="left"/>
    </w:pPr>
    <w:r>
      <w:rPr>
        <w:rFonts w:ascii="PT Sans" w:cs="PT Sans" w:eastAsia="PT Sans" w:hAnsi="PT Sans"/>
        <w:caps/>
        <w:color w:val="8C8479"/>
        <w:spacing w:val="20"/>
        <w:sz w:val="14"/>
        <w:szCs w:val="14"/>
      </w:rPr>
      <w:t xml:space="preserve">ТЦ «Амбар 1» · Ильинское · сентябрь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30" w:hanging="190"/>
      </w:pPr>
      <w:rPr>
        <w:rFonts w:ascii="PT Serif" w:cs="PT Serif" w:eastAsia="PT Serif" w:hAnsi="PT Serif"/>
        <w:color w:val="963F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PT Sans" w:cs="PT Sans" w:eastAsia="PT Sans" w:hAnsi="PT Sans"/>
        <w:color w:val="963F26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erif" w:cs="PT Serif" w:eastAsia="PT Serif" w:hAnsi="PT Serif"/>
        <w:color w:val="1E1C19"/>
        <w:sz w:val="21"/>
        <w:szCs w:val="21"/>
      </w:rPr>
    </w:rPrDefault>
    <w:pPrDefault>
      <w:pPr>
        <w:spacing w:after="100" w:line="262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50" w:before="0"/>
    </w:pPr>
    <w:rPr>
      <w:rFonts w:ascii="PT Serif" w:cs="PT Serif" w:eastAsia="PT Serif" w:hAnsi="PT Serif"/>
      <w:b/>
      <w:bCs/>
      <w:color w:val="1E1C1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00"/>
    </w:pPr>
    <w:rPr>
      <w:rFonts w:ascii="PT Serif" w:cs="PT Serif" w:eastAsia="PT Serif" w:hAnsi="PT Serif"/>
      <w:b/>
      <w:bCs/>
      <w:color w:val="2330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30"/>
    </w:pPr>
    <w:rPr>
      <w:rFonts w:ascii="PT Sans" w:cs="PT Sans" w:eastAsia="PT Sans" w:hAnsi="PT Sans"/>
      <w:b/>
      <w:bCs/>
      <w:color w:val="963F26"/>
      <w:sz w:val="17"/>
      <w:szCs w:val="1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uyb_fvsomjiwvnt6d-4jv" Type="http://schemas.openxmlformats.org/officeDocument/2006/relationships/hyperlink" Target="https://metrplus.com/commercial-projects/commercial-projects-rent/torgovaya-ploshchad-s-terrasoy-tts-ambar-1/" TargetMode="External"/><Relationship Id="rIdtvutnew3rrracapxlarkz" Type="http://schemas.openxmlformats.org/officeDocument/2006/relationships/hyperlink" Target="https://metrplus.com/commercial-projects/commercial-projects-rent/torgovaya-ploshchad-39-6-m-tts-ambar-1/" TargetMode="External"/><Relationship Id="rIdzy8kjtnqyyaetsdlv6q4y" Type="http://schemas.openxmlformats.org/officeDocument/2006/relationships/hyperlink" Target="https://metrplus.com/commercial-projects/commercial-projects-rent/ofis-na-pervoy-linii-bts-ambar/" TargetMode="External"/><Relationship Id="rIdjjay-bhbgvomzzr88nolj" Type="http://schemas.openxmlformats.org/officeDocument/2006/relationships/hyperlink" Target="https://metrplus.com/commercial-projects/commercial-projects-rent/torgovaya-ploshchad-s-terrasoy-tts-ambar-1/" TargetMode="External"/><Relationship Id="rIdwtcll-obnpncwehnvatu3" Type="http://schemas.openxmlformats.org/officeDocument/2006/relationships/hyperlink" Target="https://metrplus.com/commercial-projects/commercial-projects-rent/torgovaya-ploshchad-39-6-m-tts-ambar-1/" TargetMode="External"/><Relationship Id="rId6tdsmq0h6nqjttljiznd8" Type="http://schemas.openxmlformats.org/officeDocument/2006/relationships/hyperlink" Target="https://metrplus.com/commercial-projects/commercial-projects-rent/ofis-na-pervoy-linii-bts-ambar/" TargetMode="External"/><Relationship Id="rIdcy5bvbyh8zsr9k9k81wai" Type="http://schemas.openxmlformats.org/officeDocument/2006/relationships/hyperlink" Target="https://krasnogorsk.cian.ru/rent/commercial/283508170/" TargetMode="External"/><Relationship Id="rIdju18rwvy2xwow78ezw17r" Type="http://schemas.openxmlformats.org/officeDocument/2006/relationships/hyperlink" Target="https://krasnogorsk.cian.ru/rent/commercial/331957732/" TargetMode="External"/><Relationship Id="rIdkzmhbt0divjwvoqlxx9fe" Type="http://schemas.openxmlformats.org/officeDocument/2006/relationships/hyperlink" Target="https://krasnogorsk.cian.ru/rent/commercial/329868661/" TargetMode="External"/><Relationship Id="rIdu-bc9_qlkg-cvkxy8esgy" Type="http://schemas.openxmlformats.org/officeDocument/2006/relationships/hyperlink" Target="https://krasnogorsk.cian.ru/rent/commercial/333822157/" TargetMode="External"/><Relationship Id="rIdffzmwnsm916pstichxjwi" Type="http://schemas.openxmlformats.org/officeDocument/2006/relationships/hyperlink" Target="https://krasnogorsk.cian.ru/rent/commercial/327894962/" TargetMode="External"/><Relationship Id="rIdyzbrtmfyzrrwnrp0mo5jp" Type="http://schemas.openxmlformats.org/officeDocument/2006/relationships/hyperlink" Target="https://krasnogorsk.cian.ru/rent/commercial/329788014/" TargetMode="External"/><Relationship Id="rId57waaazwdipndlibziabi" Type="http://schemas.openxmlformats.org/officeDocument/2006/relationships/hyperlink" Target="https://krasnogorsk.cian.ru/rent/commercial/329788329/" TargetMode="External"/><Relationship Id="rIdfgfgm1blwhre1812zh5q4" Type="http://schemas.openxmlformats.org/officeDocument/2006/relationships/hyperlink" Target="https://krasnogorsk.cian.ru/rent/commercial/333311589/" TargetMode="External"/><Relationship Id="rIdolxrg5_6e1n1gjfsckp2f" Type="http://schemas.openxmlformats.org/officeDocument/2006/relationships/hyperlink" Target="https://krasnogorsk.cian.ru/rent/commercial/277458208/" TargetMode="External"/><Relationship Id="rIdzdrpxjctxlvvc-hsi6poj" Type="http://schemas.openxmlformats.org/officeDocument/2006/relationships/hyperlink" Target="https://krasnogorsk.cian.ru/rent/commercial/290241753/" TargetMode="External"/><Relationship Id="rIdcqmxtpzud4fau1bhkhcxn" Type="http://schemas.openxmlformats.org/officeDocument/2006/relationships/hyperlink" Target="https://zvenigorod.cian.ru/rent/commercial/322849091/" TargetMode="External"/><Relationship Id="rIdxvlzqima4kyfvxsepq--v" Type="http://schemas.openxmlformats.org/officeDocument/2006/relationships/hyperlink" Target="https://metrplus.com/commercial-projects/commercial-projects-rent/torgovaya-ploshchad-s-terrasoy-tts-ambar-1/" TargetMode="External"/><Relationship Id="rIdvl_4wj-ldebbkmn-prgeu" Type="http://schemas.openxmlformats.org/officeDocument/2006/relationships/hyperlink" Target="https://metrplus.com/commercial-projects/commercial-projects-rent/torgovaya-ploshchad-39-6-m-tts-ambar-1/" TargetMode="External"/><Relationship Id="rIdfr9428207xr65_fa2_of2" Type="http://schemas.openxmlformats.org/officeDocument/2006/relationships/hyperlink" Target="https://metrplus.com/commercial-projects/commercial-projects-rent/ofis-na-pervoy-linii-bts-ambar/" TargetMode="External"/><Relationship Id="rIdted57k4o6_gbgsdtnybix" Type="http://schemas.openxmlformats.org/officeDocument/2006/relationships/hyperlink" Target="https://zvenigorod.cian.ru/rent/commercial/322849091/" TargetMode="External"/><Relationship Id="rIdf1muafrnbbr609sradrdb" Type="http://schemas.openxmlformats.org/officeDocument/2006/relationships/hyperlink" Target="https://zvenigorod.cian.ru/rent/commercial/322849091/" TargetMode="External"/><Relationship Id="rIdj3v23qnzvehmgdehgp0a4" Type="http://schemas.openxmlformats.org/officeDocument/2006/relationships/hyperlink" Target="https://krasnogorsk.cian.ru/rent/commercial/331957732/" TargetMode="External"/><Relationship Id="rIdqm7gic_nguuzsqzutyrwt" Type="http://schemas.openxmlformats.org/officeDocument/2006/relationships/hyperlink" Target="https://zvenigorod.cian.ru/rent/commercial/322849091/" TargetMode="External"/><Relationship Id="rIdffsrepqwjo6gp2jgljehy" Type="http://schemas.openxmlformats.org/officeDocument/2006/relationships/hyperlink" Target="https://krasnogorsk.cian.ru/rent/commercial/325457201/" TargetMode="External"/><Relationship Id="rIdgf-ba7kcedv0r-bwiid5_" Type="http://schemas.openxmlformats.org/officeDocument/2006/relationships/hyperlink" Target="https://krasnogorsk.cian.ru/rent/commercial/325457203/" TargetMode="External"/><Relationship Id="rIduoh7v5wwl-s1i9oncpwdn" Type="http://schemas.openxmlformats.org/officeDocument/2006/relationships/hyperlink" Target="https://krasnogorsk.cian.ru/rent/commercial/334096509/" TargetMode="External"/><Relationship Id="rIdkfp6u_i0byaooyzrncind" Type="http://schemas.openxmlformats.org/officeDocument/2006/relationships/hyperlink" Target="https://krasnogorsk.cian.ru/rent/commercial/329804298/" TargetMode="External"/><Relationship Id="rIdlj872lkw_cu0zfssx6qkb" Type="http://schemas.openxmlformats.org/officeDocument/2006/relationships/hyperlink" Target="https://krasnogorsk.cian.ru/rent/commercial/329803342/" TargetMode="External"/><Relationship Id="rIdblgcdssjkhcrljizsmnrr" Type="http://schemas.openxmlformats.org/officeDocument/2006/relationships/hyperlink" Target="https://krasnogorsk.cian.ru/rent/commercial/326181813/" TargetMode="External"/><Relationship Id="rId3rxtxxvxfmrk5onb5tbry" Type="http://schemas.openxmlformats.org/officeDocument/2006/relationships/hyperlink" Target="https://krasnogorsk.cian.ru/rent/commercial/330684655/" TargetMode="External"/><Relationship Id="rIdcoachzb7cc-aom8ivvhjd" Type="http://schemas.openxmlformats.org/officeDocument/2006/relationships/hyperlink" Target="https://krasnogorsk.cian.ru/rent/commercial/332688764/" TargetMode="External"/><Relationship Id="rIdk_gqcahpp2f4qsw5t3qzb" Type="http://schemas.openxmlformats.org/officeDocument/2006/relationships/hyperlink" Target="https://krasnogorsk.cian.ru/rent/commercial/334096625/" TargetMode="External"/><Relationship Id="rIdaebk1nuolj60-isuxrgvg" Type="http://schemas.openxmlformats.org/officeDocument/2006/relationships/hyperlink" Target="https://krasnogorsk.cian.ru/rent/commercial/334096839/" TargetMode="External"/><Relationship Id="rIdfvmla40jmwu8ctqcuyco3" Type="http://schemas.openxmlformats.org/officeDocument/2006/relationships/hyperlink" Target="https://krasnogorsk.cian.ru/rent/commercial/303876473/" TargetMode="External"/><Relationship Id="rIdjdfrweugffxe1n93ut3q6" Type="http://schemas.openxmlformats.org/officeDocument/2006/relationships/hyperlink" Target="https://krasnogorsk.cian.ru/rent/commercial/330605809/" TargetMode="External"/><Relationship Id="rIdnxxbv2y7xu8uzk82dx8xl" Type="http://schemas.openxmlformats.org/officeDocument/2006/relationships/hyperlink" Target="https://krasnogorsk.cian.ru/rent/commercial/333248259/" TargetMode="External"/><Relationship Id="rId7zk3duomu-m-c5f2yxjnr" Type="http://schemas.openxmlformats.org/officeDocument/2006/relationships/hyperlink" Target="https://krasnogorsk.cian.ru/rent/commercial/331946855/" TargetMode="External"/><Relationship Id="rIdyclrayh7rceqew9a3kdg4" Type="http://schemas.openxmlformats.org/officeDocument/2006/relationships/hyperlink" Target="https://krasnogorsk.cian.ru/rent/commercial/320581965/" TargetMode="External"/><Relationship Id="rIdmbirm01trjbwn9l8dtcin" Type="http://schemas.openxmlformats.org/officeDocument/2006/relationships/hyperlink" Target="https://krasnogorsk.cian.ru/rent/commercial/332681937/" TargetMode="External"/><Relationship Id="rIdynbgzr8_8nxt3augpmopc" Type="http://schemas.openxmlformats.org/officeDocument/2006/relationships/hyperlink" Target="https://krasnogorsk.cian.ru/rent/commercial/334096897/" TargetMode="External"/><Relationship Id="rIdfwi-n5nekorflgugncns_" Type="http://schemas.openxmlformats.org/officeDocument/2006/relationships/hyperlink" Target="https://krasnogorsk.cian.ru/rent/commercial/333495746/" TargetMode="External"/><Relationship Id="rIdapzdzyuk3veulktpx4rr6" Type="http://schemas.openxmlformats.org/officeDocument/2006/relationships/hyperlink" Target="https://krasnogorsk.cian.ru/rent/commercial/333594237/" TargetMode="External"/><Relationship Id="rIderwysknhztzfsop8mpdvu" Type="http://schemas.openxmlformats.org/officeDocument/2006/relationships/hyperlink" Target="https://krasnogorsk.cian.ru/rent/commercial/329788014/" TargetMode="External"/><Relationship Id="rIdjguwff-c-jafh3kdc61io" Type="http://schemas.openxmlformats.org/officeDocument/2006/relationships/hyperlink" Target="https://krasnogorsk.cian.ru/rent/commercial/329788329/" TargetMode="External"/><Relationship Id="rIdmt0mkedpcxi8h5s-icfad" Type="http://schemas.openxmlformats.org/officeDocument/2006/relationships/hyperlink" Target="https://krasnogorsk.cian.ru/rent/commercial/329787507/" TargetMode="External"/><Relationship Id="rId7lkt5wuz3np5bxoc7lkb8" Type="http://schemas.openxmlformats.org/officeDocument/2006/relationships/hyperlink" Target="https://krasnogorsk.cian.ru/rent/commercial/333437804/" TargetMode="External"/><Relationship Id="rIdxz5z6bquqfig61i_hf97-" Type="http://schemas.openxmlformats.org/officeDocument/2006/relationships/hyperlink" Target="https://krasnogorsk.cian.ru/rent/commercial/332310503/" TargetMode="External"/><Relationship Id="rIdnhhmqxr2ywc1ythjgcif1" Type="http://schemas.openxmlformats.org/officeDocument/2006/relationships/hyperlink" Target="https://krasnogorsk.cian.ru/rent/commercial/328226996/" TargetMode="External"/><Relationship Id="rIdtjnp1rqns-dl9fj-iyeh3" Type="http://schemas.openxmlformats.org/officeDocument/2006/relationships/hyperlink" Target="https://krasnogorsk.cian.ru/rent/commercial/332681968/" TargetMode="External"/><Relationship Id="rId07fpiqo0iiv4y_svfiori" Type="http://schemas.openxmlformats.org/officeDocument/2006/relationships/hyperlink" Target="https://krasnogorsk.cian.ru/rent/commercial/333616923/" TargetMode="External"/><Relationship Id="rIdt8o9jcx4spalgt5sfewfj" Type="http://schemas.openxmlformats.org/officeDocument/2006/relationships/hyperlink" Target="https://krasnogorsk.cian.ru/rent/commercial/333593299/" TargetMode="External"/><Relationship Id="rId5ttulfhh-ausl-j9gh5ht" Type="http://schemas.openxmlformats.org/officeDocument/2006/relationships/hyperlink" Target="https://krasnogorsk.cian.ru/rent/commercial/332604608/" TargetMode="External"/><Relationship Id="rIddxv3o93bcip4y9tucov8k" Type="http://schemas.openxmlformats.org/officeDocument/2006/relationships/hyperlink" Target="https://krasnogorsk.cian.ru/rent/commercial/319821445/" TargetMode="External"/><Relationship Id="rIddarhftm5fheeudvjl0ny9" Type="http://schemas.openxmlformats.org/officeDocument/2006/relationships/hyperlink" Target="https://krasnogorsk.cian.ru/rent/commercial/327252455/" TargetMode="External"/><Relationship Id="rIdvzol2az__3w78whuybgpt" Type="http://schemas.openxmlformats.org/officeDocument/2006/relationships/hyperlink" Target="https://krasnogorsk.cian.ru/rent/commercial/328211746/" TargetMode="External"/><Relationship Id="rId_lv4ptwo1wmirmuytysvk" Type="http://schemas.openxmlformats.org/officeDocument/2006/relationships/hyperlink" Target="https://krasnogorsk.cian.ru/rent/commercial/332681922/" TargetMode="External"/><Relationship Id="rIdxj8xj8084y-vsqzr-rjpr" Type="http://schemas.openxmlformats.org/officeDocument/2006/relationships/hyperlink" Target="https://krasnogorsk.cian.ru/rent/commercial/332604619/" TargetMode="External"/><Relationship Id="rIdqfxek-wfnuuyf-0r3mkdj" Type="http://schemas.openxmlformats.org/officeDocument/2006/relationships/hyperlink" Target="https://krasnogorsk.cian.ru/rent/commercial/328054792/" TargetMode="External"/><Relationship Id="rIdp-zx1sj1_pqzpjwfkkus3" Type="http://schemas.openxmlformats.org/officeDocument/2006/relationships/hyperlink" Target="https://krasnogorsk.cian.ru/rent/commercial/331190255/" TargetMode="External"/><Relationship Id="rIdn8_atsbkssgr5sx6vihh9" Type="http://schemas.openxmlformats.org/officeDocument/2006/relationships/hyperlink" Target="https://krasnogorsk.cian.ru/rent/commercial/332604660/" TargetMode="External"/><Relationship Id="rIdl7_jtguikxhqapsaskpv-" Type="http://schemas.openxmlformats.org/officeDocument/2006/relationships/hyperlink" Target="https://krasnogorsk.cian.ru/rent/commercial/331968103/" TargetMode="External"/><Relationship Id="rIdpidpl77hyq-lzfh5ic7a2" Type="http://schemas.openxmlformats.org/officeDocument/2006/relationships/hyperlink" Target="https://krasnogorsk.cian.ru/rent/commercial/332623732/" TargetMode="External"/><Relationship Id="rIdm4vnkdupjmcfs1ktw7ktp" Type="http://schemas.openxmlformats.org/officeDocument/2006/relationships/hyperlink" Target="https://krasnogorsk.cian.ru/rent/commercial/331968259/" TargetMode="External"/><Relationship Id="rIdcfaptpaeu9h37yjyyxmby" Type="http://schemas.openxmlformats.org/officeDocument/2006/relationships/hyperlink" Target="https://krasnogorsk.cian.ru/rent/commercial/331968354/" TargetMode="External"/><Relationship Id="rIdfeyo9ay-pmp-j0wy3e-w_" Type="http://schemas.openxmlformats.org/officeDocument/2006/relationships/hyperlink" Target="https://krasnogorsk.cian.ru/rent/commercial/329026279/" TargetMode="External"/><Relationship Id="rIdfn1h_gxmyy3yy3uonzidz" Type="http://schemas.openxmlformats.org/officeDocument/2006/relationships/hyperlink" Target="https://krasnogorsk.cian.ru/rent/commercial/333942109/" TargetMode="External"/><Relationship Id="rIdhboxqrojv_jdkyzecp2-e" Type="http://schemas.openxmlformats.org/officeDocument/2006/relationships/hyperlink" Target="https://krasnogorsk.cian.ru/rent/commercial/331968329/" TargetMode="External"/><Relationship Id="rIdq-x-fmstjw26nmpz_iqzw" Type="http://schemas.openxmlformats.org/officeDocument/2006/relationships/hyperlink" Target="https://krasnogorsk.cian.ru/rent/commercial/324834779/" TargetMode="External"/><Relationship Id="rIdxmgy61e9--ugid1e1uodu" Type="http://schemas.openxmlformats.org/officeDocument/2006/relationships/hyperlink" Target="https://krasnogorsk.cian.ru/rent/commercial/326463844/" TargetMode="External"/><Relationship Id="rIdr6shewaityn_6dg-woada" Type="http://schemas.openxmlformats.org/officeDocument/2006/relationships/hyperlink" Target="https://krasnogorsk.cian.ru/rent/commercial/332867946/" TargetMode="External"/><Relationship Id="rIdwf9ihbkuvnfb3etcoopex" Type="http://schemas.openxmlformats.org/officeDocument/2006/relationships/hyperlink" Target="https://krasnogorsk.cian.ru/rent/commercial/333942092/" TargetMode="External"/><Relationship Id="rIdg4nhqim05tuy6s0owrqot" Type="http://schemas.openxmlformats.org/officeDocument/2006/relationships/hyperlink" Target="https://krasnogorsk.cian.ru/rent/commercial/332867937/" TargetMode="External"/><Relationship Id="rId_3xpy5mfmutczsmsbxmk5" Type="http://schemas.openxmlformats.org/officeDocument/2006/relationships/hyperlink" Target="https://krasnogorsk.cian.ru/rent/commercial/332867952/" TargetMode="External"/><Relationship Id="rIdlciy2kusssz1bcwvjvlsi" Type="http://schemas.openxmlformats.org/officeDocument/2006/relationships/hyperlink" Target="https://krasnogorsk.cian.ru/rent/commercial/333943686/" TargetMode="External"/><Relationship Id="rIdwc71rctffhzmlc5p7d2n0" Type="http://schemas.openxmlformats.org/officeDocument/2006/relationships/hyperlink" Target="https://krasnogorsk.cian.ru/rent/commercial/333670293/" TargetMode="External"/><Relationship Id="rIdwv-ory241eaelqbs-hnor" Type="http://schemas.openxmlformats.org/officeDocument/2006/relationships/hyperlink" Target="https://krasnogorsk.cian.ru/rent/commercial/333953929/" TargetMode="External"/><Relationship Id="rIdzzqiprudoxxuquly2t0e_" Type="http://schemas.openxmlformats.org/officeDocument/2006/relationships/hyperlink" Target="https://krasnogorsk.cian.ru/rent/commercial/333953928/" TargetMode="External"/><Relationship Id="rIdivffyt2yds7uwczvypmot" Type="http://schemas.openxmlformats.org/officeDocument/2006/relationships/hyperlink" Target="https://krasnogorsk.cian.ru/rent/commercial/333953930/" TargetMode="External"/><Relationship Id="rId27pvabkidje1rkes4dbn2" Type="http://schemas.openxmlformats.org/officeDocument/2006/relationships/hyperlink" Target="https://krasnogorsk.cian.ru/rent/commercial/328135352/" TargetMode="External"/><Relationship Id="rIdcxndvxanmqemjaye69eik" Type="http://schemas.openxmlformats.org/officeDocument/2006/relationships/hyperlink" Target="https://krasnogorsk.cian.ru/rent/commercial/319810794/" TargetMode="External"/><Relationship Id="rIdnhu8ibj3qptvfmit_q15l" Type="http://schemas.openxmlformats.org/officeDocument/2006/relationships/hyperlink" Target="https://krasnogorsk.cian.ru/rent/commercial/327319387/" TargetMode="External"/><Relationship Id="rIdd31jnkuf0rr_eiclhvvh4" Type="http://schemas.openxmlformats.org/officeDocument/2006/relationships/hyperlink" Target="https://krasnogorsk.cian.ru/rent/commercial/324728283/" TargetMode="External"/><Relationship Id="rIdlrwjircf8-kv5zxwnfeqc" Type="http://schemas.openxmlformats.org/officeDocument/2006/relationships/hyperlink" Target="https://krasnogorsk.cian.ru/rent/commercial/315802301/" TargetMode="External"/><Relationship Id="rIdwqf09yxv-mlh8qssd3qvm" Type="http://schemas.openxmlformats.org/officeDocument/2006/relationships/hyperlink" Target="https://krasnogorsk.cian.ru/rent/commercial/327319385/" TargetMode="External"/><Relationship Id="rIdad60vhsia353oohj1iicf" Type="http://schemas.openxmlformats.org/officeDocument/2006/relationships/hyperlink" Target="https://krasnogorsk.cian.ru/rent/commercial/333084996/" TargetMode="External"/><Relationship Id="rIdqpgez9rfrq0vrpf6xgloq" Type="http://schemas.openxmlformats.org/officeDocument/2006/relationships/hyperlink" Target="https://krasnogorsk.cian.ru/rent/commercial/327319412/" TargetMode="External"/><Relationship Id="rIdfuhldjmmbdknlnmtie80r" Type="http://schemas.openxmlformats.org/officeDocument/2006/relationships/hyperlink" Target="https://krasnogorsk.cian.ru/rent/commercial/328207266/" TargetMode="External"/><Relationship Id="rIdvote-cw0sjlk5202_xmcw" Type="http://schemas.openxmlformats.org/officeDocument/2006/relationships/hyperlink" Target="https://krasnogorsk.cian.ru/rent/commercial/332411093/" TargetMode="External"/><Relationship Id="rId8nhhkypi2hlyhydbqd41v" Type="http://schemas.openxmlformats.org/officeDocument/2006/relationships/hyperlink" Target="https://krasnogorsk.cian.ru/rent/commercial/333276228/" TargetMode="External"/><Relationship Id="rIdm0ocliqrfiqzwda0aelp9" Type="http://schemas.openxmlformats.org/officeDocument/2006/relationships/hyperlink" Target="https://krasnogorsk.cian.ru/rent/commercial/333546762/" TargetMode="External"/><Relationship Id="rIdpqt5_eifkhddnpcpa-zz8" Type="http://schemas.openxmlformats.org/officeDocument/2006/relationships/hyperlink" Target="https://krasnogorsk.cian.ru/rent/commercial/333350445/" TargetMode="External"/><Relationship Id="rIdn6_nb6pc_-i51x_noq3ha" Type="http://schemas.openxmlformats.org/officeDocument/2006/relationships/hyperlink" Target="https://krasnogorsk.cian.ru/rent/commercial/332411100/" TargetMode="External"/><Relationship Id="rIdrtenjjlmegi8wat90xb6_" Type="http://schemas.openxmlformats.org/officeDocument/2006/relationships/hyperlink" Target="https://krasnogorsk.cian.ru/rent/commercial/331786589/" TargetMode="External"/><Relationship Id="rId24dde7k9ftlac_wad_cqn" Type="http://schemas.openxmlformats.org/officeDocument/2006/relationships/hyperlink" Target="https://krasnogorsk.cian.ru/rent/commercial/284412431/" TargetMode="External"/><Relationship Id="rId6gikwbn4odtgul9tlsqiv" Type="http://schemas.openxmlformats.org/officeDocument/2006/relationships/hyperlink" Target="https://krasnogorsk.cian.ru/rent/commercial/325682607/" TargetMode="External"/><Relationship Id="rIdfpk8ycvsryyl85zovyrgl" Type="http://schemas.openxmlformats.org/officeDocument/2006/relationships/hyperlink" Target="https://krasnogorsk.cian.ru/rent/commercial/327319350/" TargetMode="External"/><Relationship Id="rIdexiwpx7vyualfu3ttsc99" Type="http://schemas.openxmlformats.org/officeDocument/2006/relationships/hyperlink" Target="https://krasnogorsk.cian.ru/rent/commercial/332934081/" TargetMode="External"/><Relationship Id="rIdvfwydpcwmkbusk9ashor6" Type="http://schemas.openxmlformats.org/officeDocument/2006/relationships/hyperlink" Target="https://krasnogorsk.cian.ru/rent/commercial/325069017/" TargetMode="External"/><Relationship Id="rIdtw_3rkjddn_n-vvyt7uui" Type="http://schemas.openxmlformats.org/officeDocument/2006/relationships/hyperlink" Target="https://krasnogorsk.cian.ru/rent/commercial/332934083/" TargetMode="External"/><Relationship Id="rIdfxfc2f6b3uqf11iwshesv" Type="http://schemas.openxmlformats.org/officeDocument/2006/relationships/hyperlink" Target="https://krasnogorsk.cian.ru/rent/commercial/283508170/" TargetMode="External"/><Relationship Id="rIdo9qosq0gmj2q2drshqx4v" Type="http://schemas.openxmlformats.org/officeDocument/2006/relationships/hyperlink" Target="https://krasnogorsk.cian.ru/rent/commercial/333809670/" TargetMode="External"/><Relationship Id="rIde0rna-ojy6hwsruye0loq" Type="http://schemas.openxmlformats.org/officeDocument/2006/relationships/hyperlink" Target="https://krasnogorsk.cian.ru/rent/commercial/333960746/" TargetMode="External"/><Relationship Id="rIdkxoju4gyg625ef4zoolr5" Type="http://schemas.openxmlformats.org/officeDocument/2006/relationships/hyperlink" Target="https://krasnogorsk.cian.ru/rent/commercial/333961008/" TargetMode="External"/><Relationship Id="rIdepenfdenkldkznva_ilyw" Type="http://schemas.openxmlformats.org/officeDocument/2006/relationships/hyperlink" Target="https://krasnogorsk.cian.ru/rent/commercial/333940025/" TargetMode="External"/><Relationship Id="rIdjn3cvb3unoslte4fl1-dt" Type="http://schemas.openxmlformats.org/officeDocument/2006/relationships/hyperlink" Target="https://krasnogorsk.cian.ru/rent/commercial/315411685/" TargetMode="External"/><Relationship Id="rIdsktvejvcxsrrozv8xtsbw" Type="http://schemas.openxmlformats.org/officeDocument/2006/relationships/hyperlink" Target="https://krasnogorsk.cian.ru/rent/commercial/320553651/" TargetMode="External"/><Relationship Id="rIdmlkyknunk4iup_tswyr3q" Type="http://schemas.openxmlformats.org/officeDocument/2006/relationships/hyperlink" Target="https://krasnogorsk.cian.ru/rent/commercial/332447122/" TargetMode="External"/><Relationship Id="rIdjw8kt7fe5nziatz4g6f2y" Type="http://schemas.openxmlformats.org/officeDocument/2006/relationships/hyperlink" Target="https://krasnogorsk.cian.ru/rent/commercial/333983497/" TargetMode="External"/><Relationship Id="rIdt-85fdy6ydtr3ybkdwapb" Type="http://schemas.openxmlformats.org/officeDocument/2006/relationships/hyperlink" Target="https://krasnogorsk.cian.ru/rent/commercial/331344662/" TargetMode="External"/><Relationship Id="rIdk6ahpm2xn_mfwgws-pv26" Type="http://schemas.openxmlformats.org/officeDocument/2006/relationships/hyperlink" Target="https://krasnogorsk.cian.ru/rent/commercial/332816556/" TargetMode="External"/><Relationship Id="rIduqwolbss81cs2d_pp9ncs" Type="http://schemas.openxmlformats.org/officeDocument/2006/relationships/hyperlink" Target="https://krasnogorsk.cian.ru/rent/commercial/331865747/" TargetMode="External"/><Relationship Id="rIdtsde78grfkayhgf90skqd" Type="http://schemas.openxmlformats.org/officeDocument/2006/relationships/hyperlink" Target="https://krasnogorsk.cian.ru/rent/commercial/332816562/" TargetMode="External"/><Relationship Id="rIdznxbvvbslxasje-ruuxhi" Type="http://schemas.openxmlformats.org/officeDocument/2006/relationships/hyperlink" Target="https://krasnogorsk.cian.ru/rent/commercial/332447123/" TargetMode="External"/><Relationship Id="rIdop2btffowyw5zcduhgqil" Type="http://schemas.openxmlformats.org/officeDocument/2006/relationships/hyperlink" Target="https://krasnogorsk.cian.ru/rent/commercial/331865748/" TargetMode="External"/><Relationship Id="rId5mcgfw21izps1ldprb9dy" Type="http://schemas.openxmlformats.org/officeDocument/2006/relationships/hyperlink" Target="https://krasnogorsk.cian.ru/rent/commercial/333043114/" TargetMode="External"/><Relationship Id="rIdhmvar9bmhbv9kjg8ld5om" Type="http://schemas.openxmlformats.org/officeDocument/2006/relationships/hyperlink" Target="https://krasnogorsk.cian.ru/rent/commercial/332447124/" TargetMode="External"/><Relationship Id="rIdsbr6exgcamkim0m36n1c4" Type="http://schemas.openxmlformats.org/officeDocument/2006/relationships/hyperlink" Target="https://krasnogorsk.cian.ru/rent/commercial/313072137/" TargetMode="External"/><Relationship Id="rIdqnpbm24ru2m71_ksnvu5t" Type="http://schemas.openxmlformats.org/officeDocument/2006/relationships/hyperlink" Target="https://krasnogorsk.cian.ru/rent/commercial/325457202/" TargetMode="External"/><Relationship Id="rIdjje69obzhyckpbsq1hbrc" Type="http://schemas.openxmlformats.org/officeDocument/2006/relationships/hyperlink" Target="https://krasnogorsk.cian.ru/rent/commercial/333311589/" TargetMode="External"/><Relationship Id="rIdpw0b7hbawvft0jwqapjn7" Type="http://schemas.openxmlformats.org/officeDocument/2006/relationships/hyperlink" Target="https://krasnogorsk.cian.ru/rent/commercial/325457203/" TargetMode="External"/><Relationship Id="rIdzs9jqbe3atho05lvgmzkp" Type="http://schemas.openxmlformats.org/officeDocument/2006/relationships/hyperlink" Target="https://krasnogorsk.cian.ru/rent/commercial/333731876/" TargetMode="External"/><Relationship Id="rIdhho9jvkzxdlvbdu3qlj83" Type="http://schemas.openxmlformats.org/officeDocument/2006/relationships/hyperlink" Target="https://krasnogorsk.cian.ru/rent/commercial/277458208/" TargetMode="External"/><Relationship Id="rIdsdirwsqhndxelj9kswqvp" Type="http://schemas.openxmlformats.org/officeDocument/2006/relationships/hyperlink" Target="https://krasnogorsk.cian.ru/rent/commercial/290241753/" TargetMode="External"/><Relationship Id="rIdqnhason1jmbgxybny8jeb" Type="http://schemas.openxmlformats.org/officeDocument/2006/relationships/hyperlink" Target="https://krasnogorsk.cian.ru/rent/commercial/325457201/" TargetMode="External"/><Relationship Id="rId0-3dnmr0mprvgxg_f9voo" Type="http://schemas.openxmlformats.org/officeDocument/2006/relationships/hyperlink" Target="https://krasnogorsk.cian.ru/rent/commercial/331957732/" TargetMode="External"/><Relationship Id="rIdo242b2chbmoew4l_q2exb" Type="http://schemas.openxmlformats.org/officeDocument/2006/relationships/hyperlink" Target="https://krasnogorsk.cian.ru/rent/commercial/329868661/" TargetMode="External"/><Relationship Id="rId4tzzbbwk9blo3xx6_thpl" Type="http://schemas.openxmlformats.org/officeDocument/2006/relationships/hyperlink" Target="https://krasnogorsk.cian.ru/rent/commercial/333822157/" TargetMode="External"/><Relationship Id="rId_nqyy1dvusshnba1pomxe" Type="http://schemas.openxmlformats.org/officeDocument/2006/relationships/hyperlink" Target="https://krasnogorsk.cian.ru/rent/commercial/327894962/" TargetMode="External"/><Relationship Id="rIdormnnkd_txpz1krjlkd0a" Type="http://schemas.openxmlformats.org/officeDocument/2006/relationships/hyperlink" Target="https://krasnogorsk.cian.ru/rent/commercial/331507639/" TargetMode="External"/><Relationship Id="rId4tpyjflnbe0qoms1x1lrb" Type="http://schemas.openxmlformats.org/officeDocument/2006/relationships/hyperlink" Target="https://zvenigorod.cian.ru/rent/commercial/333543801/" TargetMode="External"/><Relationship Id="rIdkogwubneciohaqzagpjs0" Type="http://schemas.openxmlformats.org/officeDocument/2006/relationships/hyperlink" Target="https://zvenigorod.cian.ru/rent/commercial/333543808/" TargetMode="External"/><Relationship Id="rIdnx2k6whpnojov4bxflxtd" Type="http://schemas.openxmlformats.org/officeDocument/2006/relationships/hyperlink" Target="https://zvenigorod.cian.ru/rent/commercial/314353642/" TargetMode="External"/><Relationship Id="rIdfl_dnhczkqnxjd4bbynjy" Type="http://schemas.openxmlformats.org/officeDocument/2006/relationships/hyperlink" Target="https://zvenigorod.cian.ru/rent/commercial/333543804/" TargetMode="External"/><Relationship Id="rIdao9dsraaebdhwel-7bkze" Type="http://schemas.openxmlformats.org/officeDocument/2006/relationships/hyperlink" Target="https://zvenigorod.cian.ru/rent/commercial/332276656/" TargetMode="External"/><Relationship Id="rIdlgm93horj4nj7xtno2hkv" Type="http://schemas.openxmlformats.org/officeDocument/2006/relationships/hyperlink" Target="https://zvenigorod.cian.ru/rent/commercial/332954310/" TargetMode="External"/><Relationship Id="rIdcdnnlo9811zv_ih2o7sf5" Type="http://schemas.openxmlformats.org/officeDocument/2006/relationships/hyperlink" Target="https://zvenigorod.cian.ru/rent/commercial/332954531/" TargetMode="External"/><Relationship Id="rIdwqpj67bfj9fzmf4n59bx4" Type="http://schemas.openxmlformats.org/officeDocument/2006/relationships/hyperlink" Target="https://zvenigorod.cian.ru/rent/commercial/332954861/" TargetMode="External"/><Relationship Id="rIdd_8dzgsq5ti0ze6_jvnnc" Type="http://schemas.openxmlformats.org/officeDocument/2006/relationships/hyperlink" Target="https://zvenigorod.cian.ru/rent/commercial/333568687/" TargetMode="External"/><Relationship Id="rIdm_rj4smxxexyx8qzhg89-" Type="http://schemas.openxmlformats.org/officeDocument/2006/relationships/hyperlink" Target="https://zvenigorod.cian.ru/rent/commercial/330575706/" TargetMode="External"/><Relationship Id="rIdkojmodqsb5t7dy0vcbp-y" Type="http://schemas.openxmlformats.org/officeDocument/2006/relationships/hyperlink" Target="https://zvenigorod.cian.ru/rent/commercial/331164405/" TargetMode="External"/><Relationship Id="rIdeto9vwq3s3abklgk48gpu" Type="http://schemas.openxmlformats.org/officeDocument/2006/relationships/hyperlink" Target="https://krasnogorsk.cian.ru/rent/commercial/333708487/" TargetMode="External"/><Relationship Id="rId1om6p84whoc856ycdkfgu" Type="http://schemas.openxmlformats.org/officeDocument/2006/relationships/hyperlink" Target="https://krasnogorsk.cian.ru/rent/commercial/333083003/" TargetMode="External"/><Relationship Id="rIdncpalv04v0mf7zzalyvf6" Type="http://schemas.openxmlformats.org/officeDocument/2006/relationships/hyperlink" Target="https://krasnogorsk.cian.ru/rent/commercial/333685077/" TargetMode="External"/><Relationship Id="rIdmcttls_ugsukx863hy-ut" Type="http://schemas.openxmlformats.org/officeDocument/2006/relationships/hyperlink" Target="https://krasnogorsk.cian.ru/rent/commercial/333560586/" TargetMode="External"/><Relationship Id="rIddq7hantmib-ynhrpmjzyv" Type="http://schemas.openxmlformats.org/officeDocument/2006/relationships/hyperlink" Target="https://krasnogorsk.cian.ru/rent/commercial/333341406/" TargetMode="External"/><Relationship Id="rIdgxg9umgltdxrxciypn9dc" Type="http://schemas.openxmlformats.org/officeDocument/2006/relationships/hyperlink" Target="https://zvenigorod.cian.ru/rent/commercial/322849091/" TargetMode="External"/><Relationship Id="rIdujkgk0pg5-dt-af0bolky" Type="http://schemas.openxmlformats.org/officeDocument/2006/relationships/hyperlink" Target="https://zvenigorod.cian.ru/rent/commercial/321164596/" TargetMode="External"/><Relationship Id="rIdofucw9ztehwnvadkwpd5s" Type="http://schemas.openxmlformats.org/officeDocument/2006/relationships/hyperlink" Target="https://zvenigorod.cian.ru/rent/commercial/333014437/" TargetMode="External"/><Relationship Id="rIdac0_3vjhlexikgmakpdy3" Type="http://schemas.openxmlformats.org/officeDocument/2006/relationships/hyperlink" Target="https://krasnogorsk.cian.ru/rent/commercial/333240022/" TargetMode="External"/><Relationship Id="rIdex7tq2xg0wcq4l2clmsih" Type="http://schemas.openxmlformats.org/officeDocument/2006/relationships/hyperlink" Target="https://krasnogorsk.cian.ru/rent/commercial/329962592/" TargetMode="External"/><Relationship Id="rId15" Type="http://schemas.openxmlformats.org/officeDocument/2006/relationships/image" Target="media/25b94efc932158f7047a81e233d3c956b6cf2505.jpg"/><Relationship Id="rId16" Type="http://schemas.openxmlformats.org/officeDocument/2006/relationships/image" Target="media/efbad375f9c174320035dcac7fd8c5bd27000339.jpg"/><Relationship Id="rId17" Type="http://schemas.openxmlformats.org/officeDocument/2006/relationships/image" Target="media/0837aa9f4b5b519dc0fee48f6f2c3683d9ff65ca.jpg"/><Relationship Id="rId18" Type="http://schemas.openxmlformats.org/officeDocument/2006/relationships/image" Target="media/245df0ca5f36b7bd1a29de34241af8252554f69b.jpg"/><Relationship Id="rId19" Type="http://schemas.openxmlformats.org/officeDocument/2006/relationships/image" Target="media/f873ea74cc309c7ad8ff7b3942b68550b1957933.jpg"/><Relationship Id="rId20" Type="http://schemas.openxmlformats.org/officeDocument/2006/relationships/image" Target="media/9ffc53e0669a7d395937d555a199937439e39377.jpg"/><Relationship Id="rId21" Type="http://schemas.openxmlformats.org/officeDocument/2006/relationships/image" Target="media/8e3c778d7204590d89dff0ab02f4aa3478f3ddd5.jpg"/><Relationship Id="rId22" Type="http://schemas.openxmlformats.org/officeDocument/2006/relationships/image" Target="media/355d3b0359b78f479af0e84f255f064cad2ed8a4.jpg"/><Relationship Id="rId23" Type="http://schemas.openxmlformats.org/officeDocument/2006/relationships/image" Target="media/8a6e57fed472de0f5216b29a8a0c0e247a4a8e5a.jpg"/><Relationship Id="rId24" Type="http://schemas.openxmlformats.org/officeDocument/2006/relationships/image" Target="media/2ffa93ffb2c03a826d5fb6df29052872b652c103.jpg"/><Relationship Id="rId25" Type="http://schemas.openxmlformats.org/officeDocument/2006/relationships/image" Target="media/a6b302f5ce2c5990b56d6dd84e6de591d0f66f09.jpg"/><Relationship Id="rId26" Type="http://schemas.openxmlformats.org/officeDocument/2006/relationships/image" Target="media/0fa957f81a135c1ab0d389fb87e9dd69338bb418.png"/><Relationship Id="rId27" Type="http://schemas.openxmlformats.org/officeDocument/2006/relationships/image" Target="media/094859b9051166d43c0a54b1c6d94aebc140028b.png"/><Relationship Id="rId28" Type="http://schemas.openxmlformats.org/officeDocument/2006/relationships/image" Target="media/a68278f695604c9a4b1be5c388c7b45256a16843.png"/><Relationship Id="rId29" Type="http://schemas.openxmlformats.org/officeDocument/2006/relationships/image" Target="media/1b5aedc635f1df08f761a234a1898ba684c81d96.png"/><Relationship Id="rId30" Type="http://schemas.openxmlformats.org/officeDocument/2006/relationships/image" Target="media/f3465b31f086467c13f1812b3d84e074d5112547.png"/><Relationship Id="rId31" Type="http://schemas.openxmlformats.org/officeDocument/2006/relationships/image" Target="media/a9686414f1192877364e167cf6548e41c7b9ea7a.png"/><Relationship Id="rId32" Type="http://schemas.openxmlformats.org/officeDocument/2006/relationships/image" Target="media/24b85b6425e42ee85d4f1e24a7bce28dd3608872.png"/><Relationship Id="rId33" Type="http://schemas.openxmlformats.org/officeDocument/2006/relationships/image" Target="media/a65af8f1d25b1fe1605f6436acef51bec03f1e4d.jpg"/><Relationship Id="rId34" Type="http://schemas.openxmlformats.org/officeDocument/2006/relationships/image" Target="media/91c6d2ce6079c26cc3e414e7765502b5e4afd724.jpg"/><Relationship Id="rId35" Type="http://schemas.openxmlformats.org/officeDocument/2006/relationships/image" Target="media/34b79580aba359b31c56e42d3fe4ecec09cc881d.jpg"/><Relationship Id="rId36" Type="http://schemas.openxmlformats.org/officeDocument/2006/relationships/image" Target="media/6e78aff61d00fa4f79c3500961b86e1c2a05033b.jpg"/><Relationship Id="rId37" Type="http://schemas.openxmlformats.org/officeDocument/2006/relationships/image" Target="media/2125f383a1e4a10ce2da4ff0fad9e55e52237734.png"/><Relationship Id="rId18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ТЦ «Амбар 1» — исследование вакантных помещений</dc:title>
  <dc:creator>Аналитика коммерческой недвижимости</dc:creator>
  <dc:description>Диагностика вакансии, бенчмарк ставок, локационный анализ, тир-лист арендаторов</dc:description>
  <cp:lastModifiedBy>Un-named</cp:lastModifiedBy>
  <cp:revision>1</cp:revision>
  <dcterms:created xsi:type="dcterms:W3CDTF">2026-09-21T12:17:55.095Z</dcterms:created>
  <dcterms:modified xsi:type="dcterms:W3CDTF">2026-09-21T12:17:55.095Z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