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стало дефицитнее денег. С 1 июля сеть Брабанта закрыта даже для нового жилья, у Enexis больше 9 000 компаний в очереди на подключение. На рынке объект с готовой мощностью дорожает, а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нет. Аренда складов за год выросла (+10,5%, до 833 тыс. м²), а вложения в покупку упали на 60% (до ~265 млн €). Доходность лучших складов почти два года стоит на месте (~4,75%). Аналитики считают акции складов недооценёнными и ждут роста примерно на +32%.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«Азотный замок» приоткрыли. Пакет на ~20 млрд € обещает вернуть разрешения на стройку примерно 244 000 домов — но реально это заработает к концу 2027 года, а не сейчас (закон уходит в парламент только в октябре).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Магазинов становится меньше. Пустых торговых помещений стало 7,0% (было 6,7%), и уже десятый год подряд число магазинов сокращается. Торговые центры на окраинах держатся лучше, чем магазины в центрах городов.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Ставки развернулись вверх. ЕЦБ поднял ставку (депозит 2,25%), но занимать пока дёшево. Для владельцев недвижимости через компанию (BV) готовятся два налоговых изменения — box 3 и ограничение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Сколько на самом деле стоят склады: биржа спорит с оценщиками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Склады нужны арендаторам — аренда за год выросла на +10,5%. Но покупать их почти перестали: сделок на −60% меньше. При этом акции крупнейшего владельца складов (компания CTP) на бирже стоят на ~21,7% дешевле, чем его здания оценены «на бумаге», — а аналитики всё равно советуют покупать. Кто прав, покажет отчёт компании 30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2026-07-30 — Полугодовой отчёт CTP: сравним реальные цифры с ожиданиями аналитиков — это задаст ориентир цены для всех складов страны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Электросеть на юге переполнена — подключиться больше нельзя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 1 июля электросеть провинции Брабант закрыта для новых подключений — даже для нового жилья. У сетевого оператора Enexis в очереди уже больше 9 000 компаний. Проще говоря, свободная электрическая мощность стала дефицитнее денег: объект с готовым подключением дорожает, без него — теряет в цене.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2026-07-01 — Вступают в силу новые правила: новую мощность на юге теперь дают в последнюю очередь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Новый налог для арендодателей (box 3): голосование отложили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Готовится налог, при котором сдачу жилья будут облагать по реальному доходу, а не по «придуманному», как сейчас. 30 июня верхняя палата парламента (Сенат) отложила решение — ждёт обещанную правительством доработку закона. Голосование по спорным пунктам назначили на 7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2026-07-07 — Голосование Сената по поправкам к налогу box 3 — станет понятно, введут ли налог на реальный доход от аренды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Бегут ли инвесторы из арендного жилья? Проверка на фонде Vesteda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Крупнейший фонд арендного жилья Vesteda опасался, что инвесторы начнут массово забирать деньги. В марте заявок было на 4,1 млрд €, но в итоге забрали лишь 765 млн € — в пять раз меньше. Значит, крупные деньги остаются в арендном жилье, а не бегут, и обвала цен ждать не стоит.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2026-10-31 — Отчёты фондов покажут, не появилось ли новых крупных заявок на выход (больше 1 млрд €)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2C5F8A"/>
          <w:sz w:val="16"/>
          <w:shd w:val="clear" w:color="auto" w:fill="E8F0F7"/>
        </w:rPr>
        <w:t xml:space="preserve"> НОВЫЙ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«Азотный замок»: стройку жилья обещают разблокировать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Из-за норм по выбросам азота стройку многих домов сейчас нельзя даже начать. 26 июня правительство представило пакет на ~20 млрд €: проекты с очень малыми выбросами освободят от лишних разрешений. Под угрозой из-за азота ~244 000 домов; реально заработать это должно к концу 2027 года, а не сейчас.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2026-10-01 — Азотный законопроект уходит в нижнюю палату парламента (Вторую палату)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связала три сюжета в одну мысль: главным дефицитом на рынке становится не земля и не деньги, а электрическая мощность. С 1 июля электросеть провинции Брабант закрывается даже для нового жилья — у оператора Enexis в очереди на подключение уже больше 9 000 компаний. Склад или промзона с готовым подключением теперь стоит дороже соседнего объекта без него. Второй сюжет — регуляторный: правительство 26 июня представило «азотный» пакет на ~20 млрд €, который со временем снова откроет разрешения на стройку жилья, но эффект ждут только к концу 2027 года, а не сейчас. Третий — деньги: ЕЦБ впервые с 2023 года поднял ставку (депозит 2,25%), но занимать пока дёшево — гособлигации Нидерландов просели до ~2,98%. Итог по сегментам: в логистике спрос на аренду растёт (+10,5% за год), а сделок купли-продажи почти нет (−60%); жильё дорожает медленнее и без обвала; в торговле пустых магазинов чуть больше (7,0%).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промзоны, бизнес-парки)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Электросеть провинции Брабант с 1 июля фактически закрыта. Впервые в очередь на подключение попадают не только компании, но и мелкие потребители — новое жильё и усиление бытовых подключений. Оператор Enexis перестаёт резервировать мощность для мелких потребителей: приоритет отдают большим аккумуляторам, которые разгружают сеть, и жизненно важным объектам. По всей стране в очереди у Enexis уже больше 9 000 компаний.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получить новое или расширенное подключение на юге страны теперь можно только через несколько лет очереди. Поэтому объект с уже готовой мощностью становится дороже, а участок без подключения теряет часть ценности. Netcongestie (перегрузка сети) — это как шоссе в час пик: провода есть, а свободной полосы нет.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CTP — крупнейший в Европе застройщик складов (зарегистрирован в Нидерландах) — назначил публикацию полугодовых результатов на 30 июля. К концу марта у компании уже 14,7 млн м² складов в 11 странах, ещё 2,0 млн м² строится, более 1700 арендаторов. На этой же неделе CTP открыл новый парк на 66 000 м² в венгерском городе Печ — первую очередь (14 200 м²) построили под конкретного арендатора и уже сдали.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у крупнейшего игрока дела идут хорошо, несмотря на заморозку сделок. Отчёт 30 июля покажет рынку «справедливую» цену для похожих складов в Нидерландах — на неё будут ориентироваться при оценке других объектов.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CTP N.V. / Business Wire (IR)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Застройщик Panattoni объявил о крупнейшем коммерческом здании на севере Нидерландов — Panattoni Park Emmen на ~150 000 м² (22 футбольных поля) у трассы A37 в провинции Дренте. Вложения — более 100 млн €, сдача — март 2028. Важная деталь: это не просто склад, а универсальное здание под производство, интернет-торговлю, медтех, оборонную промышленность и высокотехнологичную логистику.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уходят из привычных логистических зон вокруг Randstad на периферию и делают ставку на гибкие здания под разных арендаторов. К 2028 году на севере появится много новых площадей. Но окупаемость зависит от того, найдётся ли к тому времени свободная мощность подключения — а на севере это пока под вопросом.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Vastgoeddata (первоисточник Panattoni)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Спрос на дата-центры в Нидерландах растёт — главный драйвер это искусственный интеллект. Цифровая экономика в первом квартале 2026 выросла на 2,8% до 10,7 млрд € и обогнала экономику страны в целом. Но всё чаще проекты упираются в ту же стену: перегрузку сети и долгие разрешения.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спрос на дата-центры растёт быстрее экономики, но подключить новую мощность негде — особенно вокруг Амстердама. Дата-центры конкурируют с логистикой за один и тот же дефицитный киловатт.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Обзор рынка логистики (издание Vastgoedmarkt) показывает смену приоритетов. Пустых складов мало в популярных местах (~4–5%), но на периферии их становится больше. Инвесторы больше не гонятся за ростом арендной платы — теперь им важнее надёжный, долгосрочный арендатор. Хороший пример — WDP, одна из крупнейших в Европе компаний-владельцев складов (её акции торгуются на бирже). Раньше она начинала стройку и искала арендатора уже по ходу, а теперь всё чаще находит его заранее, ещё до окончания стройки: доля таких заранее сданных объектов выросла до ~75% (в конце 2024 было ~60%). И почти все её готовые склады заняты — заполняемость ~97,4%. Это признак того, что спрос на склады реальный и устойчивый, а не подогрет ожиданиями.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снижают риск — находят арендатора ещё до постройки. Это признак здорового спроса. На рынке теперь платят премию за длинного надёжного арендатора и хорошее место, а не за сами квадратные метры.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Главный разрыв недели. Аренда складов (take-up) в первом квартале 2026 выросла на +10,5% за год до ~833 000 м². А вложения в покупку складов рухнули на −60% за год до ~265 млн €. То есть арендаторам склады нужны, а покупатели и продавцы не сходятся в цене — мешают перегрузка сети, дорогая стройка и дорогие кредиты.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это классическая ситуация «бизнес здоров, но сделок нет». Дно по цене складов, скорее всего, близко. Но настоящие скидки появятся не из-за слабого спроса, а когда владельцам с большими долгами придётся продавать при рефинансировании — а это пока только предположение.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в I квартале ~833 000 м² (+10,5% за год); вложения в покупку ~265 млн € (−60%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Доходность лучших складов Нидерландов почти два года стоит на месте — около 4,75% (данные CBRE; Savills подтверждает, что рынок успокоился после 3,15% в 2021 году). Cushman &amp; Wakefield даёт 5,0% и лучшую аренду €125 за м² в год. Разница между регионами растёт: топ-локации стабильны, периферия отстаёт.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цену лучших складов оценщики больше не снижают — дно в качественном сегменте, похоже, найдено. Доходность 4,75% против «безрисковых» ~2,98% по гособлигациям даёт запас ~1,75 процентного пункта — премия за риск умеренная. Разница между Randstad и провинциями Брабант/Гелдерланд растёт, там и риск, и возможность.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доходность лучших складов ~4,75% (не меняется ~2 года); лучшая аренда €125 за м²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Netherlands / Savills / Cushman &amp; Wakefield</w:t>
            </w:r>
            <w:hyperlink r:id="rId2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Здесь любопытное расхождение, и его стоит разобрать по шагам. CTP и WDP — две крупные компании, которым принадлежат склады по всей Европе; их акции торгуются на бирже, поэтому по ним видно, как рынок оценивает склады прямо сейчас. Так вот: акции CTP на бирже стоят примерно на 21,7% дешевле, чем сами склады этой компании оценены в её отчётности. Проще говоря, биржа как будто говорит: «склады стоят меньше, чем написано на бумаге». Но аналитики банков с этим не согласны — почти все советуют акции CTP покупать и ждут, что они подорожают примерно на 32% (по WDP — примерно на 21%). А агентства, которые оценивают надёжность компаний как заёмщиков, в мае даже повысили оценку CTP — то есть с точки зрения долгов у складского бизнеса всё в порядке.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оценивает склады дешевле, чем они записаны на бумаге. Значит, к оценкам частных складов стоит относиться осторожнее — возможно, они чуть завышены. А раз надёжность компаний по кредитам выросла, занимать деньги сектору стало дешевле.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акции CTP на бирже на ~21,7% дешевле, чем склады компании оценены в её отчётности; аналитики ждут роста ~+32%; надёжность компаний по кредитам повышена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 (Moody's)</w:t>
            </w:r>
            <w:hyperlink r:id="rId1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сделок почти нет — дно по цене близко, скидки возможны при рефинансировании.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77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yield_vs_riskfr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Доходность лучших складов почти два года стоит на месте.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p_nta_discou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Биржа осторожнее оценщиков — оценки похожих частных складов могут быть завышены.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самый дефицитный ресурс в логистике теперь не земля и не деньги, а электрическая мощность. Спрос на аренду жив (+10,5% за год), доходность лучших складов почти два года стоит на месте (~4,75% — дно качественного сегмента, похоже, найдено), а сделок купли-продажи почти нет (−60%) — но не из-за слабого спроса, а из-за дорогих денег и перегрузки сети. Брокеры хором говорят «логистика дёшева, вырастет на +32%» — здесь стоит быть осторожнее: низкая цена не значит, что появились вынужденные продавцы. Настоящие скидки, если и придут, то с рефинансированием 2026–27 годов, а не от энтузиазма аналитиков. Что может опровергнуть эту мысль: доходность лучших складов уйдёт выше 5,25% или аренда два квартала подряд будет падать. Главный риск: закрытие сети Брабанта расползётся на другие провинции и заморозит стройку шире.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сравнение с прогнозами аналитиков переустановит ценовой ориентир для всего сектора складов. И до 1 июля важна дата закрытия сети Брабанта: с этого дня новые подключения на юге уходят в очередь на годы.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Объясним по порядку. Когда компания покупает недвижимость на кредит, она платит банку проценты — и раньше эти проценты целиком уменьшали её налог. С 2019 года действует правило (пришло из ЕС), которое разрешает списывать из налога только часть процентов. Из-за этого налог у таких компаний выше, а покупать недвижимость на заёмные деньги — менее выгодно. Государство собиралось сделать это правило ещё строже для компаний, которые держат недвижимость, но пока приостановило — ждёт общего решения ЕС. Крупнейшая ассоциация риелторов NVM Business 29 июня, наоборот, потребовала правило смягчить, а не ужесточать: иначе вложения в недвижимость будут и дальше буксовать.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из-за этого правила брать кредит на покупку недвижимости невыгодно — налог получается выше. Это тормозит вложения в торговую недвижимость и новую стройку. Пауза с ужесточением — временная передышка, но не отмена.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Владелец торговых центров Eurocommercial Properties (головной офис в Нидерландах, 24 центра в Бельгии, Франции, Италии, Швеции) сообщил: 18,5% акционеров выбрали получить дивиденды новыми акциями, а не деньгами. Итоговый дивиденд — €1,11 на акцию, выплата 2 июля.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почти пятая часть акционеров предпочла акции деньгам — значит, часть инвесторов верит в рост бумаги. Осторожно-позитивный сигнал доверия к качественной торговой недвижимости, хотя 81,5% всё же взяли деньги.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Eurocommercial Properties N.V. / GlobeNewswire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Амстердам остаётся в топ-5 европейских городов по перспективам для инвестиций и застройки (обзор ULI/PwC Emerging Trends 2026). Но настрой сектора сменился с прошлогоднего «осторожного оптимизма» на «прагматизм»: доля тех, кого тревожит деглобализация, удвоилась до 70%. По опросу INREV, европейские инвесторы впервые чуть перевесили в недвижимость (14,1% при цели 13,9%), а самый популярный инструмент — фонды кредитования под недвижимость.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из недвижимости не уходят, но инвесторы осторожничают и выбирают долг вместо покупки объектов. Им важнее стабильный доход, чем ставка на рост цены. В такой среде ценится качество места и арендатора.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2025-11-01   •   Источник: ULI/PwC Emerging Trends in Real Estate Europe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Единственное агентство, которое публично оценивает владельца торговых центров Wereldhave (центры в Нидерландах, Бельгии, Франции; входит в индекс AEX) — Fitch — подтвердило рейтинг на уровне BBB со стабильным прогнозом. Спокойный, но важный сигнал: кредитное здоровье нидерландской торговой недвижимости держится.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стоимость долга для сектора не растёт сверх рынка, риск вынужденных распродаж торговых центров снижается. Это косвенный знак: институциональная торговая недвижимость не в кризисе, дешёвых распродаж от паникующих владельцев пока ждать не стоит.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2026-05-01   •   Источник: Wereldhave IR — Credit Rating (Fitch)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Пустых магазинов в Нидерландах стало чуть больше — 7,0% к концу 2025 против 6,7% в начале года (данные Locatus). Прирост меньше, чем в 2024, но уже десятый год подряд число торговых объектов сокращается: с ~207 000 до ~205 000 (−1 600), из них ~14 000 пустуют. Магазинных помещений впервые меньше 80 000 (−26% за 20 лет). Сокращение — целиком из-за закрытия магазинов; кафе, рестораны и услуги стабильны.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офлайн-магазинов год за годом становится меньше. Раньше пустые витрины переделывали в жильё, и это снижало вакантность — теперь тренд развернулся. Слабый стрит-ритейл в центрах отпускает арендаторов, и часть из них переезжает в удобные форматы с парковкой на окраинах.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пустых магазинов 7,0% на конец 2025 (было 6,7%); всего ~205 000 объектов (−1 600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30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Официальный индекс цен коммерческой недвижимости (CBS/Kadaster — офисы, склады, магазины, аренда жилья) обновили до первого квартала 2026 (публикация 16 июня). Конкретные числа пока только в Excel-выгрузке, а ряд с 2023 года помечен как «в разработке». Но само квартальное обновление единственного официального индекса цен показывает, что государство следит за сектором.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появляется независимый от брокеров ориентир по ценам. Это ценный нейтральный источник, чтобы проверять оценки риелторов, — но пока числа закрыты, его роль ограничена.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официальный индекс цен коммерческой недвижимости (CBS) обновлён до I квартала 2026 (16 июня)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(Prijsindices commercieel vastgoed)</w:t>
            </w:r>
            <w:hyperlink r:id="rId3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3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ancy_tre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Арендаторы уходят из центров в удобные форматы на окраинах.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торговая недвижимость Нидерландов не в кризисе, но идёт тихая сортировка — деньги уходят от «квадратных метров» к стабильному доходу и хорошему месту. Пустых магазинов медленно становится больше (7,0% против 6,7%), десятый год подряд магазинов меньше, но кредитное здоровье сектора стабильно (Wereldhave BBB). Инвесторы осторожны и выбирают долг вместо покупки. Аналитики смотрят на сектор нейтрально — без явного повода переоценка вряд ли случится. Что может опровергнуть: вакантность магазинов прыгнет выше 8% за год или второй крупный владелец торговых центров получит понижение рейтинга. Главный риск: налоговые изменения (earningsstripping и box 3) ударят по владельцам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Сентябрьский бюджетный день (Prinsjesdag) и общее решение ЕС по earningsstripping определят, ужесточат ли вычет процентов для компаний, владеющих недвижимостью. Это ключевой вопрос для тех, кто держит недвижимость на кредиты через компанию (BV).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23 июня поимённым голосованием одобрил «Закон об усилении госрегулирования жилстроя» (Wet versterking regie volkshuisvesting). Государство, провинции и муниципалитеты снова получают право решать, сколько, где и для кого строить. Главное правило: 2/3 нового жилья должно быть доступным (аренда и покупка), из них 30% — социальная аренда. Большинство норм вступает в силу с 1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государство возвращает себе управление стройкой и вводит квоту на доступное жильё. Из-за этого новые проекты становятся менее прибыльными, а выбор, что строить, у застройщиков сужается. Для частных арендодателей это давление на предложение свободного (нерегулируемого) жилья.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Eerste Kamer /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30 июня отложил голосование по «Закону о реальном доходе box 3» (переход от налога с придуманной, «фиктивной» доходности к налогу с фактического дохода; старт планово с 2028). По предложению фракции GroenLinks-PvdA ждут обещанную правительством новеллу. Голосование по четырём поправкам назначено на 7 июля. Парламент критиковал идею облагать налогом ещё не полученную прибыль (рост цены до продажи); правительство боится дыры в бюджете ~2,4 млрд € в год с 2028, если закон провалится.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налог для частных арендодателей может смениться с придуманной доходности на реальный доход от аренды плюс налог с подорожания при продаже. Из-за этого чистая доходность сдачи жилья (особенно через компанию BV) снижается. Часть частных владельцев может начать выходить из рынка к 2027–28 годам, добавив предложения. Проще говоря: платить будут с реального дохода от аренды каждый год, а с подорожания — при продаже.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Правительство 26 июня представило «азотный» пакет на ~20 млрд €, чтобы снять страну с «азотного замка» и вернуть место под стройку. Главное для застройки: вводится математический порог выбросов (rekenkundige ondergrens) — проекты с очень маленькими выбросами азота освобождают от природоохранного разрешения. По оценке Bouwend Nederland, из-за азота под угрозой сейчас ~244 000 домов. Проекты с малыми выбросами снова станут возможны к концу 2027, а законопроект уйдёт в парламент только в октябре.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«азотный замок» годами блокировал разрешения на стройку. Пакет обещает разблокировать заметную часть жилищных проектов — но это перспектива с юридическими рисками и задержкой (закон только в октябре, эффект к концу 2027), а не сегодняшняя определённость. Проще говоря: «азотный замок» — это когда стройку нельзя начать, пока не докажешь, что не превысишь норму выбросов.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фонд арендного жилья Нидерландов Vesteda (~28 000 квартир, ~10,8 млрд €) 26 июня подвёл итог заявок на выкуп паёв — 765 млн €. Это впятеро меньше предварительных 4,1 млрд €, поданных в марте. Условия фонда изменили: выйти теперь можно раз в год (было раз в 7 лет), и не более 7,5% капитала в год. Контекст: с марта у Vesteda рейтинг S&amp;P понижен до BBB с негативным прогнозом.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страх рынка — что институциональные инвесторы побегут из арендного жилья — не подтвердился. Заявки на выход схлопнулись впятеро. Значит, крупные деньги придерживают, а не бегут, и обвала цен на арендные портфели ждать не стоит. Для частных арендодателей это снимает риск массовой распродажи, которая давила бы цены вниз.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Инициативный закон депутата Беккерман (SP) о поддержке жилищных кооперативов Вторая палата приняла 30 июня почти единогласно (против — 1 голос). Вводятся два типа кооперативов: коллективная аренда и коллективная собственность. Дальше — Сенат.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закон облегчает коллективное жильё — появляется новая ниша между социальной арендой и частным рынком. Для частных арендодателей доступного сегмента это ещё один конкурент за арендатора в будущем.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/ Tweede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Ценовое ралли на жильё в Нидерландах заканчивается — сходятся три независимых прогноза. Rabobank (9 июня): цены +2,8% в 2026 и +2,0% в 2027, число сделок падает с 239 тыс. до 227 и 200 тыс. ABN AMRO (апрель): +3% и +4% по ценам, −3%/−4% по сделкам. DNB (12 июня): +3–4% в год в 2026–2028. Университет TU Delft присвоил рынку статус «жёлтый уровень» (code geel) — первые признаки охлаждения: переплата сверх запросной цены упала с 5,7% до 3,7%.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три банка и университет независимо друг от друга видят охлаждение цен и сделок. Это не случайный всплеск, а согласованный разворот темпа роста. Окно продажи «на пике» сужается, а рост цен замедляется. Арендный доход теперь важнее ставки на подорожание.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2026-06-09   •   Источник: RaboResearch / ABN AMRO / DNB / TU Delft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остывает, но не падает. Существующие дома в мае стоили на +4,4% дороже, чем год назад (в апреле было +4,3%), и на +0,6% дороже, чем месяцем ранее. Средняя цена сделки — €487 383 (CBS/Kadaster, публикация 22 июня). При этом сделок в мае меньше: 19 120 (−2,5% за год). Рост цен при падении числа сделок — признак нехватки предложения.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рынок сжимается по объёму, но дефицит жилья держит цены. Продавать становится дольше, а долгосрочная ставка на нехватку жилья остаётся в силе.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год, +0,6% за месяц (май); средняя цена €487 383; сделок 19 120 (−2,5%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36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Почему цены не падают — структурный фон. Нехватка жилья ~396 000 единиц (4,8% всего фонда, данные ABF Primos). Доступность рухнула: под ипотеку среднему домохозяйству по карману лишь 21% домов против 61% в 2015 году (CPB), а в четырёх крупных городах — около 18%. Доля инвесторов в жилфонде снизилась до 9,0% (Kadaster, Q1 2026) — частники распродают мелкое дешёвое жильё.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острая нехватка жилья держит цены, но налоги и регулирование выталкивают мелких частных инвесторов. Их дешёвые квартиры перетекают к покупателям-новичкам. Дефицит поддерживает цену, но состав владельцев меняется.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нехватка ~396 000 домов (4,8% фонда); по карману лишь 21% домов (в 2015 было 61%); доля инвесторов среди покупателей 9,0%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ABF Research / CPB / Kadaster</w:t>
            </w:r>
            <w:hyperlink r:id="rId3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56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придерживают, а не бегут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отток крупных инвесторов из арендного жилья, похоже, прошёл дно, а ценовое ралли одновременно выдыхается — рынок входит в фазу «дорого, но без разгона». Vesteda схлопнула выкуп впятеро (765 млн € вместо 4,1 млрд): деньги придерживают, а не бегут. При этом три банка и TU Delft согласованно фиксируют замедление роста цен до +2,8–4% в год. Что может опровергнуть: новые заявки на выкуп паёв больше 1 млрд € за квартал или второй крупный фонд объявит распродажу портфеля больше 500 млн €. Главный риск: box 3 с 2028 обложит ещё не полученную прибыль, и частники снова начнут выходить, добавив предложения.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четырём поправкам к box 3. Это ключевая дата для частных арендодателей, особенно тех, кто держит жильё через компанию (BV). Дальше — сентябрьский бюджетный день (Prinsjesdag) с налоговыми деталями.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недели: три сюжета сошлись в одну ось — «дорогая мощность». Физическая (сеть Брабанта закрывается 1 июля, больше 9 000 в очереди), регуляторная (азотный порог обещает разрешения, но к концу 2027) и финансовая (ЕЦБ развернул ставки вверх, но гособлигации Нидерландов пока дешёвые). Спрос в логистике жив, а сделок почти нет; жильё успокоилось без обвала; торговля тихо сортируется от «метров» к стабильному доходу.</w:t>
              <w:br/>
              <w:br/>
              <w:t>Сценарии. Логистика: если отчёт CTP 30 июля подтвердит крепкие показатели → цены на лучшие склады пойдут вверх; если разочарует → склады останутся дешёвыми, но без повода для роста. Жильё: если Сенат 7 июля продвинет налог на реальный доход → частники со слабой доходностью получат стимул выходить к 2027–28 годам; если отложат → передышка, но не отмена давления. Сеть: если замок Брабанта расползётся на другие провинции → объекты с готовой мощностью станут отдельным дорогим классом по всей стране.</w:t>
              <w:br/>
              <w:br/>
              <w:t>Календарь: • 1 июля — новые правила подключения к сети и большинство норм закона о жилстрое. • 7 июля — голосование Сената по box 3. • 30 июля — полугодовой отчёт CTP. • Сентябрь — Prinsjesdag: налоговые детали. • Октябрь 2026 — азотный законопроект в парламент.</w:t>
              <w:br/>
              <w:br/>
              <w:t>За чем следить: (1) закрытие сети Брабанта с 1 июля — новая мощность уходит в очередь на годы; (2) реакция акций CTP/WDP как первый сигнал переоценки логистики; (3) отчёты фондов — нет ли новых крупных заявок на выкуп, это тест, пройдено ли дно оттока.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Вступают в силу новые правила подключения к сети (приоритет жилью/школам/транспорту/аккумуляторам) и большинство норм закона о жилстрое; сеть Брабанта закрывается для мелких потребителей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и расширенные подключения на юге уходят в очередь на годы; объекты с готовой мощностью дорожают, без неё — теряют в цене.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четырём поправкам к закону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одобрят налог на реальный доход и подорожание при продаже → частники со слабой доходностью получат стимул выходить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 за 2026 (вебкаст 11:00 CET): сравнение показателей с прогнозами аналитиков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показатели крепкие → цены на лучшие склады пойдут вверх; если отчёт разочарует → склады останутся дешёвыми без повода для роста. Отчёт задаёт ориентир для всего сектора.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2026-09-15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Prinsjesdag: налоговые детали earningsstripping для компаний и box 3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ужесточат вычет процентов → кредиты через компанию (BV) подорожают для владельцев недвижимости.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ритейл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правительства уходит во Вторую палату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закон пройдёт устойчиво →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электросети: мощности на подключение не хватает всем,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доходность лучших объектов (prime yield)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годовая аренда, делённая на цену лучшего объекта сегмента. Чем ниже доходность, тем дороже актив.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запас к гособлигациям (спред)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насколько доходность недвижимости выше доходности «надёжных» гособлигаций. Маленький запас = недвижимость дорогая по сравнению с облигациями.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дисконт к EPRA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когда акции фонда недвижимости на бирже стоят дешевле, чем его здания на балансе. Рынок как бы говорит, что оценщики ещё не списали то, что биржа уже списала.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том числе недвижимость не для собственного проживания). Обсуждается переход с придуманной («фиктивной») доходности на налог с реального дохода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ограничение на вычет процентов по кредиту из налога (правило ЕС, действует с 2019). Делает заёмные деньги дороже, особенно для компаний (BV), владеющих недвижимостью.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азотный порог (rekenkundige ondergrens)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минимальный уровень выбросов азота: проекты с очень маленькими выбросами освобождают от природоохранного разрешения, и стройку снова можно начать.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аренда за период (take-up)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сколько площадей арендаторы сняли за период. Показывает силу спроса на аренду — отдельно от сделок купли-продажи.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с ограниченной ответственностью (аналог ООО). Через неё часто держат недвижимость, и на неё распространяются корпоративные налоговые правила.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WOZ, сделки, индекс коммерческой недвижимости)  </w:t>
      </w:r>
      <w:hyperlink r:id="rId36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Kadaster (Woningmarkt Q1 2026)  </w:t>
      </w:r>
      <w:hyperlink r:id="rId39">
        <w:r>
          <w:rPr>
            <w:color w:val="1155CC"/>
            <w:sz w:val="18"/>
            <w:rFonts w:ascii="Calibri" w:hAnsi="Calibri"/>
            <w:u w:val="single"/>
          </w:rPr>
          <w:t xml:space="preserve">https://www.kadaster.nl/-/woningmarkt-1e-kwartaal-2026-weer-meer-verkopen-vooral-goedkopere-woningen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DNB — Voorjaarsraming 2026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https://www.dnb.nl/algemeen-nieuws/persbericht-2026/oorlog-midden-oosten-remt-economische-groei-verhoogt-inflatie/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Monetary policy decisions (11 June 2026)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https://www.ecb.europa.eu/press/pr/date/2026/html/ecb.mp260611~4d41bd5e83.en.html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Bank Lending Survey Q1 2026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https://www.ecb.europa.eu/stats/ecb_surveys/bank_lending_survey/html/ecb.blssurvey2026q1~ff74e51f1b.en.html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Eurostat — House prices Q4 2025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https://ec.europa.eu/eurostat/web/products-eurostat-news/w/ddn-20260407-1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Trading Economics — NL &amp; Germany 10Y bond yields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https://tradingeconomics.com/netherlands/government-bond-yield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Euribor-rates.eu (данные EMMI)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https://www.euribor-rates.eu/en/current-euribor-rates/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INREV — Fund/ODCE indices &amp; Investment Intentions 2026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https://www.inrev.org/news/inrev-news/investment-intentions-survey-2026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EPRA — Monthly NAV/LTV reports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https://www.epra.com/indexes/monthly-reports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Green Street EU — Pan-European CPPI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https://eu.greenstreet.com/resources/pricing-index/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GRESB — 2025 Real Estate Benchmark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https://www.gresb.com/nl-en/insights/gresb-2025-benchmarks-reflect-industry-maturity-and-continued-progress-toward-responsible-investing/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IR / Business Wire (H1-notice, Moody's, Pécs)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https://www.businesswire.com/news/home/20260623616061/en/CTP-N.V.-notice-of-H1-2026-results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Wereldhave IR — Credit Rating (Fitch)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https://www.wereldhave.com/investor-relations/credit-rating/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Consensus (CTP/WDP/Wereldhave)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Industrial &amp; Logistics NL Q1 2026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Market Outlook 2026 &amp; logistics yields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Savills Netherlands — Logistics Trend Report &amp; Market in Minutes  </w:t>
      </w:r>
      <w:hyperlink r:id="rId50">
        <w:r>
          <w:rPr>
            <w:color w:val="1155CC"/>
            <w:sz w:val="18"/>
            <w:rFonts w:ascii="Calibri" w:hAnsi="Calibri"/>
            <w:u w:val="single"/>
          </w:rPr>
          <w:t xml:space="preserve">https://www.savills.nl/research_articles/251853/390330-0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Winkelleegstand 2025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 versterking regie &amp; box 3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https://www.eerstekamer.nl/wetsvoorstel/36512_wet_versterking_regie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Enexis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/ ABN AMRO — Housing Market Monitors  </w:t>
      </w:r>
      <w:hyperlink r:id="rId35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/ NVM Business — Nieuws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/ Vastgoeddata / Vastgoedjournaal — логистика, ДЦ, Panattoni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vesting.com/equities/ctp-nv-consensus-estimates" TargetMode="External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eerstekamer.nl/nieuws/20260630/senaat_houdt_stemming_box_3_wet" TargetMode="External"/><Relationship Id="rId14" Type="http://schemas.openxmlformats.org/officeDocument/2006/relationships/hyperlink" Target="https://news.vesteda.com/vesteda-redemption-volume-set-at--765-million-and-fund-terms-amended/" TargetMode="External"/><Relationship Id="rId15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businesswire.com/news/home/20260623616061/en/CTP-N.V.-notice-of-H1-2026-results" TargetMode="External"/><Relationship Id="rId18" Type="http://schemas.openxmlformats.org/officeDocument/2006/relationships/hyperlink" Target="https://www.vastgoeddata.nl/article/8d9d3c4f-6efd-11f1-b96f-464e1662e283/panattoni-ontwikkelt-grootste-bedrijvencomplex-noord-nederland-in-emmen" TargetMode="External"/><Relationship Id="rId19" Type="http://schemas.openxmlformats.org/officeDocument/2006/relationships/hyperlink" Target="https://vastgoedjournaal.nl/news/73532/steeds-meer-vraag-naar-datacenters-maar-realisatie-wordt-steeds-lastiger" TargetMode="External"/><Relationship Id="rId20" Type="http://schemas.openxmlformats.org/officeDocument/2006/relationships/hyperlink" Target="https://www.vastgoedmarkt.nl/198511/wat-je-nu-moet-weten-over-logistiek" TargetMode="External"/><Relationship Id="rId21" Type="http://schemas.openxmlformats.org/officeDocument/2006/relationships/hyperlink" Target="https://www.cushmanwakefield.com/en/netherlands/news/2026/05/dutch-logistics-real-estate-market-remains-resilient" TargetMode="External"/><Relationship Id="rId22" Type="http://schemas.openxmlformats.org/officeDocument/2006/relationships/hyperlink" Target="https://www.cbre.nl/insights/reports/grotere-regionale-verschillen-sturen-rendementen-in-logistiek-vastgoed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hyperlink" Target="https://www.nvm.nl/nieuws/" TargetMode="External"/><Relationship Id="rId27" Type="http://schemas.openxmlformats.org/officeDocument/2006/relationships/hyperlink" Target="https://www.globenewswire.com/news-release/2026/06/25/3317781/0/en/EUROCOMMERCIAL-PROPERTIES-N-V-18-5-TAKE-UP-OF-STOCK-DIVIDEND.html" TargetMode="External"/><Relationship Id="rId28" Type="http://schemas.openxmlformats.org/officeDocument/2006/relationships/hyperlink" Target="https://europe.uli.org/research/emerging-trends/" TargetMode="External"/><Relationship Id="rId29" Type="http://schemas.openxmlformats.org/officeDocument/2006/relationships/hyperlink" Target="https://www.wereldhave.com/investor-relations/credit-rating/" TargetMode="External"/><Relationship Id="rId30" Type="http://schemas.openxmlformats.org/officeDocument/2006/relationships/hyperlink" Target="https://locatus.com/blog/nederlandse-winkelleegstand-2025/" TargetMode="External"/><Relationship Id="rId31" Type="http://schemas.openxmlformats.org/officeDocument/2006/relationships/hyperlink" Target="https://www.cbs.nl/nl-nl/maatwerk/2026/25/prijsindices-commercieel-vastgoed" TargetMode="External"/><Relationship Id="rId32" Type="http://schemas.openxmlformats.org/officeDocument/2006/relationships/image" Target="media/image5.png"/><Relationship Id="rId33" Type="http://schemas.openxmlformats.org/officeDocument/2006/relationships/hyperlink" Target="https://www.eerstekamer.nl/wetsvoorstel/36512_wet_versterking_regie" TargetMode="External"/><Relationship Id="rId34" Type="http://schemas.openxmlformats.org/officeDocument/2006/relationships/hyperlink" Target="https://www.eerstekamer.nl/wetsvoorstel/36780_initiatiefvoorstel_beckerman" TargetMode="External"/><Relationship Id="rId35" Type="http://schemas.openxmlformats.org/officeDocument/2006/relationships/hyperlink" Target="https://www.rabobank.nl/kennis/d011529617-kwartaalbericht-woningmarkt-einde-van-de-prijsrally-huizenmarkt-koelt-af" TargetMode="External"/><Relationship Id="rId36" Type="http://schemas.openxmlformats.org/officeDocument/2006/relationships/hyperlink" Target="https://www.cbs.nl/nl-nl/nieuws/2026/26/koopwoningen-in-mei-ruim-4-procent-duurder-dan-jaar-eerder" TargetMode="External"/><Relationship Id="rId37" Type="http://schemas.openxmlformats.org/officeDocument/2006/relationships/hyperlink" Target="https://www.cpb.nl/publicatie/toegankelijkheidsmonitor-koopwoningmarkt" TargetMode="External"/><Relationship Id="rId38" Type="http://schemas.openxmlformats.org/officeDocument/2006/relationships/image" Target="media/image6.png"/><Relationship Id="rId39" Type="http://schemas.openxmlformats.org/officeDocument/2006/relationships/hyperlink" Target="https://www.kadaster.nl/-/woningmarkt-1e-kwartaal-2026-weer-meer-verkopen-vooral-goedkopere-woningen" TargetMode="External"/><Relationship Id="rId40" Type="http://schemas.openxmlformats.org/officeDocument/2006/relationships/hyperlink" Target="https://www.dnb.nl/algemeen-nieuws/persbericht-2026/oorlog-midden-oosten-remt-economische-groei-verhoogt-inflatie/" TargetMode="External"/><Relationship Id="rId41" Type="http://schemas.openxmlformats.org/officeDocument/2006/relationships/hyperlink" Target="https://www.ecb.europa.eu/press/pr/date/2026/html/ecb.mp260611~4d41bd5e83.en.html" TargetMode="External"/><Relationship Id="rId42" Type="http://schemas.openxmlformats.org/officeDocument/2006/relationships/hyperlink" Target="https://www.ecb.europa.eu/stats/ecb_surveys/bank_lending_survey/html/ecb.blssurvey2026q1~ff74e51f1b.en.html" TargetMode="External"/><Relationship Id="rId43" Type="http://schemas.openxmlformats.org/officeDocument/2006/relationships/hyperlink" Target="https://ec.europa.eu/eurostat/web/products-eurostat-news/w/ddn-20260407-1" TargetMode="External"/><Relationship Id="rId44" Type="http://schemas.openxmlformats.org/officeDocument/2006/relationships/hyperlink" Target="https://tradingeconomics.com/netherlands/government-bond-yield" TargetMode="External"/><Relationship Id="rId45" Type="http://schemas.openxmlformats.org/officeDocument/2006/relationships/hyperlink" Target="https://www.euribor-rates.eu/en/current-euribor-rates/" TargetMode="External"/><Relationship Id="rId46" Type="http://schemas.openxmlformats.org/officeDocument/2006/relationships/hyperlink" Target="https://www.inrev.org/news/inrev-news/investment-intentions-survey-2026" TargetMode="External"/><Relationship Id="rId47" Type="http://schemas.openxmlformats.org/officeDocument/2006/relationships/hyperlink" Target="https://www.epra.com/indexes/monthly-reports" TargetMode="External"/><Relationship Id="rId48" Type="http://schemas.openxmlformats.org/officeDocument/2006/relationships/hyperlink" Target="https://eu.greenstreet.com/resources/pricing-index/" TargetMode="External"/><Relationship Id="rId49" Type="http://schemas.openxmlformats.org/officeDocument/2006/relationships/hyperlink" Target="https://www.gresb.com/nl-en/insights/gresb-2025-benchmarks-reflect-industry-maturity-and-continued-progress-toward-responsible-investing/" TargetMode="External"/><Relationship Id="rId50" Type="http://schemas.openxmlformats.org/officeDocument/2006/relationships/hyperlink" Target="https://www.savills.nl/research_articles/251853/390330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