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4"/>
          <w:szCs w:val="44"/>
        </w:rPr>
        <w:t xml:space="preserve">Сравнение расчётов Huurprijscheck</w:t>
      </w:r>
    </w:p>
    <w:p>
      <w:pPr>
        <w:spacing w:after="40"/>
      </w:pPr>
      <w:r>
        <w:rPr>
          <w:color w:val="A50F5C"/>
          <w:sz w:val="26"/>
          <w:szCs w:val="26"/>
        </w:rPr>
        <w:t xml:space="preserve">Влияние WOZ-waarde и энергетического лейбла на максимальную аренду</w:t>
      </w:r>
    </w:p>
    <w:p>
      <w:pPr>
        <w:pBdr>
          <w:bottom w:val="single" w:color="1F3864" w:sz="8" w:space="6"/>
        </w:pBdr>
        <w:spacing w:after="240"/>
      </w:pPr>
      <w:r>
        <w:rPr>
          <w:color w:val="595959"/>
          <w:sz w:val="21"/>
          <w:szCs w:val="21"/>
        </w:rPr>
        <w:t xml:space="preserve">Amsterdamsestraatweg 268, 3551 CS Utrecht  ·  самостоятельное жильё (zelfstandig), тип — eengezinswoning</w:t>
      </w:r>
      <w:r>
        <w:rPr>
          <w:color w:val="595959"/>
          <w:sz w:val="21"/>
          <w:szCs w:val="21"/>
        </w:rPr>
        <w:t xml:space="preserve">  ·  расчёты Huurcommissie от 27.08.2026, тарифный период 01.01.2026 – 31.12.2026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1. Главный вывод</w:t>
      </w:r>
    </w:p>
    <w:p>
      <w:pPr>
        <w:spacing w:after="120" w:line="276"/>
      </w:pPr>
      <w:r>
        <w:t xml:space="preserve">Из двух неизвестных параметров </w:t>
      </w:r>
      <w:r>
        <w:rPr>
          <w:b/>
          <w:bCs/>
        </w:rPr>
        <w:t xml:space="preserve">решающее влияние на максимальную аренду оказывает энергетический лейбл, а не WOZ-waarde. </w:t>
      </w:r>
      <w:r>
        <w:t xml:space="preserve">Переход с лейбла C на лейбл B даёт </w:t>
      </w:r>
      <w:r>
        <w:rPr>
          <w:b/>
          <w:bCs/>
          <w:color w:val="2E7D32"/>
        </w:rPr>
        <w:t xml:space="preserve">+12 баллов и +€ 82,32 в месяц (+9,9 %)</w:t>
      </w:r>
      <w:r>
        <w:t xml:space="preserve">, тогда как рост WOZ-waarde на € 20 000 (с € 210 000 до € 230 000) — лишь </w:t>
      </w:r>
      <w:r>
        <w:rPr>
          <w:b/>
          <w:bCs/>
        </w:rPr>
        <w:t xml:space="preserve">+3 балла и +€ 20,55 в месяц (+2,5 %)</w:t>
      </w:r>
      <w:r>
        <w:t xml:space="preserve">. Один шаг лейбла C→B эквивалентен примерно +€ 80 000 WOZ-waarde.</w:t>
      </w:r>
    </w:p>
    <w:p>
      <w:pPr>
        <w:spacing w:after="120" w:line="276"/>
      </w:pPr>
      <w:r>
        <w:t xml:space="preserve">Во всех трёх сценариях (128–140 баллов) объект остаётся в регулируемом социальном сегменте (граница 2026 года — 143 балла), то есть максимальная аренда жёстко ограничена таблицей WWS: от € 829,94 до € 912,26 в месяц.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2. Что сравнивалось</w:t>
      </w:r>
    </w:p>
    <w:p>
      <w:pPr>
        <w:spacing w:after="120" w:line="276"/>
      </w:pPr>
      <w:r>
        <w:t xml:space="preserve">Три расчёта на сайте Huurcommissie для одной и той же квартиры; менялись только два параметра — WOZ-waarde (дата оценки 01.01.2024) и энерголейбл. Всё остальное — площади, отопление, кухня, санузел, терраса — во всех расчётах идентично и в сумме даёт </w:t>
      </w:r>
      <w:r>
        <w:rPr>
          <w:b/>
          <w:bCs/>
        </w:rPr>
        <w:t xml:space="preserve">постоянную часть 72,75 балла</w:t>
      </w:r>
      <w: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800"/>
        <w:gridCol w:w="2026"/>
      </w:tblGrid>
      <w:tr>
        <w:trPr>
          <w:tblHeader/>
        </w:trP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Постоянная часть (одинакова во всех расчётах)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м²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</w:tr>
      <w:t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Жилые помещения (vertrekken): гостиная с открытой кухней 20,4 · спальня 9,28 · ванная 2,66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32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32</w:t>
            </w:r>
          </w:p>
        </w:tc>
      </w:tr>
      <w:t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Прочие помещения: чердачная кладовая без стационарной лестницы 13,02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4,75</w:t>
            </w:r>
          </w:p>
        </w:tc>
      </w:tr>
      <w:t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Отопление и охлаждение (гостиная 4 · спальня 2 · ванная 2)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Кухня (столешница &gt; 2 м — 7; индукция 1,75; духовка 1; СВЧ 1; вытяжка 0,75; доп. шкафы 0,75; смеситель 0,25)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12,50</w:t>
            </w:r>
          </w:p>
        </w:tc>
      </w:tr>
      <w:t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Санузел (душ 4; туалет 2; перегородка душа 1,25; раковина 1; полотенцесушитель 0,75; шкаф 0,75; смеситель 0,25)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10</w:t>
            </w:r>
          </w:p>
        </w:tc>
      </w:tr>
      <w:t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Наружные помещения: терраса на крыше 2,38 × 4,04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9,62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5,50</w:t>
            </w:r>
          </w:p>
        </w:tc>
      </w:tr>
      <w:t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Тип жилья (woonvorm): eengezinswoning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5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Итого постоянная часть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</w:tr>
    </w:tbl>
    <w:p>
      <w:pPr>
        <w:spacing w:after="120" w:before="80"/>
      </w:pPr>
      <w:r>
        <w:rPr>
          <w:i/>
          <w:iCs/>
          <w:color w:val="595959"/>
          <w:sz w:val="20"/>
          <w:szCs w:val="20"/>
        </w:rPr>
        <w:t xml:space="preserve">Итог всегда равен «баллы блока Woning (WOZ + лейбл) + 72,75» с округлением вверх до целого. Поскольку дробная часть 0,75 всегда округляется вверх, каждый балл в блоке Woning переходит в итог один к одному.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3. Сравнение трёх расчётов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42"/>
        <w:gridCol w:w="1942"/>
        <w:gridCol w:w="1942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Расчёт 1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Расчёт 2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Расчёт 3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Энерголейбл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WOZ-waarde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Баллы за лейбл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34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22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22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Баллы за WOZ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33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33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36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Блок Woning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67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55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58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Внутренние помещения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67,25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67,25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67,25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Наружные помещения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5,50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5,50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5,50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Итого баллов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140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128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131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Макс. аренда в месяц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2E7D32"/>
                <w:sz w:val="21"/>
                <w:szCs w:val="21"/>
              </w:rPr>
              <w:t xml:space="preserve">€ 912,26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€ 829,94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€ 850,49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в год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€ 10 947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€ 9 959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€ 10 206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4. Влияние каждого параметра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1900"/>
        <w:gridCol w:w="2026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Изменение параметра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Аренда, €/мес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Аренда, €/год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Лейбл C → B</w:t>
            </w:r>
            <w:r>
              <w:rPr>
                <w:color w:val="595959"/>
                <w:sz w:val="19"/>
                <w:szCs w:val="19"/>
              </w:rPr>
              <w:t xml:space="preserve">  (при WOZ € 210 000: расчёт 2 → расчёт 1)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+12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+82,32 (+9,9 %)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≈ +988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WOZ +€ 20 000</w:t>
            </w:r>
            <w:r>
              <w:rPr>
                <w:color w:val="595959"/>
                <w:sz w:val="19"/>
                <w:szCs w:val="19"/>
              </w:rPr>
              <w:t xml:space="preserve">  (при лейбле C: расчёт 2 → расчёт 3)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+3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+20,55 (+2,5 %)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+247</w:t>
            </w:r>
          </w:p>
        </w:tc>
      </w:tr>
    </w:tbl>
    <w:p>
      <w:pPr>
        <w:spacing w:after="80" w:before="160"/>
      </w:pPr>
      <w:r>
        <w:rPr>
          <w:b/>
          <w:bCs/>
        </w:rPr>
        <w:t xml:space="preserve">Что из этого следует: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Эффект лейбла ровно в 4 раза сильнее</w:t>
      </w:r>
      <w:r>
        <w:t xml:space="preserve"> эффекта от +€ 20 000 WOZ (и по баллам: 12 против 3, и по деньгам: € 82,32 против € 20,55).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Чтобы компенсировать баллами WOZ один шаг лейбла C→B, стоимость должна вырасти примерно на </w:t>
      </w:r>
      <w:r>
        <w:rPr>
          <w:b/>
          <w:bCs/>
        </w:rPr>
        <w:t xml:space="preserve">€ 80 000</w:t>
      </w:r>
      <w:r>
        <w:t xml:space="preserve"> — для данной квартиры это нереалистичный разброс оценки.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Чувствительность к WOZ: </w:t>
      </w:r>
      <w:r>
        <w:rPr>
          <w:b/>
          <w:bCs/>
        </w:rPr>
        <w:t xml:space="preserve">≈ +1 балл на каждые ~€ 6 700</w:t>
      </w:r>
      <w:r>
        <w:t xml:space="preserve"> стоимости (высокая относительная чувствительность объясняется малой площадью ~45 м²: в формуле WWS учитывается и WOZ на м²). Даже при разбросе оценки ±€ 40 000 итог меняется лишь на ±6 баллов (±€ 41/мес).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«Цена» одного балла в этой части таблицы 2026 года — </w:t>
      </w:r>
      <w:r>
        <w:rPr>
          <w:b/>
          <w:bCs/>
        </w:rPr>
        <w:t xml:space="preserve">≈ € 6,85 в месяц</w:t>
      </w:r>
      <w:r>
        <w:t xml:space="preserve"> (измерено на диапазоне 128–140 баллов).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5. Полная матрица сценариев</w:t>
      </w:r>
    </w:p>
    <w:p>
      <w:pPr>
        <w:spacing w:after="120" w:line="276"/>
      </w:pPr>
      <w:r>
        <w:t xml:space="preserve">Три строки — официальные результаты Huurprijscheck; остальные — расчёт по той же схеме (баллы точные, аренда — оценка по ≈ € 6,85/балл, отмечена «≈»).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50"/>
        <w:gridCol w:w="1300"/>
        <w:gridCol w:w="2450"/>
        <w:gridCol w:w="2026"/>
      </w:tblGrid>
      <w:tr>
        <w:trPr>
          <w:tblHeader/>
        </w:trP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Лейбл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WOZ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Макс. аренда/мес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Сегмент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Без лейбла*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91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B71C1C"/>
                <w:sz w:val="21"/>
                <w:szCs w:val="21"/>
              </w:rPr>
              <w:t xml:space="preserve">≈ € 590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120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€ 775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128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€ 829,94  (расчёт)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131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€ 850,49  (расчёт)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140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€ 912,26  (расчёт)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143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€ 933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социальный (ровно на границе)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147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€ 960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E7D32"/>
                <w:sz w:val="19"/>
                <w:szCs w:val="19"/>
              </w:rPr>
              <w:t xml:space="preserve">middenhuur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150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€ 981</w:t>
            </w:r>
          </w:p>
        </w:tc>
        <w:tc>
          <w:tcPr>
            <w:tcW w:type="dxa" w:w="20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E7D32"/>
                <w:sz w:val="19"/>
                <w:szCs w:val="19"/>
              </w:rPr>
              <w:t xml:space="preserve">middenhuur</w:t>
            </w:r>
          </w:p>
        </w:tc>
      </w:tr>
    </w:tbl>
    <w:p>
      <w:pPr>
        <w:spacing w:before="80"/>
      </w:pPr>
      <w:r>
        <w:rPr>
          <w:i/>
          <w:iCs/>
          <w:color w:val="595959"/>
          <w:sz w:val="19"/>
          <w:szCs w:val="19"/>
        </w:rPr>
        <w:t xml:space="preserve">* «Без лейбла» — если на момент проверки нет действительного зарегистрированного лейбла: тогда баллы за энергоэффективность считаются по году постройки; для домов до 1977 года это вычет −15 баллов (как лейбл G). Для года постройки 2002+ было бы, наоборот, +41.</w:t>
      </w:r>
    </w:p>
    <w:p>
      <w:pPr>
        <w:pStyle w:val="Heading2"/>
        <w:spacing w:after="120" w:before="240"/>
      </w:pPr>
      <w:r>
        <w:rPr>
          <w:b/>
          <w:bCs/>
          <w:color w:val="2E5E9E"/>
          <w:sz w:val="25"/>
          <w:szCs w:val="25"/>
        </w:rPr>
        <w:t xml:space="preserve">Шкала баллов за энерголейбл (eengezinswoning, таблица 2026 г.)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426"/>
      </w:tblGrid>
      <w:tr>
        <w:trPr>
          <w:tblHeader/>
        </w:trP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Лейбл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Разница с лейблом C</w:t>
            </w:r>
          </w:p>
        </w:tc>
      </w:tr>
      <w:t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(и выше — ещё больше)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+41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E7D32"/>
                <w:sz w:val="21"/>
                <w:szCs w:val="21"/>
              </w:rPr>
              <w:t xml:space="preserve">+19 баллов ≈ +€ 130/мес</w:t>
            </w:r>
          </w:p>
        </w:tc>
      </w:tr>
      <w:t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+34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E7D32"/>
                <w:sz w:val="21"/>
                <w:szCs w:val="21"/>
              </w:rPr>
              <w:t xml:space="preserve">+12 баллов = +€ 82,32/мес</w:t>
            </w:r>
          </w:p>
        </w:tc>
      </w:tr>
      <w:t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+22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 (базовый вариант)</w:t>
            </w:r>
          </w:p>
        </w:tc>
      </w:tr>
      <w:t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+14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−8 баллов ≈ −€ 55/мес</w:t>
            </w:r>
          </w:p>
        </w:tc>
      </w:tr>
      <w:tr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 / F / G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−4 / −9 / −15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B71C1C"/>
                <w:sz w:val="21"/>
                <w:szCs w:val="21"/>
              </w:rPr>
              <w:t xml:space="preserve">от −26 до −37 баллов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6. Регуляторные границы 2026 года и положение объекта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До 143 баллов — социальный (низкий) сегмент</w:t>
      </w:r>
      <w:r>
        <w:t xml:space="preserve">: аренда жёстко ограничена таблицей WWS (граница сегмента в 2026 г. ≈ € 923,93).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144–186 баллов — middenhuur</w:t>
      </w:r>
      <w:r>
        <w:t xml:space="preserve">: тоже регулируемый сегмент, максимум по таблице (до € 1 228,07 в 2026 г.).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От 187 баллов — свободный сектор</w:t>
      </w:r>
      <w:r>
        <w:t xml:space="preserve">: ограничения максимальной аренды нет.</w:t>
      </w:r>
    </w:p>
    <w:p>
      <w:pPr>
        <w:spacing w:after="120" w:line="276"/>
      </w:pPr>
      <w:r>
        <w:t xml:space="preserve">Ваш объект при любом реалистичном сочетании параметров остаётся в регулируемой зоне: даже лучший сценарий B + € 230 000 даёт ровно 143 балла — верхняя точка социального сегмента. Лейбл A переводит объект в middenhuur (147–150 баллов), но и это регулируемый сегмент. Свободный сектор (187+) недостижим: не хватает ещё ~44 баллов.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7. Два неизвестных параметра: что важно учесть</w:t>
      </w:r>
    </w:p>
    <w:p>
      <w:pPr>
        <w:pStyle w:val="Heading2"/>
        <w:spacing w:after="120" w:before="240"/>
      </w:pPr>
      <w:r>
        <w:rPr>
          <w:b/>
          <w:bCs/>
          <w:color w:val="2E5E9E"/>
          <w:sz w:val="25"/>
          <w:szCs w:val="25"/>
        </w:rPr>
        <w:t xml:space="preserve">WOZ-waarde (появится только в 2027 году)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Пока официального решения об оценке (WOZ-beschikking) нет, при формальной проверке Huurcommissie использует замену: WOZ-waarde сопоставимых объектов либо </w:t>
      </w:r>
      <w:r>
        <w:rPr>
          <w:b/>
          <w:bCs/>
        </w:rPr>
        <w:t xml:space="preserve">85 % таксационной (рыночной) стоимости</w:t>
      </w:r>
      <w:r>
        <w:t xml:space="preserve">. Прежний подход с фиксированной «минимальной WOZ» Верховный суд Нидерландов в 2022 г. признал непригодным.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Ваш диапазон € 210 000 – 230 000 — фактор второго порядка: разница всего 3 балла (€ 20,55/мес). Планировать доход можно по консервативной оценке € 210 000 — ошибка будет невелика.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В расчётах использована дата оценки 01.01.2024. Реальная WOZ-beschikking 2027 года придёт со своей датой оценки, а нормативные делители WWS ежегодно индексируются, поэтому ориентир «≈ +3 балла на каждые +€ 20 000» останется верным по порядку величины.</w:t>
      </w:r>
    </w:p>
    <w:p>
      <w:pPr>
        <w:pStyle w:val="Heading2"/>
        <w:spacing w:after="120" w:before="240"/>
      </w:pPr>
      <w:r>
        <w:rPr>
          <w:b/>
          <w:bCs/>
          <w:color w:val="2E5E9E"/>
          <w:sz w:val="25"/>
          <w:szCs w:val="25"/>
        </w:rPr>
        <w:t xml:space="preserve">Энерголейбл (пока предположительный)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Засчитывается только действительный зарегистрированный лейбл. </w:t>
      </w:r>
      <w:r>
        <w:t xml:space="preserve">Без него баллы считают по году постройки: для домов до 1977 года это −15 баллов (как лейбл G) — аренда упала бы примерно до € 590/мес. Оформление лейбла до сдачи — обязательный шаг.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Разница между «предположительно C» и «предположительно B» — почти € 1 000 в год, поэтому именно лейбл стоит уточнить в первую очередь: заказать официальное энергообследование и, если объект на границе B/C, заранее спросить у консультанта, какие недорогие меры добавят недостающие пункты.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8. Практические выводы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Главный рычаг — лейбл. </w:t>
      </w:r>
      <w:r>
        <w:t xml:space="preserve">C→B даёт +€ 82,32/мес (≈ +€ 988/год) бессрочно. Если стоимость мер по улучшению до B умеренная, они окупаются быстрее любых других вложений в объект.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Следующая ступень — лейбл A: </w:t>
      </w:r>
      <w:r>
        <w:t xml:space="preserve">ещё +7 баллов (≈ +€ 48/мес) и переход в сегмент middenhuur.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WOZ-waarde не является рычагом: </w:t>
      </w:r>
      <w:r>
        <w:t xml:space="preserve">в вашем диапазоне неопределённости она меняет аренду лишь на ±€ 20/мес. Ждать WOZ-beschikking 2027 года для принятия решений не нужно.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Зарегистрируйте лейбл до сдачи жилья </w:t>
      </w:r>
      <w:r>
        <w:t xml:space="preserve">— отсутствие действительного лейбла у старого дома означает −15 баллов вместо +22/+34.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После получения WOZ-beschikking в 2027 году пересчитайте баллы </w:t>
      </w:r>
      <w:r>
        <w:t xml:space="preserve">в Huurprijscheck с фактическими значениями; таблицы цен за балл индексируются каждый год (с 01.01.2026 действуют использованные здесь значения).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Приложение: источники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Три PDF-отчёта Huurprijscheck (Huurcommissie) от 27.08.2026 — исходные расчёты.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Huurcommissie, beleidsboek «Waarderingsstelsel zelfstandige woonruimte» — huurcommissie.nl/support/beleidsboeken.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Woonbond, «Hoeveel punten krijgt mijn label?» — таблица баллов за энерголейбл (woonbond.nl).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!WOON, «Huurregels en huurverhoging in 2026» — границы сегментов 2026 г. (wooninfo.nl).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Dirkzwager, обзор решения Верховного суда 2022 г. о минимальной WOZ-waarde (dirkzwager.nl).</w:t>
      </w:r>
    </w:p>
    <w:p>
      <w:pPr>
        <w:spacing w:before="200"/>
      </w:pPr>
      <w:r>
        <w:rPr>
          <w:i/>
          <w:iCs/>
          <w:color w:val="595959"/>
          <w:sz w:val="19"/>
          <w:szCs w:val="19"/>
        </w:rPr>
        <w:t xml:space="preserve">Документ подготовлен 27.08.2026 на основе загруженных расчётов. Huurprijscheck носит ориентировочный характер: при официальной процедуре Huurcommissie опирается на пунктаж, составленный её инспектором.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2026-08-27T17:45:01.188Z</dcterms:created>
  <dcterms:modified xsi:type="dcterms:W3CDTF">2026-08-27T17:45:01.188Z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