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b/>
          <w:bCs/>
          <w:color w:val="1F2A38"/>
          <w:sz w:val="40"/>
          <w:szCs w:val="40"/>
        </w:rPr>
        <w:t xml:space="preserve">Максимальная аренда: сертификат против WOZ</w:t>
      </w:r>
    </w:p>
    <w:p>
      <w:pPr>
        <w:pBdr>
          <w:bottom w:val="single" w:color="3A3A3A" w:sz="6" w:space="8"/>
        </w:pBdr>
        <w:spacing w:after="300"/>
      </w:pPr>
      <w:r>
        <w:rPr>
          <w:color w:val="6B6B6B"/>
          <w:sz w:val="20"/>
          <w:szCs w:val="20"/>
        </w:rPr>
        <w:t xml:space="preserve">Amsterdamsestraatweg 268, Utrecht · сравнение трёх расчётов Huurprijscheck от 27.08.2026 · сверено с политикой Huurcommissie</w:t>
      </w:r>
    </w:p>
    <w:p>
      <w:pPr>
        <w:spacing w:after="160" w:line="300"/>
      </w:pPr>
      <w:r>
        <w:t xml:space="preserve">Этот документ сводит вместе три расчёта, сделанные 27 августа 2026 года в онлайн-проверке Huurcommissie, и отвечает на вопрос, какой из двух пока неизвестных параметров — энергетический сертификат или кадастровая стоимость WOZ — сильнее влияет на допустимую аренду. Короткий ответ: сертификат, с большим отрывом. Шаг с класса C на класс B прибавляет </w:t>
      </w:r>
      <w:r>
        <w:rPr>
          <w:b/>
          <w:bCs/>
        </w:rPr>
        <w:t xml:space="preserve">82,32 евро в месяц</w:t>
      </w:r>
      <w:r>
        <w:t xml:space="preserve">, тогда как рост WOZ на двадцать тысяч — только </w:t>
      </w:r>
      <w:r>
        <w:rPr>
          <w:b/>
          <w:bCs/>
        </w:rPr>
        <w:t xml:space="preserve">20,55 евро</w:t>
      </w:r>
      <w:r>
        <w:t xml:space="preserve">. Все правила и формулы дополнительно сверены с действующей политикой самой Huurcommissie (beleidsboek «Waarderingsstelsel zelfstandige woonruimte», редакция января 2026 года); расхождений не нашлось. Как именно проверялось — ниже, в отдельном разделе.</w:t>
      </w:r>
    </w:p>
    <w:p>
      <w:pPr>
        <w:pStyle w:val="Heading1"/>
        <w:spacing w:after="180" w:before="380"/>
      </w:pPr>
      <w:r>
        <w:rPr>
          <w:rFonts w:ascii="Cambria" w:cs="Cambria" w:eastAsia="Cambria" w:hAnsi="Cambria"/>
          <w:b/>
          <w:bCs/>
          <w:color w:val="1F2A38"/>
          <w:sz w:val="28"/>
          <w:szCs w:val="28"/>
        </w:rPr>
        <w:t xml:space="preserve">Как устроен расчёт и что в нём постоянно</w:t>
      </w:r>
    </w:p>
    <w:p>
      <w:pPr>
        <w:spacing w:after="160" w:line="300"/>
      </w:pPr>
      <w:r>
        <w:t xml:space="preserve">Аренда большинства нидерландских квартир ограничена балльной системой WWS. Квартира набирает баллы за площадь, кухню, санузел, террасу, энергоэффективность и WOZ-стоимость; сумма баллов по государственной таблице превращается в потолок месячной аренды. В таблице 2026 года для этой квартиры один балл стоит около 6,86 евро в месяц. До 143 баллов жильё относится к социальному сегменту, со 144 до 186 — к среднему (middenhuur, тоже с потолком), от 187 начинается свободный рынок. Все три ваших сценария — социальный сегмент.</w:t>
      </w:r>
    </w:p>
    <w:p>
      <w:pPr>
        <w:spacing w:after="160" w:line="300"/>
      </w:pPr>
      <w:r>
        <w:t xml:space="preserve">В расчётах менялись только сертификат и WOZ. Всё остальное неизменно и в сумме даёт </w:t>
      </w:r>
      <w:r>
        <w:rPr>
          <w:b/>
          <w:bCs/>
        </w:rPr>
        <w:t xml:space="preserve">72,75 балла</w:t>
      </w:r>
      <w:r>
        <w:t xml:space="preserve"> — эту величину удобно держать в голове: итог любого сценария равен 72,75 плюс баллы за WOZ и сертификат, с округлением до целого (половина и выше — вверх).</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700"/>
        <w:gridCol w:w="2400"/>
        <w:gridCol w:w="1200"/>
      </w:tblGrid>
      <w:tr>
        <w:trPr>
          <w:tblHeader/>
        </w:trPr>
        <w:tc>
          <w:tcPr>
            <w:tcW w:type="dxa" w:w="4700"/>
            <w:tcBorders>
              <w:top w:val="none" w:color="FFFFFF" w:sz="0"/>
              <w:left w:val="none" w:color="FFFFFF" w:sz="0"/>
              <w:bottom w:val="single" w:color="3A3A3A" w:sz="10"/>
              <w:right w:val="none" w:color="FFFFFF" w:sz="0"/>
            </w:tcBorders>
            <w:tcMar>
              <w:top w:type="dxa" w:w="90"/>
              <w:left w:type="dxa" w:w="60"/>
              <w:bottom w:type="dxa" w:w="90"/>
              <w:right w:type="dxa" w:w="120"/>
            </w:tcMar>
          </w:tcPr>
          <w:p>
            <w:pPr>
              <w:spacing w:after="0" w:line="260"/>
              <w:jc w:val="left"/>
            </w:pPr>
            <w:r>
              <w:rPr>
                <w:b/>
                <w:bCs/>
                <w:i w:val="false"/>
                <w:iCs w:val="false"/>
                <w:color w:val="1F2A38"/>
                <w:sz w:val="20"/>
                <w:szCs w:val="20"/>
              </w:rPr>
              <w:t xml:space="preserve">Постоянная часть</w:t>
            </w:r>
          </w:p>
        </w:tc>
        <w:tc>
          <w:tcPr>
            <w:tcW w:type="dxa" w:w="2400"/>
            <w:tcBorders>
              <w:top w:val="none" w:color="FFFFFF" w:sz="0"/>
              <w:left w:val="none" w:color="FFFFFF" w:sz="0"/>
              <w:bottom w:val="single" w:color="3A3A3A" w:sz="10"/>
              <w:right w:val="none" w:color="FFFFFF" w:sz="0"/>
            </w:tcBorders>
            <w:tcMar>
              <w:top w:type="dxa" w:w="90"/>
              <w:left w:type="dxa" w:w="60"/>
              <w:bottom w:type="dxa" w:w="90"/>
              <w:right w:type="dxa" w:w="120"/>
            </w:tcMar>
          </w:tcPr>
          <w:p>
            <w:pPr>
              <w:spacing w:after="0" w:line="260"/>
              <w:jc w:val="right"/>
            </w:pPr>
            <w:r>
              <w:rPr>
                <w:b/>
                <w:bCs/>
                <w:i w:val="false"/>
                <w:iCs w:val="false"/>
                <w:color w:val="1F2A38"/>
                <w:sz w:val="20"/>
                <w:szCs w:val="20"/>
              </w:rPr>
              <w:t xml:space="preserve">Как считается</w:t>
            </w:r>
          </w:p>
        </w:tc>
        <w:tc>
          <w:tcPr>
            <w:tcW w:type="dxa" w:w="1200"/>
            <w:tcBorders>
              <w:top w:val="none" w:color="FFFFFF" w:sz="0"/>
              <w:left w:val="none" w:color="FFFFFF" w:sz="0"/>
              <w:bottom w:val="single" w:color="3A3A3A" w:sz="10"/>
              <w:right w:val="none" w:color="FFFFFF" w:sz="0"/>
            </w:tcBorders>
            <w:tcMar>
              <w:top w:type="dxa" w:w="90"/>
              <w:left w:type="dxa" w:w="60"/>
              <w:bottom w:type="dxa" w:w="90"/>
              <w:right w:type="dxa" w:w="120"/>
            </w:tcMar>
          </w:tcPr>
          <w:p>
            <w:pPr>
              <w:spacing w:after="0" w:line="260"/>
              <w:jc w:val="right"/>
            </w:pPr>
            <w:r>
              <w:rPr>
                <w:b/>
                <w:bCs/>
                <w:i w:val="false"/>
                <w:iCs w:val="false"/>
                <w:color w:val="1F2A38"/>
                <w:sz w:val="20"/>
                <w:szCs w:val="20"/>
              </w:rPr>
              <w:t xml:space="preserve">Баллы</w:t>
            </w:r>
          </w:p>
        </w:tc>
      </w:tr>
      <w:tr>
        <w:tc>
          <w:tcPr>
            <w:tcW w:type="dxa" w:w="47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Комнаты: гостиная с открытой кухней 20,4 м², спальня 9,28 м², ванная 2,66 м²</w:t>
            </w:r>
          </w:p>
        </w:tc>
        <w:tc>
          <w:tcPr>
            <w:tcW w:type="dxa" w:w="24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32,34 → 32 м² × 1</w:t>
            </w:r>
          </w:p>
        </w:tc>
        <w:tc>
          <w:tcPr>
            <w:tcW w:type="dxa" w:w="12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32</w:t>
            </w:r>
          </w:p>
        </w:tc>
      </w:tr>
      <w:tr>
        <w:tc>
          <w:tcPr>
            <w:tcW w:type="dxa" w:w="47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Чердачная кладовая 13 м² — без стационарной лестницы</w:t>
            </w:r>
          </w:p>
        </w:tc>
        <w:tc>
          <w:tcPr>
            <w:tcW w:type="dxa" w:w="24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13 × 0,75 − 5</w:t>
            </w:r>
          </w:p>
        </w:tc>
        <w:tc>
          <w:tcPr>
            <w:tcW w:type="dxa" w:w="12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4,75</w:t>
            </w:r>
          </w:p>
        </w:tc>
      </w:tr>
      <w:tr>
        <w:tc>
          <w:tcPr>
            <w:tcW w:type="dxa" w:w="47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Отопление: открытая кухня считается отдельной комнатой</w:t>
            </w:r>
          </w:p>
        </w:tc>
        <w:tc>
          <w:tcPr>
            <w:tcW w:type="dxa" w:w="24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2 × 4 комнаты</w:t>
            </w:r>
          </w:p>
        </w:tc>
        <w:tc>
          <w:tcPr>
            <w:tcW w:type="dxa" w:w="12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8</w:t>
            </w:r>
          </w:p>
        </w:tc>
      </w:tr>
      <w:tr>
        <w:tc>
          <w:tcPr>
            <w:tcW w:type="dxa" w:w="47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Кухня: столешница длиннее 2 м и техника</w:t>
            </w:r>
          </w:p>
        </w:tc>
        <w:tc>
          <w:tcPr>
            <w:tcW w:type="dxa" w:w="24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7 + 5,5</w:t>
            </w:r>
          </w:p>
        </w:tc>
        <w:tc>
          <w:tcPr>
            <w:tcW w:type="dxa" w:w="12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12,50</w:t>
            </w:r>
          </w:p>
        </w:tc>
      </w:tr>
      <w:tr>
        <w:tc>
          <w:tcPr>
            <w:tcW w:type="dxa" w:w="47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Санузел: душ, туалет, раковина и оснащение</w:t>
            </w:r>
          </w:p>
        </w:tc>
        <w:tc>
          <w:tcPr>
            <w:tcW w:type="dxa" w:w="24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7 + 3</w:t>
            </w:r>
          </w:p>
        </w:tc>
        <w:tc>
          <w:tcPr>
            <w:tcW w:type="dxa" w:w="12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10</w:t>
            </w:r>
          </w:p>
        </w:tc>
      </w:tr>
      <w:tr>
        <w:tc>
          <w:tcPr>
            <w:tcW w:type="dxa" w:w="47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Терраса на крыше 9,62 м²</w:t>
            </w:r>
          </w:p>
        </w:tc>
        <w:tc>
          <w:tcPr>
            <w:tcW w:type="dxa" w:w="24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2 + 0,35 × 10</w:t>
            </w:r>
          </w:p>
        </w:tc>
        <w:tc>
          <w:tcPr>
            <w:tcW w:type="dxa" w:w="12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5,50</w:t>
            </w:r>
          </w:p>
        </w:tc>
      </w:tr>
      <w:tr>
        <w:tc>
          <w:tcPr>
            <w:tcW w:type="dxa" w:w="4700"/>
            <w:tcBorders>
              <w:top w:val="single" w:color="3A3A3A" w:sz="10"/>
              <w:left w:val="none" w:color="FFFFFF" w:sz="0"/>
              <w:bottom w:val="none" w:color="FFFFFF" w:sz="0"/>
              <w:right w:val="none" w:color="FFFFFF" w:sz="0"/>
            </w:tcBorders>
            <w:tcMar>
              <w:top w:type="dxa" w:w="90"/>
              <w:left w:type="dxa" w:w="60"/>
              <w:bottom w:type="dxa" w:w="90"/>
              <w:right w:type="dxa" w:w="120"/>
            </w:tcMar>
          </w:tcPr>
          <w:p>
            <w:pPr>
              <w:spacing w:after="0" w:line="260"/>
              <w:jc w:val="left"/>
            </w:pPr>
            <w:r>
              <w:rPr>
                <w:b/>
                <w:bCs/>
                <w:i w:val="false"/>
                <w:iCs w:val="false"/>
                <w:sz w:val="21"/>
                <w:szCs w:val="21"/>
              </w:rPr>
              <w:t xml:space="preserve">Итого</w:t>
            </w:r>
          </w:p>
        </w:tc>
        <w:tc>
          <w:tcPr>
            <w:tcW w:type="dxa" w:w="2400"/>
            <w:tcBorders>
              <w:top w:val="single" w:color="3A3A3A" w:sz="10"/>
              <w:left w:val="none" w:color="FFFFFF" w:sz="0"/>
              <w:bottom w:val="none" w:color="FFFFFF" w:sz="0"/>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
            </w:r>
          </w:p>
        </w:tc>
        <w:tc>
          <w:tcPr>
            <w:tcW w:type="dxa" w:w="1200"/>
            <w:tcBorders>
              <w:top w:val="single" w:color="3A3A3A" w:sz="10"/>
              <w:left w:val="none" w:color="FFFFFF" w:sz="0"/>
              <w:bottom w:val="none" w:color="FFFFFF" w:sz="0"/>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72,75</w:t>
            </w:r>
          </w:p>
        </w:tc>
      </w:tr>
    </w:tbl>
    <w:p>
      <w:pPr>
        <w:pStyle w:val="Heading1"/>
        <w:spacing w:after="180" w:before="380"/>
      </w:pPr>
      <w:r>
        <w:rPr>
          <w:rFonts w:ascii="Cambria" w:cs="Cambria" w:eastAsia="Cambria" w:hAnsi="Cambria"/>
          <w:b/>
          <w:bCs/>
          <w:color w:val="1F2A38"/>
          <w:sz w:val="28"/>
          <w:szCs w:val="28"/>
        </w:rPr>
        <w:t xml:space="preserve">Три расчёта рядом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42"/>
        <w:gridCol w:w="1842"/>
        <w:gridCol w:w="1842"/>
      </w:tblGrid>
      <w:tr>
        <w:trPr>
          <w:tblHeader/>
        </w:trPr>
        <w:tc>
          <w:tcPr>
            <w:tcW w:type="dxa" w:w="3500"/>
            <w:tcBorders>
              <w:top w:val="none" w:color="FFFFFF" w:sz="0"/>
              <w:left w:val="none" w:color="FFFFFF" w:sz="0"/>
              <w:bottom w:val="single" w:color="3A3A3A" w:sz="10"/>
              <w:right w:val="none" w:color="FFFFFF" w:sz="0"/>
            </w:tcBorders>
            <w:tcMar>
              <w:top w:type="dxa" w:w="90"/>
              <w:left w:type="dxa" w:w="60"/>
              <w:bottom w:type="dxa" w:w="90"/>
              <w:right w:type="dxa" w:w="120"/>
            </w:tcMar>
          </w:tcPr>
          <w:p>
            <w:pPr>
              <w:spacing w:after="0" w:line="260"/>
              <w:jc w:val="left"/>
            </w:pPr>
            <w:r>
              <w:rPr>
                <w:b/>
                <w:bCs/>
                <w:i w:val="false"/>
                <w:iCs w:val="false"/>
                <w:color w:val="1F2A38"/>
                <w:sz w:val="20"/>
                <w:szCs w:val="20"/>
              </w:rPr>
              <w:t xml:space="preserve"/>
            </w:r>
          </w:p>
        </w:tc>
        <w:tc>
          <w:tcPr>
            <w:tcW w:type="dxa" w:w="1842"/>
            <w:tcBorders>
              <w:top w:val="none" w:color="FFFFFF" w:sz="0"/>
              <w:left w:val="none" w:color="FFFFFF" w:sz="0"/>
              <w:bottom w:val="single" w:color="3A3A3A" w:sz="10"/>
              <w:right w:val="none" w:color="FFFFFF" w:sz="0"/>
            </w:tcBorders>
            <w:tcMar>
              <w:top w:type="dxa" w:w="90"/>
              <w:left w:type="dxa" w:w="60"/>
              <w:bottom w:type="dxa" w:w="90"/>
              <w:right w:type="dxa" w:w="120"/>
            </w:tcMar>
          </w:tcPr>
          <w:p>
            <w:pPr>
              <w:spacing w:after="0" w:line="260"/>
              <w:jc w:val="right"/>
            </w:pPr>
            <w:r>
              <w:rPr>
                <w:b/>
                <w:bCs/>
                <w:i w:val="false"/>
                <w:iCs w:val="false"/>
                <w:color w:val="1F2A38"/>
                <w:sz w:val="20"/>
                <w:szCs w:val="20"/>
              </w:rPr>
              <w:t xml:space="preserve">Расчёт 1</w:t>
            </w:r>
          </w:p>
        </w:tc>
        <w:tc>
          <w:tcPr>
            <w:tcW w:type="dxa" w:w="1842"/>
            <w:tcBorders>
              <w:top w:val="none" w:color="FFFFFF" w:sz="0"/>
              <w:left w:val="none" w:color="FFFFFF" w:sz="0"/>
              <w:bottom w:val="single" w:color="3A3A3A" w:sz="10"/>
              <w:right w:val="none" w:color="FFFFFF" w:sz="0"/>
            </w:tcBorders>
            <w:tcMar>
              <w:top w:type="dxa" w:w="90"/>
              <w:left w:type="dxa" w:w="60"/>
              <w:bottom w:type="dxa" w:w="90"/>
              <w:right w:type="dxa" w:w="120"/>
            </w:tcMar>
          </w:tcPr>
          <w:p>
            <w:pPr>
              <w:spacing w:after="0" w:line="260"/>
              <w:jc w:val="right"/>
            </w:pPr>
            <w:r>
              <w:rPr>
                <w:b/>
                <w:bCs/>
                <w:i w:val="false"/>
                <w:iCs w:val="false"/>
                <w:color w:val="1F2A38"/>
                <w:sz w:val="20"/>
                <w:szCs w:val="20"/>
              </w:rPr>
              <w:t xml:space="preserve">Расчёт 2</w:t>
            </w:r>
          </w:p>
        </w:tc>
        <w:tc>
          <w:tcPr>
            <w:tcW w:type="dxa" w:w="1842"/>
            <w:tcBorders>
              <w:top w:val="none" w:color="FFFFFF" w:sz="0"/>
              <w:left w:val="none" w:color="FFFFFF" w:sz="0"/>
              <w:bottom w:val="single" w:color="3A3A3A" w:sz="10"/>
              <w:right w:val="none" w:color="FFFFFF" w:sz="0"/>
            </w:tcBorders>
            <w:tcMar>
              <w:top w:type="dxa" w:w="90"/>
              <w:left w:type="dxa" w:w="60"/>
              <w:bottom w:type="dxa" w:w="90"/>
              <w:right w:type="dxa" w:w="120"/>
            </w:tcMar>
          </w:tcPr>
          <w:p>
            <w:pPr>
              <w:spacing w:after="0" w:line="260"/>
              <w:jc w:val="right"/>
            </w:pPr>
            <w:r>
              <w:rPr>
                <w:b/>
                <w:bCs/>
                <w:i w:val="false"/>
                <w:iCs w:val="false"/>
                <w:color w:val="1F2A38"/>
                <w:sz w:val="20"/>
                <w:szCs w:val="20"/>
              </w:rPr>
              <w:t xml:space="preserve">Расчёт 3</w:t>
            </w:r>
          </w:p>
        </w:tc>
      </w:tr>
      <w:tr>
        <w:tc>
          <w:tcPr>
            <w:tcW w:type="dxa" w:w="35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Сертификат</w:t>
            </w:r>
          </w:p>
        </w:tc>
        <w:tc>
          <w:tcPr>
            <w:tcW w:type="dxa" w:w="1842"/>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B</w:t>
            </w:r>
          </w:p>
        </w:tc>
        <w:tc>
          <w:tcPr>
            <w:tcW w:type="dxa" w:w="1842"/>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C</w:t>
            </w:r>
          </w:p>
        </w:tc>
        <w:tc>
          <w:tcPr>
            <w:tcW w:type="dxa" w:w="1842"/>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C</w:t>
            </w:r>
          </w:p>
        </w:tc>
      </w:tr>
      <w:tr>
        <w:tc>
          <w:tcPr>
            <w:tcW w:type="dxa" w:w="35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WOZ-стоимость</w:t>
            </w:r>
          </w:p>
        </w:tc>
        <w:tc>
          <w:tcPr>
            <w:tcW w:type="dxa" w:w="1842"/>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€ 210 000</w:t>
            </w:r>
          </w:p>
        </w:tc>
        <w:tc>
          <w:tcPr>
            <w:tcW w:type="dxa" w:w="1842"/>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€ 210 000</w:t>
            </w:r>
          </w:p>
        </w:tc>
        <w:tc>
          <w:tcPr>
            <w:tcW w:type="dxa" w:w="1842"/>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€ 230 000</w:t>
            </w:r>
          </w:p>
        </w:tc>
      </w:tr>
      <w:tr>
        <w:tc>
          <w:tcPr>
            <w:tcW w:type="dxa" w:w="35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Баллы за сертификат</w:t>
            </w:r>
          </w:p>
        </w:tc>
        <w:tc>
          <w:tcPr>
            <w:tcW w:type="dxa" w:w="1842"/>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34</w:t>
            </w:r>
          </w:p>
        </w:tc>
        <w:tc>
          <w:tcPr>
            <w:tcW w:type="dxa" w:w="1842"/>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22</w:t>
            </w:r>
          </w:p>
        </w:tc>
        <w:tc>
          <w:tcPr>
            <w:tcW w:type="dxa" w:w="1842"/>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22</w:t>
            </w:r>
          </w:p>
        </w:tc>
      </w:tr>
      <w:tr>
        <w:tc>
          <w:tcPr>
            <w:tcW w:type="dxa" w:w="35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Баллы за WOZ</w:t>
            </w:r>
          </w:p>
        </w:tc>
        <w:tc>
          <w:tcPr>
            <w:tcW w:type="dxa" w:w="1842"/>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33</w:t>
            </w:r>
          </w:p>
        </w:tc>
        <w:tc>
          <w:tcPr>
            <w:tcW w:type="dxa" w:w="1842"/>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33</w:t>
            </w:r>
          </w:p>
        </w:tc>
        <w:tc>
          <w:tcPr>
            <w:tcW w:type="dxa" w:w="1842"/>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36</w:t>
            </w:r>
          </w:p>
        </w:tc>
      </w:tr>
      <w:tr>
        <w:tc>
          <w:tcPr>
            <w:tcW w:type="dxa" w:w="35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Постоянная часть</w:t>
            </w:r>
          </w:p>
        </w:tc>
        <w:tc>
          <w:tcPr>
            <w:tcW w:type="dxa" w:w="1842"/>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72,75</w:t>
            </w:r>
          </w:p>
        </w:tc>
        <w:tc>
          <w:tcPr>
            <w:tcW w:type="dxa" w:w="1842"/>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72,75</w:t>
            </w:r>
          </w:p>
        </w:tc>
        <w:tc>
          <w:tcPr>
            <w:tcW w:type="dxa" w:w="1842"/>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72,75</w:t>
            </w:r>
          </w:p>
        </w:tc>
      </w:tr>
      <w:tr>
        <w:tc>
          <w:tcPr>
            <w:tcW w:type="dxa" w:w="3500"/>
            <w:tcBorders>
              <w:top w:val="single" w:color="3A3A3A" w:sz="1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bCs/>
                <w:i w:val="false"/>
                <w:iCs w:val="false"/>
                <w:sz w:val="21"/>
                <w:szCs w:val="21"/>
              </w:rPr>
              <w:t xml:space="preserve">Итого баллов</w:t>
            </w:r>
          </w:p>
        </w:tc>
        <w:tc>
          <w:tcPr>
            <w:tcW w:type="dxa" w:w="1842"/>
            <w:tcBorders>
              <w:top w:val="single" w:color="3A3A3A" w:sz="1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140</w:t>
            </w:r>
          </w:p>
        </w:tc>
        <w:tc>
          <w:tcPr>
            <w:tcW w:type="dxa" w:w="1842"/>
            <w:tcBorders>
              <w:top w:val="single" w:color="3A3A3A" w:sz="1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128</w:t>
            </w:r>
          </w:p>
        </w:tc>
        <w:tc>
          <w:tcPr>
            <w:tcW w:type="dxa" w:w="1842"/>
            <w:tcBorders>
              <w:top w:val="single" w:color="3A3A3A" w:sz="1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131</w:t>
            </w:r>
          </w:p>
        </w:tc>
      </w:tr>
      <w:tr>
        <w:tc>
          <w:tcPr>
            <w:tcW w:type="dxa" w:w="35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bCs/>
                <w:i w:val="false"/>
                <w:iCs w:val="false"/>
                <w:sz w:val="21"/>
                <w:szCs w:val="21"/>
              </w:rPr>
              <w:t xml:space="preserve">Потолок аренды, в месяц</w:t>
            </w:r>
          </w:p>
        </w:tc>
        <w:tc>
          <w:tcPr>
            <w:tcW w:type="dxa" w:w="1842"/>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€ 912,26</w:t>
            </w:r>
          </w:p>
        </w:tc>
        <w:tc>
          <w:tcPr>
            <w:tcW w:type="dxa" w:w="1842"/>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€ 829,94</w:t>
            </w:r>
          </w:p>
        </w:tc>
        <w:tc>
          <w:tcPr>
            <w:tcW w:type="dxa" w:w="1842"/>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€ 850,49</w:t>
            </w:r>
          </w:p>
        </w:tc>
      </w:tr>
      <w:tr>
        <w:tc>
          <w:tcPr>
            <w:tcW w:type="dxa" w:w="3500"/>
            <w:tcBorders>
              <w:top w:val="none" w:color="FFFFFF" w:sz="0"/>
              <w:left w:val="none" w:color="FFFFFF" w:sz="0"/>
              <w:bottom w:val="none" w:color="FFFFFF" w:sz="0"/>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За год</w:t>
            </w:r>
          </w:p>
        </w:tc>
        <w:tc>
          <w:tcPr>
            <w:tcW w:type="dxa" w:w="1842"/>
            <w:tcBorders>
              <w:top w:val="none" w:color="FFFFFF" w:sz="0"/>
              <w:left w:val="none" w:color="FFFFFF" w:sz="0"/>
              <w:bottom w:val="none" w:color="FFFFFF" w:sz="0"/>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€ 10 947</w:t>
            </w:r>
          </w:p>
        </w:tc>
        <w:tc>
          <w:tcPr>
            <w:tcW w:type="dxa" w:w="1842"/>
            <w:tcBorders>
              <w:top w:val="none" w:color="FFFFFF" w:sz="0"/>
              <w:left w:val="none" w:color="FFFFFF" w:sz="0"/>
              <w:bottom w:val="none" w:color="FFFFFF" w:sz="0"/>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€ 9 959</w:t>
            </w:r>
          </w:p>
        </w:tc>
        <w:tc>
          <w:tcPr>
            <w:tcW w:type="dxa" w:w="1842"/>
            <w:tcBorders>
              <w:top w:val="none" w:color="FFFFFF" w:sz="0"/>
              <w:left w:val="none" w:color="FFFFFF" w:sz="0"/>
              <w:bottom w:val="none" w:color="FFFFFF" w:sz="0"/>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€ 10 206</w:t>
            </w:r>
          </w:p>
        </w:tc>
      </w:tr>
    </w:tbl>
    <w:p>
      <w:pPr>
        <w:spacing w:after="160" w:before="160"/>
      </w:pPr>
      <w:r>
        <w:t xml:space="preserve">Разница между первым и вторым расчётом — это в чистом виде цена сертификата: двенадцать баллов и 82,32 евро в месяц, почти тысяча в год. Разница между вторым и третьим — цена двадцати тысяч WOZ: три балла и 20,55 евро. На один балл в обоих случаях приходится по 6,85–6,86 евро, так что соотношение честное: сертификат здесь ровно вчетверо весомее.</w:t>
      </w:r>
    </w:p>
    <w:p>
      <w:pPr>
        <w:pStyle w:val="Heading1"/>
        <w:spacing w:after="180" w:before="380"/>
      </w:pPr>
      <w:r>
        <w:rPr>
          <w:rFonts w:ascii="Cambria" w:cs="Cambria" w:eastAsia="Cambria" w:hAnsi="Cambria"/>
          <w:b/>
          <w:bCs/>
          <w:color w:val="1F2A38"/>
          <w:sz w:val="28"/>
          <w:szCs w:val="28"/>
        </w:rPr>
        <w:t xml:space="preserve">Проверка: откуда цифры и почему им можно верить</w:t>
      </w:r>
    </w:p>
    <w:p>
      <w:pPr>
        <w:spacing w:after="160" w:line="300"/>
      </w:pPr>
      <w:r>
        <w:t xml:space="preserve">По вашей просьбе расчёты перепроверены дважды: сначала арифметически, затем по первоисточнику — политике Huurcommissie (beleidsboek), где прописаны все правила начисления баллов. Это тот же документ, которым руководствуются инспекторы комиссии при официальной оценке.</w:t>
      </w:r>
    </w:p>
    <w:p>
      <w:pPr>
        <w:spacing w:after="160" w:line="300"/>
      </w:pPr>
      <w:r>
        <w:t xml:space="preserve">Арифметика. Площадь комнат 32,34 м² округляется до 32 и даёт 32 балла, по баллу за метр. Кладовая: 13 × 0,75 = 9,75, минус 5 за отсутствие стационарной лестницы — 4,75; вычет прописан в политике дословно. Отопление: по два балла за каждую отапливаемую комнату, причём отапливаемая открытая кухня считается отдельной комнатой — отсюда 4 + 2 + 2 = 8. Кухня: 7 баллов за столешницу длиннее двух метров плюс 5,5 за технику (лимит для техники — не больше баллов самой столешницы, то есть до 7). Санузел: душ 4, туалет 2, раковина 1, ещё 3 за оснащение. Терраса: 2 + 0,35 × 10 = 5,5 — в политике приведён пример ровно с десятью метрами и тем же результатом. Вместе 72,75.</w:t>
      </w:r>
    </w:p>
    <w:p>
      <w:pPr>
        <w:spacing w:after="160" w:line="300"/>
      </w:pPr>
      <w:r>
        <w:t xml:space="preserve">Сертификат. Таблица для домов типа eengezinswoning даёт B — 34 балла, C — 22; в расчётах стоят именно эти значения.</w:t>
      </w:r>
    </w:p>
    <w:p>
      <w:pPr>
        <w:spacing w:after="160" w:line="300"/>
      </w:pPr>
      <w:r>
        <w:t xml:space="preserve">WOZ. Баллы считаются по официальной формуле из двух частей: стоимость делится на 15 329 евро, и отдельно стоимость на квадратный метр (у вас 45 м² комнат и кладовой) делится на 242 евро. Для 210 тысяч выходит 13,70 + 19,28 = 32,98, после округления 33; для 230 тысяч — 36,12, округлённо 36. Совпадение с расчётами точное.</w:t>
      </w:r>
    </w:p>
    <w:p>
      <w:pPr>
        <w:spacing w:after="160" w:line="300"/>
      </w:pPr>
      <w:r>
        <w:t xml:space="preserve">Суммы аренды. Три официальных результата лежат на одной прямой — 6,86 евро за балл минус 48 евро — с отклонением в три цента. Это значит, что сайт считал все варианты по одной и той же таблице 2026 года, а заодно даёт нам способ оценивать промежуточные сценарии.</w:t>
      </w:r>
    </w:p>
    <w:p>
      <w:pPr>
        <w:pStyle w:val="Heading1"/>
        <w:spacing w:after="180" w:before="380"/>
      </w:pPr>
      <w:r>
        <w:rPr>
          <w:rFonts w:ascii="Cambria" w:cs="Cambria" w:eastAsia="Cambria" w:hAnsi="Cambria"/>
          <w:b/>
          <w:bCs/>
          <w:color w:val="1F2A38"/>
          <w:sz w:val="28"/>
          <w:szCs w:val="28"/>
        </w:rPr>
        <w:t xml:space="preserve">Почему сертификат перевешивает</w:t>
      </w:r>
    </w:p>
    <w:p>
      <w:pPr>
        <w:spacing w:after="160" w:line="300"/>
      </w:pPr>
      <w:r>
        <w:t xml:space="preserve">Дело в крутизне шкалы. Один шаг сертификата, с C на B, стоит сразу двенадцать баллов; WOZ приносит примерно балл за каждые 6 700 евро стоимости. Чтобы догнать один шаг сертификата, оценка должна была бы вырасти на 80 тысяч — от муниципальной переоценки такого ждать не приходится. Есть и второй эффект: делители в формуле WOZ ежегодно индексируются вместе со средним ростом цен по стране, поэтому обычный рыночный рост стоимости сам по себе баллов почти не добавляет. Заметно влияет лишь то, насколько ваша квартира отклонится от среднего.</w:t>
      </w:r>
    </w:p>
    <w:p>
      <w:pPr>
        <w:spacing w:after="160" w:line="300"/>
      </w:pPr>
      <w:r>
        <w:t xml:space="preserve">Для планирования это означает простую вещь: по WOZ можно спокойно считать по нижней границе, 210 тысяч, — ошибка не превысит двадцати евро в месяц. Настоящая развилка — сертификат: между B и C лежит почти тысяча евро в год, и именно эту неопределённость стоит снимать первой, заказав официальное энергообследование.</w:t>
      </w:r>
    </w:p>
    <w:p>
      <w:pPr>
        <w:pStyle w:val="Heading2"/>
        <w:spacing w:after="140" w:before="260"/>
      </w:pPr>
      <w:r>
        <w:rPr>
          <w:rFonts w:ascii="Cambria" w:cs="Cambria" w:eastAsia="Cambria" w:hAnsi="Cambria"/>
          <w:b/>
          <w:bCs/>
          <w:color w:val="31537D"/>
          <w:sz w:val="24"/>
          <w:szCs w:val="24"/>
        </w:rPr>
        <w:t xml:space="preserve">Шкала сертификатов для домов этого типа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326"/>
      </w:tblGrid>
      <w:tr>
        <w:trPr>
          <w:tblHeader/>
        </w:trPr>
        <w:tc>
          <w:tcPr>
            <w:tcW w:type="dxa" w:w="3000"/>
            <w:tcBorders>
              <w:top w:val="none" w:color="FFFFFF" w:sz="0"/>
              <w:left w:val="none" w:color="FFFFFF" w:sz="0"/>
              <w:bottom w:val="single" w:color="3A3A3A" w:sz="10"/>
              <w:right w:val="none" w:color="FFFFFF" w:sz="0"/>
            </w:tcBorders>
            <w:tcMar>
              <w:top w:type="dxa" w:w="90"/>
              <w:left w:type="dxa" w:w="60"/>
              <w:bottom w:type="dxa" w:w="90"/>
              <w:right w:type="dxa" w:w="120"/>
            </w:tcMar>
          </w:tcPr>
          <w:p>
            <w:pPr>
              <w:spacing w:after="0" w:line="260"/>
              <w:jc w:val="left"/>
            </w:pPr>
            <w:r>
              <w:rPr>
                <w:b/>
                <w:bCs/>
                <w:i w:val="false"/>
                <w:iCs w:val="false"/>
                <w:color w:val="1F2A38"/>
                <w:sz w:val="20"/>
                <w:szCs w:val="20"/>
              </w:rPr>
              <w:t xml:space="preserve">Класс</w:t>
            </w:r>
          </w:p>
        </w:tc>
        <w:tc>
          <w:tcPr>
            <w:tcW w:type="dxa" w:w="1700"/>
            <w:tcBorders>
              <w:top w:val="none" w:color="FFFFFF" w:sz="0"/>
              <w:left w:val="none" w:color="FFFFFF" w:sz="0"/>
              <w:bottom w:val="single" w:color="3A3A3A" w:sz="10"/>
              <w:right w:val="none" w:color="FFFFFF" w:sz="0"/>
            </w:tcBorders>
            <w:tcMar>
              <w:top w:type="dxa" w:w="90"/>
              <w:left w:type="dxa" w:w="60"/>
              <w:bottom w:type="dxa" w:w="90"/>
              <w:right w:type="dxa" w:w="120"/>
            </w:tcMar>
          </w:tcPr>
          <w:p>
            <w:pPr>
              <w:spacing w:after="0" w:line="260"/>
              <w:jc w:val="right"/>
            </w:pPr>
            <w:r>
              <w:rPr>
                <w:b/>
                <w:bCs/>
                <w:i w:val="false"/>
                <w:iCs w:val="false"/>
                <w:color w:val="1F2A38"/>
                <w:sz w:val="20"/>
                <w:szCs w:val="20"/>
              </w:rPr>
              <w:t xml:space="preserve">Баллы</w:t>
            </w:r>
          </w:p>
        </w:tc>
        <w:tc>
          <w:tcPr>
            <w:tcW w:type="dxa" w:w="4326"/>
            <w:tcBorders>
              <w:top w:val="none" w:color="FFFFFF" w:sz="0"/>
              <w:left w:val="none" w:color="FFFFFF" w:sz="0"/>
              <w:bottom w:val="single" w:color="3A3A3A" w:sz="10"/>
              <w:right w:val="none" w:color="FFFFFF" w:sz="0"/>
            </w:tcBorders>
            <w:tcMar>
              <w:top w:type="dxa" w:w="90"/>
              <w:left w:type="dxa" w:w="60"/>
              <w:bottom w:type="dxa" w:w="90"/>
              <w:right w:type="dxa" w:w="120"/>
            </w:tcMar>
          </w:tcPr>
          <w:p>
            <w:pPr>
              <w:spacing w:after="0" w:line="260"/>
              <w:jc w:val="right"/>
            </w:pPr>
            <w:r>
              <w:rPr>
                <w:b/>
                <w:bCs/>
                <w:i w:val="false"/>
                <w:iCs w:val="false"/>
                <w:color w:val="1F2A38"/>
                <w:sz w:val="20"/>
                <w:szCs w:val="20"/>
              </w:rPr>
              <w:t xml:space="preserve">Относительно класса C</w:t>
            </w:r>
          </w:p>
        </w:tc>
      </w:tr>
      <w:tr>
        <w:tc>
          <w:tcPr>
            <w:tcW w:type="dxa" w:w="30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A+ … A++++</w:t>
            </w:r>
          </w:p>
        </w:tc>
        <w:tc>
          <w:tcPr>
            <w:tcW w:type="dxa" w:w="17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47 … 62</w:t>
            </w:r>
          </w:p>
        </w:tc>
        <w:tc>
          <w:tcPr>
            <w:tcW w:type="dxa" w:w="4326"/>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от +€ 171 до +€ 274 в месяц</w:t>
            </w:r>
          </w:p>
        </w:tc>
      </w:tr>
      <w:tr>
        <w:tc>
          <w:tcPr>
            <w:tcW w:type="dxa" w:w="30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A</w:t>
            </w:r>
          </w:p>
        </w:tc>
        <w:tc>
          <w:tcPr>
            <w:tcW w:type="dxa" w:w="17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41</w:t>
            </w:r>
          </w:p>
        </w:tc>
        <w:tc>
          <w:tcPr>
            <w:tcW w:type="dxa" w:w="4326"/>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+19 баллов, около +€ 130</w:t>
            </w:r>
          </w:p>
        </w:tc>
      </w:tr>
      <w:tr>
        <w:tc>
          <w:tcPr>
            <w:tcW w:type="dxa" w:w="30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bCs/>
                <w:i w:val="false"/>
                <w:iCs w:val="false"/>
                <w:sz w:val="21"/>
                <w:szCs w:val="21"/>
              </w:rPr>
              <w:t xml:space="preserve">B</w:t>
            </w:r>
          </w:p>
        </w:tc>
        <w:tc>
          <w:tcPr>
            <w:tcW w:type="dxa" w:w="17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34</w:t>
            </w:r>
          </w:p>
        </w:tc>
        <w:tc>
          <w:tcPr>
            <w:tcW w:type="dxa" w:w="4326"/>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+12 баллов, +€ 82,32</w:t>
            </w:r>
          </w:p>
        </w:tc>
      </w:tr>
      <w:tr>
        <w:tc>
          <w:tcPr>
            <w:tcW w:type="dxa" w:w="30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C</w:t>
            </w:r>
          </w:p>
        </w:tc>
        <w:tc>
          <w:tcPr>
            <w:tcW w:type="dxa" w:w="17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22</w:t>
            </w:r>
          </w:p>
        </w:tc>
        <w:tc>
          <w:tcPr>
            <w:tcW w:type="dxa" w:w="4326"/>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база сравнения</w:t>
            </w:r>
          </w:p>
        </w:tc>
      </w:tr>
      <w:tr>
        <w:tc>
          <w:tcPr>
            <w:tcW w:type="dxa" w:w="30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D</w:t>
            </w:r>
          </w:p>
        </w:tc>
        <w:tc>
          <w:tcPr>
            <w:tcW w:type="dxa" w:w="17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14</w:t>
            </w:r>
          </w:p>
        </w:tc>
        <w:tc>
          <w:tcPr>
            <w:tcW w:type="dxa" w:w="4326"/>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−8 баллов, около −€ 55</w:t>
            </w:r>
          </w:p>
        </w:tc>
      </w:tr>
      <w:tr>
        <w:tc>
          <w:tcPr>
            <w:tcW w:type="dxa" w:w="30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E / F / G</w:t>
            </w:r>
          </w:p>
        </w:tc>
        <w:tc>
          <w:tcPr>
            <w:tcW w:type="dxa" w:w="17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−4 / −9 / −15</w:t>
            </w:r>
          </w:p>
        </w:tc>
        <w:tc>
          <w:tcPr>
            <w:tcW w:type="dxa" w:w="4326"/>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от −26 до −37 баллов</w:t>
            </w:r>
          </w:p>
        </w:tc>
      </w:tr>
      <w:tr>
        <w:tc>
          <w:tcPr>
            <w:tcW w:type="dxa" w:w="30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Сертификата нет, дом 1976 года или старше</w:t>
            </w:r>
          </w:p>
        </w:tc>
        <w:tc>
          <w:tcPr>
            <w:tcW w:type="dxa" w:w="17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−15</w:t>
            </w:r>
          </w:p>
        </w:tc>
        <w:tc>
          <w:tcPr>
            <w:tcW w:type="dxa" w:w="4326"/>
            <w:tcBorders>
              <w:top w:val="none" w:color="FFFFFF" w:sz="0"/>
              <w:left w:val="none" w:color="FFFFFF" w:sz="0"/>
              <w:bottom w:val="none" w:color="FFFFFF" w:sz="0"/>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минус 37 баллов, около −€ 250</w:t>
            </w:r>
          </w:p>
        </w:tc>
      </w:tr>
    </w:tbl>
    <w:p>
      <w:pPr>
        <w:spacing w:after="160" w:before="60" w:line="276"/>
      </w:pPr>
      <w:r>
        <w:rPr>
          <w:i/>
          <w:iCs/>
          <w:color w:val="6B6B6B"/>
          <w:sz w:val="19"/>
          <w:szCs w:val="19"/>
        </w:rPr>
        <w:t xml:space="preserve">Без действующего зарегистрированного сертификата баллы назначаются по году постройки: 2002 и позже — 41, 2000–2001 — 34, 1992–1999 — 22, 1984–1991 — 14, 1979–1983 — −4, 1977–1978 — −9, 1976 и старше — −15.</w:t>
      </w:r>
    </w:p>
    <w:p>
      <w:pPr>
        <w:pStyle w:val="Heading1"/>
        <w:spacing w:after="180" w:before="380"/>
      </w:pPr>
      <w:r>
        <w:rPr>
          <w:rFonts w:ascii="Cambria" w:cs="Cambria" w:eastAsia="Cambria" w:hAnsi="Cambria"/>
          <w:b/>
          <w:bCs/>
          <w:color w:val="1F2A38"/>
          <w:sz w:val="28"/>
          <w:szCs w:val="28"/>
        </w:rPr>
        <w:t xml:space="preserve">Сценарии, включая промежуточные</w:t>
      </w:r>
    </w:p>
    <w:p>
      <w:pPr>
        <w:spacing w:after="160" w:line="300"/>
      </w:pPr>
      <w:r>
        <w:t xml:space="preserve">Три строки, отмеченные как расчёт, — официальные результаты Huurprijscheck. Остальные получены по той же схеме: баллы точные, аренда оценена по 6,86 евро за балл и помечена знаком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1750"/>
        <w:gridCol w:w="1150"/>
        <w:gridCol w:w="2000"/>
        <w:gridCol w:w="1776"/>
      </w:tblGrid>
      <w:tr>
        <w:trPr>
          <w:tblHeader/>
        </w:trPr>
        <w:tc>
          <w:tcPr>
            <w:tcW w:type="dxa" w:w="2350"/>
            <w:tcBorders>
              <w:top w:val="none" w:color="FFFFFF" w:sz="0"/>
              <w:left w:val="none" w:color="FFFFFF" w:sz="0"/>
              <w:bottom w:val="single" w:color="3A3A3A" w:sz="10"/>
              <w:right w:val="none" w:color="FFFFFF" w:sz="0"/>
            </w:tcBorders>
            <w:tcMar>
              <w:top w:type="dxa" w:w="90"/>
              <w:left w:type="dxa" w:w="60"/>
              <w:bottom w:type="dxa" w:w="90"/>
              <w:right w:type="dxa" w:w="120"/>
            </w:tcMar>
          </w:tcPr>
          <w:p>
            <w:pPr>
              <w:spacing w:after="0" w:line="260"/>
              <w:jc w:val="left"/>
            </w:pPr>
            <w:r>
              <w:rPr>
                <w:b/>
                <w:bCs/>
                <w:i w:val="false"/>
                <w:iCs w:val="false"/>
                <w:color w:val="1F2A38"/>
                <w:sz w:val="20"/>
                <w:szCs w:val="20"/>
              </w:rPr>
              <w:t xml:space="preserve">Сертификат</w:t>
            </w:r>
          </w:p>
        </w:tc>
        <w:tc>
          <w:tcPr>
            <w:tcW w:type="dxa" w:w="1750"/>
            <w:tcBorders>
              <w:top w:val="none" w:color="FFFFFF" w:sz="0"/>
              <w:left w:val="none" w:color="FFFFFF" w:sz="0"/>
              <w:bottom w:val="single" w:color="3A3A3A" w:sz="10"/>
              <w:right w:val="none" w:color="FFFFFF" w:sz="0"/>
            </w:tcBorders>
            <w:tcMar>
              <w:top w:type="dxa" w:w="90"/>
              <w:left w:type="dxa" w:w="60"/>
              <w:bottom w:type="dxa" w:w="90"/>
              <w:right w:type="dxa" w:w="120"/>
            </w:tcMar>
          </w:tcPr>
          <w:p>
            <w:pPr>
              <w:spacing w:after="0" w:line="260"/>
              <w:jc w:val="right"/>
            </w:pPr>
            <w:r>
              <w:rPr>
                <w:b/>
                <w:bCs/>
                <w:i w:val="false"/>
                <w:iCs w:val="false"/>
                <w:color w:val="1F2A38"/>
                <w:sz w:val="20"/>
                <w:szCs w:val="20"/>
              </w:rPr>
              <w:t xml:space="preserve">WOZ</w:t>
            </w:r>
          </w:p>
        </w:tc>
        <w:tc>
          <w:tcPr>
            <w:tcW w:type="dxa" w:w="1150"/>
            <w:tcBorders>
              <w:top w:val="none" w:color="FFFFFF" w:sz="0"/>
              <w:left w:val="none" w:color="FFFFFF" w:sz="0"/>
              <w:bottom w:val="single" w:color="3A3A3A" w:sz="10"/>
              <w:right w:val="none" w:color="FFFFFF" w:sz="0"/>
            </w:tcBorders>
            <w:tcMar>
              <w:top w:type="dxa" w:w="90"/>
              <w:left w:type="dxa" w:w="60"/>
              <w:bottom w:type="dxa" w:w="90"/>
              <w:right w:type="dxa" w:w="120"/>
            </w:tcMar>
          </w:tcPr>
          <w:p>
            <w:pPr>
              <w:spacing w:after="0" w:line="260"/>
              <w:jc w:val="right"/>
            </w:pPr>
            <w:r>
              <w:rPr>
                <w:b/>
                <w:bCs/>
                <w:i w:val="false"/>
                <w:iCs w:val="false"/>
                <w:color w:val="1F2A38"/>
                <w:sz w:val="20"/>
                <w:szCs w:val="20"/>
              </w:rPr>
              <w:t xml:space="preserve">Баллы</w:t>
            </w:r>
          </w:p>
        </w:tc>
        <w:tc>
          <w:tcPr>
            <w:tcW w:type="dxa" w:w="2000"/>
            <w:tcBorders>
              <w:top w:val="none" w:color="FFFFFF" w:sz="0"/>
              <w:left w:val="none" w:color="FFFFFF" w:sz="0"/>
              <w:bottom w:val="single" w:color="3A3A3A" w:sz="10"/>
              <w:right w:val="none" w:color="FFFFFF" w:sz="0"/>
            </w:tcBorders>
            <w:tcMar>
              <w:top w:type="dxa" w:w="90"/>
              <w:left w:type="dxa" w:w="60"/>
              <w:bottom w:type="dxa" w:w="90"/>
              <w:right w:type="dxa" w:w="120"/>
            </w:tcMar>
          </w:tcPr>
          <w:p>
            <w:pPr>
              <w:spacing w:after="0" w:line="260"/>
              <w:jc w:val="right"/>
            </w:pPr>
            <w:r>
              <w:rPr>
                <w:b/>
                <w:bCs/>
                <w:i w:val="false"/>
                <w:iCs w:val="false"/>
                <w:color w:val="1F2A38"/>
                <w:sz w:val="20"/>
                <w:szCs w:val="20"/>
              </w:rPr>
              <w:t xml:space="preserve">В месяц</w:t>
            </w:r>
          </w:p>
        </w:tc>
        <w:tc>
          <w:tcPr>
            <w:tcW w:type="dxa" w:w="1776"/>
            <w:tcBorders>
              <w:top w:val="none" w:color="FFFFFF" w:sz="0"/>
              <w:left w:val="none" w:color="FFFFFF" w:sz="0"/>
              <w:bottom w:val="single" w:color="3A3A3A" w:sz="10"/>
              <w:right w:val="none" w:color="FFFFFF" w:sz="0"/>
            </w:tcBorders>
            <w:tcMar>
              <w:top w:type="dxa" w:w="90"/>
              <w:left w:type="dxa" w:w="60"/>
              <w:bottom w:type="dxa" w:w="90"/>
              <w:right w:type="dxa" w:w="120"/>
            </w:tcMar>
          </w:tcPr>
          <w:p>
            <w:pPr>
              <w:spacing w:after="0" w:line="260"/>
              <w:jc w:val="right"/>
            </w:pPr>
            <w:r>
              <w:rPr>
                <w:b/>
                <w:bCs/>
                <w:i w:val="false"/>
                <w:iCs w:val="false"/>
                <w:color w:val="1F2A38"/>
                <w:sz w:val="20"/>
                <w:szCs w:val="20"/>
              </w:rPr>
              <w:t xml:space="preserve">Сегмент</w:t>
            </w:r>
          </w:p>
        </w:tc>
      </w:tr>
      <w:tr>
        <w:tc>
          <w:tcPr>
            <w:tcW w:type="dxa" w:w="23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Нет сертификата</w:t>
            </w:r>
          </w:p>
        </w:tc>
        <w:tc>
          <w:tcPr>
            <w:tcW w:type="dxa" w:w="17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€ 210 000</w:t>
            </w:r>
          </w:p>
        </w:tc>
        <w:tc>
          <w:tcPr>
            <w:tcW w:type="dxa" w:w="11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91</w:t>
            </w:r>
          </w:p>
        </w:tc>
        <w:tc>
          <w:tcPr>
            <w:tcW w:type="dxa" w:w="20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 € 580</w:t>
            </w:r>
          </w:p>
        </w:tc>
        <w:tc>
          <w:tcPr>
            <w:tcW w:type="dxa" w:w="1776"/>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color w:val="6B6B6B"/>
                <w:sz w:val="19"/>
                <w:szCs w:val="19"/>
              </w:rPr>
              <w:t xml:space="preserve">социальный</w:t>
            </w:r>
          </w:p>
        </w:tc>
      </w:tr>
      <w:tr>
        <w:tc>
          <w:tcPr>
            <w:tcW w:type="dxa" w:w="23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D</w:t>
            </w:r>
          </w:p>
        </w:tc>
        <w:tc>
          <w:tcPr>
            <w:tcW w:type="dxa" w:w="17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€ 210 000</w:t>
            </w:r>
          </w:p>
        </w:tc>
        <w:tc>
          <w:tcPr>
            <w:tcW w:type="dxa" w:w="11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120</w:t>
            </w:r>
          </w:p>
        </w:tc>
        <w:tc>
          <w:tcPr>
            <w:tcW w:type="dxa" w:w="20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 € 775</w:t>
            </w:r>
          </w:p>
        </w:tc>
        <w:tc>
          <w:tcPr>
            <w:tcW w:type="dxa" w:w="1776"/>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color w:val="6B6B6B"/>
                <w:sz w:val="19"/>
                <w:szCs w:val="19"/>
              </w:rPr>
              <w:t xml:space="preserve">социальный</w:t>
            </w:r>
          </w:p>
        </w:tc>
      </w:tr>
      <w:tr>
        <w:tc>
          <w:tcPr>
            <w:tcW w:type="dxa" w:w="23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bCs/>
                <w:i w:val="false"/>
                <w:iCs w:val="false"/>
                <w:sz w:val="21"/>
                <w:szCs w:val="21"/>
              </w:rPr>
              <w:t xml:space="preserve">C — расчёт</w:t>
            </w:r>
          </w:p>
        </w:tc>
        <w:tc>
          <w:tcPr>
            <w:tcW w:type="dxa" w:w="17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€ 210 000</w:t>
            </w:r>
          </w:p>
        </w:tc>
        <w:tc>
          <w:tcPr>
            <w:tcW w:type="dxa" w:w="11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128</w:t>
            </w:r>
          </w:p>
        </w:tc>
        <w:tc>
          <w:tcPr>
            <w:tcW w:type="dxa" w:w="20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€ 829,94</w:t>
            </w:r>
          </w:p>
        </w:tc>
        <w:tc>
          <w:tcPr>
            <w:tcW w:type="dxa" w:w="1776"/>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color w:val="6B6B6B"/>
                <w:sz w:val="19"/>
                <w:szCs w:val="19"/>
              </w:rPr>
              <w:t xml:space="preserve">социальный</w:t>
            </w:r>
          </w:p>
        </w:tc>
      </w:tr>
      <w:tr>
        <w:tc>
          <w:tcPr>
            <w:tcW w:type="dxa" w:w="23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bCs/>
                <w:i w:val="false"/>
                <w:iCs w:val="false"/>
                <w:sz w:val="21"/>
                <w:szCs w:val="21"/>
              </w:rPr>
              <w:t xml:space="preserve">C — расчёт</w:t>
            </w:r>
          </w:p>
        </w:tc>
        <w:tc>
          <w:tcPr>
            <w:tcW w:type="dxa" w:w="17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€ 230 000</w:t>
            </w:r>
          </w:p>
        </w:tc>
        <w:tc>
          <w:tcPr>
            <w:tcW w:type="dxa" w:w="11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131</w:t>
            </w:r>
          </w:p>
        </w:tc>
        <w:tc>
          <w:tcPr>
            <w:tcW w:type="dxa" w:w="20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€ 850,49</w:t>
            </w:r>
          </w:p>
        </w:tc>
        <w:tc>
          <w:tcPr>
            <w:tcW w:type="dxa" w:w="1776"/>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color w:val="6B6B6B"/>
                <w:sz w:val="19"/>
                <w:szCs w:val="19"/>
              </w:rPr>
              <w:t xml:space="preserve">социальный</w:t>
            </w:r>
          </w:p>
        </w:tc>
      </w:tr>
      <w:tr>
        <w:tc>
          <w:tcPr>
            <w:tcW w:type="dxa" w:w="23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bCs/>
                <w:i w:val="false"/>
                <w:iCs w:val="false"/>
                <w:sz w:val="21"/>
                <w:szCs w:val="21"/>
              </w:rPr>
              <w:t xml:space="preserve">B — расчёт</w:t>
            </w:r>
          </w:p>
        </w:tc>
        <w:tc>
          <w:tcPr>
            <w:tcW w:type="dxa" w:w="17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€ 210 000</w:t>
            </w:r>
          </w:p>
        </w:tc>
        <w:tc>
          <w:tcPr>
            <w:tcW w:type="dxa" w:w="11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140</w:t>
            </w:r>
          </w:p>
        </w:tc>
        <w:tc>
          <w:tcPr>
            <w:tcW w:type="dxa" w:w="20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€ 912,26</w:t>
            </w:r>
          </w:p>
        </w:tc>
        <w:tc>
          <w:tcPr>
            <w:tcW w:type="dxa" w:w="1776"/>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color w:val="6B6B6B"/>
                <w:sz w:val="19"/>
                <w:szCs w:val="19"/>
              </w:rPr>
              <w:t xml:space="preserve">социальный</w:t>
            </w:r>
          </w:p>
        </w:tc>
      </w:tr>
      <w:tr>
        <w:tc>
          <w:tcPr>
            <w:tcW w:type="dxa" w:w="23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B</w:t>
            </w:r>
          </w:p>
        </w:tc>
        <w:tc>
          <w:tcPr>
            <w:tcW w:type="dxa" w:w="17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€ 230 000</w:t>
            </w:r>
          </w:p>
        </w:tc>
        <w:tc>
          <w:tcPr>
            <w:tcW w:type="dxa" w:w="11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143</w:t>
            </w:r>
          </w:p>
        </w:tc>
        <w:tc>
          <w:tcPr>
            <w:tcW w:type="dxa" w:w="20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 € 933</w:t>
            </w:r>
          </w:p>
        </w:tc>
        <w:tc>
          <w:tcPr>
            <w:tcW w:type="dxa" w:w="1776"/>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color w:val="6B6B6B"/>
                <w:sz w:val="19"/>
                <w:szCs w:val="19"/>
              </w:rPr>
              <w:t xml:space="preserve">социальный, граница</w:t>
            </w:r>
          </w:p>
        </w:tc>
      </w:tr>
      <w:tr>
        <w:tc>
          <w:tcPr>
            <w:tcW w:type="dxa" w:w="23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A</w:t>
            </w:r>
          </w:p>
        </w:tc>
        <w:tc>
          <w:tcPr>
            <w:tcW w:type="dxa" w:w="17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€ 210 000</w:t>
            </w:r>
          </w:p>
        </w:tc>
        <w:tc>
          <w:tcPr>
            <w:tcW w:type="dxa" w:w="11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147</w:t>
            </w:r>
          </w:p>
        </w:tc>
        <w:tc>
          <w:tcPr>
            <w:tcW w:type="dxa" w:w="20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 € 960</w:t>
            </w:r>
          </w:p>
        </w:tc>
        <w:tc>
          <w:tcPr>
            <w:tcW w:type="dxa" w:w="1776"/>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color w:val="6B6B6B"/>
                <w:sz w:val="19"/>
                <w:szCs w:val="19"/>
              </w:rPr>
              <w:t xml:space="preserve">средний</w:t>
            </w:r>
          </w:p>
        </w:tc>
      </w:tr>
      <w:tr>
        <w:tc>
          <w:tcPr>
            <w:tcW w:type="dxa" w:w="23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A</w:t>
            </w:r>
          </w:p>
        </w:tc>
        <w:tc>
          <w:tcPr>
            <w:tcW w:type="dxa" w:w="17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€ 230 000</w:t>
            </w:r>
          </w:p>
        </w:tc>
        <w:tc>
          <w:tcPr>
            <w:tcW w:type="dxa" w:w="11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150</w:t>
            </w:r>
          </w:p>
        </w:tc>
        <w:tc>
          <w:tcPr>
            <w:tcW w:type="dxa" w:w="20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 € 981</w:t>
            </w:r>
          </w:p>
        </w:tc>
        <w:tc>
          <w:tcPr>
            <w:tcW w:type="dxa" w:w="1776"/>
            <w:tcBorders>
              <w:top w:val="none" w:color="FFFFFF" w:sz="0"/>
              <w:left w:val="none" w:color="FFFFFF" w:sz="0"/>
              <w:bottom w:val="none" w:color="FFFFFF" w:sz="0"/>
              <w:right w:val="none" w:color="FFFFFF" w:sz="0"/>
            </w:tcBorders>
            <w:tcMar>
              <w:top w:type="dxa" w:w="90"/>
              <w:left w:type="dxa" w:w="60"/>
              <w:bottom w:type="dxa" w:w="90"/>
              <w:right w:type="dxa" w:w="120"/>
            </w:tcMar>
          </w:tcPr>
          <w:p>
            <w:pPr>
              <w:spacing w:after="0" w:line="260"/>
              <w:jc w:val="right"/>
            </w:pPr>
            <w:r>
              <w:rPr>
                <w:b w:val="false"/>
                <w:bCs w:val="false"/>
                <w:i w:val="false"/>
                <w:iCs w:val="false"/>
                <w:color w:val="6B6B6B"/>
                <w:sz w:val="19"/>
                <w:szCs w:val="19"/>
              </w:rPr>
              <w:t xml:space="preserve">средний</w:t>
            </w:r>
          </w:p>
        </w:tc>
      </w:tr>
    </w:tbl>
    <w:p>
      <w:pPr>
        <w:spacing w:before="160"/>
      </w:pPr>
      <w:r>
        <w:t xml:space="preserve">Переход через границу 143 баллов ничего резкого не делает: потолок продолжает расти по той же таблице, меняются лишь отдельные правила вроде порядка ежегодной индексации. Настоящий скачок был бы на отметке 187 баллов, где регулирование заканчивается, но для этой квартиры она недостижима — даже лучшая комбинация даёт около 156.</w:t>
      </w:r>
    </w:p>
    <w:p>
      <w:pPr>
        <w:pStyle w:val="Heading1"/>
        <w:spacing w:after="180" w:before="380"/>
      </w:pPr>
      <w:r>
        <w:rPr>
          <w:rFonts w:ascii="Cambria" w:cs="Cambria" w:eastAsia="Cambria" w:hAnsi="Cambria"/>
          <w:b/>
          <w:bCs/>
          <w:color w:val="1F2A38"/>
          <w:sz w:val="28"/>
          <w:szCs w:val="28"/>
        </w:rPr>
        <w:t xml:space="preserve">Как поднять потолок: сначала защита, потом рост</w:t>
      </w:r>
    </w:p>
    <w:p>
      <w:pPr>
        <w:spacing w:after="160" w:line="300"/>
      </w:pPr>
      <w:r>
        <w:t xml:space="preserve">Прежде чем говорить о повышении, два защитных шага. Без них можно потерять больше, чем дают все улучшения вместе.</w:t>
      </w:r>
    </w:p>
    <w:p>
      <w:pPr>
        <w:pStyle w:val="Heading2"/>
        <w:spacing w:after="140" w:before="260"/>
      </w:pPr>
      <w:r>
        <w:rPr>
          <w:rFonts w:ascii="Cambria" w:cs="Cambria" w:eastAsia="Cambria" w:hAnsi="Cambria"/>
          <w:b/>
          <w:bCs/>
          <w:color w:val="31537D"/>
          <w:sz w:val="24"/>
          <w:szCs w:val="24"/>
        </w:rPr>
        <w:t xml:space="preserve">Зарегистрировать сертификат</w:t>
      </w:r>
    </w:p>
    <w:p>
      <w:pPr>
        <w:spacing w:after="160" w:line="300"/>
      </w:pPr>
      <w:r>
        <w:t xml:space="preserve">Учитывается только действующий сертификат из официального реестра. Если его нет, баллы назначаются по году постройки, и для дома 1976 года или старше это минус 15 — как у худшего класса G. Потолок в таком сценарии опускается примерно до 580 евро. Иначе говоря, сама регистрация сертификата удерживает порядка 250 евро в месяц.</w:t>
      </w:r>
    </w:p>
    <w:p>
      <w:pPr>
        <w:pStyle w:val="Heading2"/>
        <w:spacing w:after="140" w:before="260"/>
      </w:pPr>
      <w:r>
        <w:rPr>
          <w:rFonts w:ascii="Cambria" w:cs="Cambria" w:eastAsia="Cambria" w:hAnsi="Cambria"/>
          <w:b/>
          <w:bCs/>
          <w:color w:val="31537D"/>
          <w:sz w:val="24"/>
          <w:szCs w:val="24"/>
        </w:rPr>
        <w:t xml:space="preserve">Подготовить оценочный отчёт на время, пока WOZ нет</w:t>
      </w:r>
    </w:p>
    <w:p>
      <w:pPr>
        <w:spacing w:after="160" w:line="300"/>
      </w:pPr>
      <w:r>
        <w:t xml:space="preserve">До 2027 года официальной WOZ-оценки не существует, а правило на этот случай жёсткое. Комиссия принимает либо 85 процентов стоимости из отчёта сертифицированного оценщика (Register-Taxateur) — отчёт обязан предоставить арендодатель, — либо, если отчёта нет, минимальную WOZ, установленную в 77 582 евро. Минимальная WOZ дала бы вместо 33 баллов лишь около 12, то есть минус 140 с лишним евро к потолку. Сравнение с похожими квартирами, которое практиковалось раньше, с 2024 года прямо запрещено. Если квартира будет сдана до получения WOZ-оценки, отчёт оценщика должен быть готов заранее.</w:t>
      </w:r>
    </w:p>
    <w:p>
      <w:pPr>
        <w:pStyle w:val="Heading2"/>
        <w:spacing w:after="140" w:before="260"/>
      </w:pPr>
      <w:r>
        <w:rPr>
          <w:rFonts w:ascii="Cambria" w:cs="Cambria" w:eastAsia="Cambria" w:hAnsi="Cambria"/>
          <w:b/>
          <w:bCs/>
          <w:color w:val="31537D"/>
          <w:sz w:val="24"/>
          <w:szCs w:val="24"/>
        </w:rPr>
        <w:t xml:space="preserve">Меры повышения, по убыванию эффекта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250"/>
        <w:gridCol w:w="1500"/>
        <w:gridCol w:w="3176"/>
      </w:tblGrid>
      <w:tr>
        <w:trPr>
          <w:tblHeader/>
        </w:trPr>
        <w:tc>
          <w:tcPr>
            <w:tcW w:type="dxa" w:w="3100"/>
            <w:tcBorders>
              <w:top w:val="none" w:color="FFFFFF" w:sz="0"/>
              <w:left w:val="none" w:color="FFFFFF" w:sz="0"/>
              <w:bottom w:val="single" w:color="3A3A3A" w:sz="10"/>
              <w:right w:val="none" w:color="FFFFFF" w:sz="0"/>
            </w:tcBorders>
            <w:tcMar>
              <w:top w:type="dxa" w:w="90"/>
              <w:left w:type="dxa" w:w="60"/>
              <w:bottom w:type="dxa" w:w="90"/>
              <w:right w:type="dxa" w:w="120"/>
            </w:tcMar>
          </w:tcPr>
          <w:p>
            <w:pPr>
              <w:spacing w:after="0" w:line="260"/>
              <w:jc w:val="left"/>
            </w:pPr>
            <w:r>
              <w:rPr>
                <w:b/>
                <w:bCs/>
                <w:i w:val="false"/>
                <w:iCs w:val="false"/>
                <w:color w:val="1F2A38"/>
                <w:sz w:val="20"/>
                <w:szCs w:val="20"/>
              </w:rPr>
              <w:t xml:space="preserve">Мера</w:t>
            </w:r>
          </w:p>
        </w:tc>
        <w:tc>
          <w:tcPr>
            <w:tcW w:type="dxa" w:w="1250"/>
            <w:tcBorders>
              <w:top w:val="none" w:color="FFFFFF" w:sz="0"/>
              <w:left w:val="none" w:color="FFFFFF" w:sz="0"/>
              <w:bottom w:val="single" w:color="3A3A3A" w:sz="10"/>
              <w:right w:val="none" w:color="FFFFFF" w:sz="0"/>
            </w:tcBorders>
            <w:tcMar>
              <w:top w:type="dxa" w:w="90"/>
              <w:left w:type="dxa" w:w="60"/>
              <w:bottom w:type="dxa" w:w="90"/>
              <w:right w:type="dxa" w:w="120"/>
            </w:tcMar>
          </w:tcPr>
          <w:p>
            <w:pPr>
              <w:spacing w:after="0" w:line="260"/>
              <w:jc w:val="right"/>
            </w:pPr>
            <w:r>
              <w:rPr>
                <w:b/>
                <w:bCs/>
                <w:i w:val="false"/>
                <w:iCs w:val="false"/>
                <w:color w:val="1F2A38"/>
                <w:sz w:val="20"/>
                <w:szCs w:val="20"/>
              </w:rPr>
              <w:t xml:space="preserve">Баллы</w:t>
            </w:r>
          </w:p>
        </w:tc>
        <w:tc>
          <w:tcPr>
            <w:tcW w:type="dxa" w:w="1500"/>
            <w:tcBorders>
              <w:top w:val="none" w:color="FFFFFF" w:sz="0"/>
              <w:left w:val="none" w:color="FFFFFF" w:sz="0"/>
              <w:bottom w:val="single" w:color="3A3A3A" w:sz="10"/>
              <w:right w:val="none" w:color="FFFFFF" w:sz="0"/>
            </w:tcBorders>
            <w:tcMar>
              <w:top w:type="dxa" w:w="90"/>
              <w:left w:type="dxa" w:w="60"/>
              <w:bottom w:type="dxa" w:w="90"/>
              <w:right w:type="dxa" w:w="120"/>
            </w:tcMar>
          </w:tcPr>
          <w:p>
            <w:pPr>
              <w:spacing w:after="0" w:line="260"/>
              <w:jc w:val="right"/>
            </w:pPr>
            <w:r>
              <w:rPr>
                <w:b/>
                <w:bCs/>
                <w:i w:val="false"/>
                <w:iCs w:val="false"/>
                <w:color w:val="1F2A38"/>
                <w:sz w:val="20"/>
                <w:szCs w:val="20"/>
              </w:rPr>
              <w:t xml:space="preserve">В месяц</w:t>
            </w:r>
          </w:p>
        </w:tc>
        <w:tc>
          <w:tcPr>
            <w:tcW w:type="dxa" w:w="3176"/>
            <w:tcBorders>
              <w:top w:val="none" w:color="FFFFFF" w:sz="0"/>
              <w:left w:val="none" w:color="FFFFFF" w:sz="0"/>
              <w:bottom w:val="single" w:color="3A3A3A" w:sz="10"/>
              <w:right w:val="none" w:color="FFFFFF" w:sz="0"/>
            </w:tcBorders>
            <w:tcMar>
              <w:top w:type="dxa" w:w="90"/>
              <w:left w:type="dxa" w:w="60"/>
              <w:bottom w:type="dxa" w:w="90"/>
              <w:right w:type="dxa" w:w="120"/>
            </w:tcMar>
          </w:tcPr>
          <w:p>
            <w:pPr>
              <w:spacing w:after="0" w:line="260"/>
              <w:jc w:val="right"/>
            </w:pPr>
            <w:r>
              <w:rPr>
                <w:b/>
                <w:bCs/>
                <w:i w:val="false"/>
                <w:iCs w:val="false"/>
                <w:color w:val="1F2A38"/>
                <w:sz w:val="20"/>
                <w:szCs w:val="20"/>
              </w:rPr>
              <w:t xml:space="preserve">Примечания</w:t>
            </w:r>
          </w:p>
        </w:tc>
      </w:tr>
      <w:tr>
        <w:tc>
          <w:tcPr>
            <w:tcW w:type="dxa" w:w="31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bCs/>
                <w:i w:val="false"/>
                <w:iCs w:val="false"/>
                <w:sz w:val="21"/>
                <w:szCs w:val="21"/>
              </w:rPr>
              <w:t xml:space="preserve">Сертификат C → B</w:t>
            </w:r>
          </w:p>
        </w:tc>
        <w:tc>
          <w:tcPr>
            <w:tcW w:type="dxa" w:w="12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+12</w:t>
            </w:r>
          </w:p>
        </w:tc>
        <w:tc>
          <w:tcPr>
            <w:tcW w:type="dxa" w:w="15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+€ 82</w:t>
            </w:r>
          </w:p>
        </w:tc>
        <w:tc>
          <w:tcPr>
            <w:tcW w:type="dxa" w:w="3176"/>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color w:val="6B6B6B"/>
                <w:sz w:val="19"/>
                <w:szCs w:val="19"/>
              </w:rPr>
              <w:t xml:space="preserve">Самый выгодный шаг; состав работ покажет энергообследование — обычно утепление, стеклопакеты, система отопления.</w:t>
            </w:r>
          </w:p>
        </w:tc>
      </w:tr>
      <w:tr>
        <w:tc>
          <w:tcPr>
            <w:tcW w:type="dxa" w:w="31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Сертификат B → A</w:t>
            </w:r>
          </w:p>
        </w:tc>
        <w:tc>
          <w:tcPr>
            <w:tcW w:type="dxa" w:w="12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ещё +7</w:t>
            </w:r>
          </w:p>
        </w:tc>
        <w:tc>
          <w:tcPr>
            <w:tcW w:type="dxa" w:w="15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 +€ 48</w:t>
            </w:r>
          </w:p>
        </w:tc>
        <w:tc>
          <w:tcPr>
            <w:tcW w:type="dxa" w:w="3176"/>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color w:val="6B6B6B"/>
                <w:sz w:val="19"/>
                <w:szCs w:val="19"/>
              </w:rPr>
              <w:t xml:space="preserve">Итого от C до A — 19 баллов и около 130 евро. Классы выше A добавляют ещё, но для старого дома это редкость.</w:t>
            </w:r>
          </w:p>
        </w:tc>
      </w:tr>
      <w:tr>
        <w:tc>
          <w:tcPr>
            <w:tcW w:type="dxa" w:w="31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Чердак сделать жилой комнатой</w:t>
            </w:r>
          </w:p>
        </w:tc>
        <w:tc>
          <w:tcPr>
            <w:tcW w:type="dxa" w:w="12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+8,25</w:t>
            </w:r>
          </w:p>
        </w:tc>
        <w:tc>
          <w:tcPr>
            <w:tcW w:type="dxa" w:w="15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 +€ 57</w:t>
            </w:r>
          </w:p>
        </w:tc>
        <w:tc>
          <w:tcPr>
            <w:tcW w:type="dxa" w:w="3176"/>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color w:val="6B6B6B"/>
                <w:sz w:val="19"/>
                <w:szCs w:val="19"/>
              </w:rPr>
              <w:t xml:space="preserve">Требования из политики: стационарная лестница, обшитая кровля, окно от 0,5 м², вентиляция, розетка и свет, высота 2,10 м минимум над половиной площади. С отоплением комнаты — ещё 2 балла (всего +10,25, около +€ 70).</w:t>
            </w:r>
          </w:p>
        </w:tc>
      </w:tr>
      <w:tr>
        <w:tc>
          <w:tcPr>
            <w:tcW w:type="dxa" w:w="31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Либо только стационарная лестница на чердак</w:t>
            </w:r>
          </w:p>
        </w:tc>
        <w:tc>
          <w:tcPr>
            <w:tcW w:type="dxa" w:w="12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+5</w:t>
            </w:r>
          </w:p>
        </w:tc>
        <w:tc>
          <w:tcPr>
            <w:tcW w:type="dxa" w:w="15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 +€ 34</w:t>
            </w:r>
          </w:p>
        </w:tc>
        <w:tc>
          <w:tcPr>
            <w:tcW w:type="dxa" w:w="3176"/>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color w:val="6B6B6B"/>
                <w:sz w:val="19"/>
                <w:szCs w:val="19"/>
              </w:rPr>
              <w:t xml:space="preserve">Снимает вычет за приставную лестницу; самый дешёвый строительный вариант. С предыдущей мерой не суммируется.</w:t>
            </w:r>
          </w:p>
        </w:tc>
      </w:tr>
      <w:tr>
        <w:tc>
          <w:tcPr>
            <w:tcW w:type="dxa" w:w="31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Проверить статус памятника</w:t>
            </w:r>
          </w:p>
        </w:tc>
        <w:tc>
          <w:tcPr>
            <w:tcW w:type="dxa" w:w="12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w:t>
            </w:r>
          </w:p>
        </w:tc>
        <w:tc>
          <w:tcPr>
            <w:tcW w:type="dxa" w:w="15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+€ 46…320</w:t>
            </w:r>
          </w:p>
        </w:tc>
        <w:tc>
          <w:tcPr>
            <w:tcW w:type="dxa" w:w="3176"/>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color w:val="6B6B6B"/>
                <w:sz w:val="19"/>
                <w:szCs w:val="19"/>
              </w:rPr>
              <w:t xml:space="preserve">Надбавка к потолку: национальный памятник +35 %, муниципальный или провинциальный +15 %, охраняемый городской ансамбль при постройке до 1965 года +5 %. Надбавки между собой не сочетаются; статус доказывает арендодатель. У памятников к тому же не бывает штрафных баллов за классы E–G.</w:t>
            </w:r>
          </w:p>
        </w:tc>
      </w:tr>
      <w:tr>
        <w:tc>
          <w:tcPr>
            <w:tcW w:type="dxa" w:w="31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Проверить WOZ-оценку 2027 года</w:t>
            </w:r>
          </w:p>
        </w:tc>
        <w:tc>
          <w:tcPr>
            <w:tcW w:type="dxa" w:w="12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+3 за € 20 000</w:t>
            </w:r>
          </w:p>
        </w:tc>
        <w:tc>
          <w:tcPr>
            <w:tcW w:type="dxa" w:w="15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+€ 20,5</w:t>
            </w:r>
          </w:p>
        </w:tc>
        <w:tc>
          <w:tcPr>
            <w:tcW w:type="dxa" w:w="3176"/>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color w:val="6B6B6B"/>
                <w:sz w:val="19"/>
                <w:szCs w:val="19"/>
              </w:rPr>
              <w:t xml:space="preserve">Возражение против оценки можно подавать и в сторону повышения — арендодателю выгодна высокая WOZ.</w:t>
            </w:r>
          </w:p>
        </w:tc>
      </w:tr>
      <w:tr>
        <w:tc>
          <w:tcPr>
            <w:tcW w:type="dxa" w:w="31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left"/>
            </w:pPr>
            <w:r>
              <w:rPr>
                <w:b w:val="false"/>
                <w:bCs w:val="false"/>
                <w:i w:val="false"/>
                <w:iCs w:val="false"/>
                <w:sz w:val="21"/>
                <w:szCs w:val="21"/>
              </w:rPr>
              <w:t xml:space="preserve">Встроенная посудомоечная машина</w:t>
            </w:r>
          </w:p>
        </w:tc>
        <w:tc>
          <w:tcPr>
            <w:tcW w:type="dxa" w:w="125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val="false"/>
                <w:bCs w:val="false"/>
                <w:i w:val="false"/>
                <w:iCs w:val="false"/>
                <w:sz w:val="21"/>
                <w:szCs w:val="21"/>
              </w:rPr>
              <w:t xml:space="preserve">+1,5</w:t>
            </w:r>
          </w:p>
        </w:tc>
        <w:tc>
          <w:tcPr>
            <w:tcW w:type="dxa" w:w="1500"/>
            <w:tcBorders>
              <w:top w:val="none" w:color="FFFFFF" w:sz="0"/>
              <w:left w:val="none" w:color="FFFFFF" w:sz="0"/>
              <w:bottom w:val="single" w:color="DDDDDD" w:sz="4"/>
              <w:right w:val="none" w:color="FFFFFF" w:sz="0"/>
            </w:tcBorders>
            <w:tcMar>
              <w:top w:type="dxa" w:w="90"/>
              <w:left w:type="dxa" w:w="60"/>
              <w:bottom w:type="dxa" w:w="90"/>
              <w:right w:type="dxa" w:w="120"/>
            </w:tcMar>
          </w:tcPr>
          <w:p>
            <w:pPr>
              <w:spacing w:after="0" w:line="260"/>
              <w:jc w:val="right"/>
            </w:pPr>
            <w:r>
              <w:rPr>
                <w:b/>
                <w:bCs/>
                <w:i w:val="false"/>
                <w:iCs w:val="false"/>
                <w:sz w:val="21"/>
                <w:szCs w:val="21"/>
              </w:rPr>
              <w:t xml:space="preserve">≈ +€ 10</w:t>
            </w:r>
          </w:p>
        </w:tc>
        <w:tc>
          <w:tcPr>
            <w:tcW w:type="dxa" w:w="3176"/>
            <w:tcBorders>
              <w:top w:val="none" w:color="FFFFFF" w:sz="0"/>
              <w:left w:val="none" w:color="FFFFFF" w:sz="0"/>
              <w:bottom w:val="none" w:color="FFFFFF" w:sz="0"/>
              <w:right w:val="none" w:color="FFFFFF" w:sz="0"/>
            </w:tcBorders>
            <w:tcMar>
              <w:top w:type="dxa" w:w="90"/>
              <w:left w:type="dxa" w:w="60"/>
              <w:bottom w:type="dxa" w:w="90"/>
              <w:right w:type="dxa" w:w="120"/>
            </w:tcMar>
          </w:tcPr>
          <w:p>
            <w:pPr>
              <w:spacing w:after="0" w:line="260"/>
              <w:jc w:val="left"/>
            </w:pPr>
            <w:r>
              <w:rPr>
                <w:b w:val="false"/>
                <w:bCs w:val="false"/>
                <w:i w:val="false"/>
                <w:iCs w:val="false"/>
                <w:color w:val="6B6B6B"/>
                <w:sz w:val="19"/>
                <w:szCs w:val="19"/>
              </w:rPr>
              <w:t xml:space="preserve">Добирает лимит баллов за кухонную технику до максимума. Из-за округления итога прибавка может оказаться чуть меньше.</w:t>
            </w:r>
          </w:p>
        </w:tc>
      </w:tr>
    </w:tbl>
    <w:p>
      <w:pPr>
        <w:spacing w:before="160"/>
      </w:pPr>
      <w:r>
        <w:t xml:space="preserve">Мелкие улучшения санузла приносят доли балла, а ванна или второй туалет в помещении 2,66 м² не поместятся, так что этим направлением можно пренебречь.</w:t>
      </w:r>
    </w:p>
    <w:p>
      <w:pPr>
        <w:spacing w:after="160" w:line="300"/>
      </w:pPr>
      <w:r>
        <w:t xml:space="preserve">Если сложить реалистичное: сертификат B, лестница на чердак и посудомойка при WOZ в 230 тысяч дают 149 баллов и потолок около 974 евро; с сертификатом A — около 156 баллов и 1 022 евро, плюс возможная надбавка за памятник. Отдельная строка дохода, не связанная с баллами, — сдача с мебелью: плата за неё берётся сверх регулируемой аренды, ориентир комиссии — около 20 процентов стоимости обстановки в год; туда же относятся сервисные расходы по фактической стоимости.</w:t>
      </w:r>
    </w:p>
    <w:p>
      <w:pPr>
        <w:pStyle w:val="Heading1"/>
        <w:spacing w:after="180" w:before="380"/>
      </w:pPr>
      <w:r>
        <w:rPr>
          <w:rFonts w:ascii="Cambria" w:cs="Cambria" w:eastAsia="Cambria" w:hAnsi="Cambria"/>
          <w:b/>
          <w:bCs/>
          <w:color w:val="1F2A38"/>
          <w:sz w:val="28"/>
          <w:szCs w:val="28"/>
        </w:rPr>
        <w:t xml:space="preserve">Примечания</w:t>
      </w:r>
    </w:p>
    <w:p>
      <w:pPr>
        <w:spacing w:after="160" w:line="300"/>
      </w:pPr>
      <w:r>
        <w:t xml:space="preserve">Онлайн-проверка носит ориентировочный характер: при официальной процедуре пунктовку составляет инспектор комиссии. Суммы со знаком ≈ получены по линейной зависимости, выведенной из трёх официальных расчётов; точные значения даст таблица соответствующего года. Делители формулы WOZ, минимальная WOZ и таблица цен индексируются ежегодно, поэтому со временем цифры сдвинутся, но соотношения — балл около семи евро, три балла за двадцать тысяч WOZ — сохранятся. Статусы памятника и охраняемого ансамбля комиссия сама не проверяет: подтверждать их — задача арендодателя.</w:t>
      </w:r>
    </w:p>
    <w:p>
      <w:pPr>
        <w:pStyle w:val="Heading1"/>
        <w:spacing w:after="180" w:before="380"/>
      </w:pPr>
      <w:r>
        <w:rPr>
          <w:rFonts w:ascii="Cambria" w:cs="Cambria" w:eastAsia="Cambria" w:hAnsi="Cambria"/>
          <w:b/>
          <w:bCs/>
          <w:color w:val="1F2A38"/>
          <w:sz w:val="28"/>
          <w:szCs w:val="28"/>
        </w:rPr>
        <w:t xml:space="preserve">Источники</w:t>
      </w:r>
    </w:p>
    <w:p>
      <w:pPr>
        <w:spacing w:after="160" w:line="300"/>
      </w:pPr>
      <w:r>
        <w:t xml:space="preserve">Три отчёта Huurprijscheck от 27.08.2026 — исходные расчёты. Beleidsboek «Waarderingsstelsel zelfstandige woonruimte», Huurcommissie, действующая редакция от января 2026 года (huurcommissie.nl → Beleidsboeken) — таблица сертификатов, формула WOZ, вычет за лестницу, формула террасы, лимиты кухни и санузла, правила при отсутствии WOZ и сертификата, надбавки за памятники. Границы сегментов 2026 года — публикации !WOON (wooninfo.nl) и Woonbond (woonbond.nl).</w:t>
      </w:r>
    </w:p>
    <w:p>
      <w:pPr>
        <w:spacing w:after="160" w:before="60" w:line="276"/>
      </w:pPr>
      <w:r>
        <w:rPr>
          <w:i/>
          <w:iCs/>
          <w:color w:val="6B6B6B"/>
          <w:sz w:val="19"/>
          <w:szCs w:val="19"/>
        </w:rPr>
        <w:t xml:space="preserve">Подготовлено 27.08.2026. Обновление: текст переработан, цифры перепроверены построчно по политике Huurcommissie.</w:t>
      </w:r>
    </w:p>
    <w:sectPr>
      <w:pgSz w:w="11906" w:h="16838" w:orient="portrait"/>
      <w:pgMar w:top="1250" w:right="1500" w:bottom="125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2026-08-27T18:12:07.172Z</dcterms:created>
  <dcterms:modified xsi:type="dcterms:W3CDTF">2026-08-27T18:12:07.172Z</dcterms:modified>
</cp:coreProperties>
</file>

<file path=docProps/custom.xml><?xml version="1.0" encoding="utf-8"?>
<Properties xmlns="http://schemas.openxmlformats.org/officeDocument/2006/custom-properties" xmlns:vt="http://schemas.openxmlformats.org/officeDocument/2006/docPropsVTypes"/>
</file>